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1AAA6">
      <w:pPr>
        <w:adjustRightInd w:val="0"/>
        <w:snapToGrid w:val="0"/>
        <w:spacing w:line="288" w:lineRule="auto"/>
        <w:rPr>
          <w:rFonts w:hint="eastAsia" w:ascii="楷体" w:hAnsi="楷体" w:eastAsia="楷体" w:cs="Times New Roman"/>
          <w:b/>
          <w:spacing w:val="-6"/>
          <w:sz w:val="44"/>
          <w:szCs w:val="44"/>
        </w:rPr>
      </w:pPr>
    </w:p>
    <w:p w14:paraId="266C9852">
      <w:pPr>
        <w:adjustRightInd w:val="0"/>
        <w:snapToGrid w:val="0"/>
        <w:spacing w:line="288" w:lineRule="auto"/>
        <w:rPr>
          <w:rFonts w:hint="eastAsia" w:ascii="楷体" w:hAnsi="楷体" w:eastAsia="楷体" w:cs="Times New Roman"/>
          <w:b/>
          <w:spacing w:val="-6"/>
          <w:sz w:val="44"/>
          <w:szCs w:val="44"/>
        </w:rPr>
      </w:pPr>
    </w:p>
    <w:p w14:paraId="2F1C387D">
      <w:pPr>
        <w:adjustRightInd w:val="0"/>
        <w:snapToGrid w:val="0"/>
        <w:spacing w:line="288" w:lineRule="auto"/>
        <w:rPr>
          <w:rFonts w:hint="eastAsia" w:ascii="楷体" w:hAnsi="楷体" w:eastAsia="楷体" w:cs="Times New Roman"/>
          <w:b/>
          <w:spacing w:val="-6"/>
          <w:sz w:val="44"/>
          <w:szCs w:val="44"/>
        </w:rPr>
      </w:pPr>
    </w:p>
    <w:p w14:paraId="68AFDDD0">
      <w:pPr>
        <w:adjustRightInd w:val="0"/>
        <w:snapToGrid w:val="0"/>
        <w:spacing w:line="288" w:lineRule="auto"/>
        <w:jc w:val="center"/>
        <w:rPr>
          <w:rFonts w:hint="eastAsia" w:ascii="楷体" w:hAnsi="楷体" w:eastAsia="楷体" w:cs="Times New Roman"/>
          <w:b/>
          <w:spacing w:val="-6"/>
          <w:sz w:val="52"/>
          <w:szCs w:val="52"/>
        </w:rPr>
      </w:pPr>
      <w:r>
        <w:rPr>
          <w:rFonts w:hint="eastAsia" w:ascii="楷体" w:hAnsi="楷体" w:eastAsia="楷体" w:cs="Times New Roman"/>
          <w:b/>
          <w:spacing w:val="-6"/>
          <w:sz w:val="52"/>
          <w:szCs w:val="52"/>
        </w:rPr>
        <w:t>浙江工商大学未来营养健康与共同富裕计算设备更新-共同富裕计算设备（第一批）</w:t>
      </w:r>
    </w:p>
    <w:p w14:paraId="3DDD5C90">
      <w:pPr>
        <w:adjustRightInd w:val="0"/>
        <w:snapToGrid w:val="0"/>
        <w:spacing w:line="288" w:lineRule="auto"/>
        <w:jc w:val="center"/>
        <w:rPr>
          <w:rFonts w:hint="eastAsia" w:ascii="楷体" w:hAnsi="楷体" w:eastAsia="楷体" w:cs="Times New Roman"/>
          <w:b/>
          <w:spacing w:val="-6"/>
          <w:sz w:val="48"/>
          <w:szCs w:val="48"/>
        </w:rPr>
      </w:pPr>
    </w:p>
    <w:p w14:paraId="7034DEA5">
      <w:pPr>
        <w:adjustRightInd w:val="0"/>
        <w:snapToGrid w:val="0"/>
        <w:spacing w:line="288" w:lineRule="auto"/>
        <w:jc w:val="center"/>
        <w:rPr>
          <w:rFonts w:hint="eastAsia" w:ascii="楷体" w:hAnsi="楷体" w:eastAsia="楷体" w:cs="Times New Roman"/>
          <w:b/>
          <w:spacing w:val="-6"/>
          <w:sz w:val="48"/>
          <w:szCs w:val="48"/>
        </w:rPr>
      </w:pPr>
    </w:p>
    <w:p w14:paraId="374E5415">
      <w:pPr>
        <w:adjustRightInd w:val="0"/>
        <w:snapToGrid w:val="0"/>
        <w:spacing w:line="288" w:lineRule="auto"/>
        <w:jc w:val="center"/>
        <w:rPr>
          <w:rFonts w:hint="eastAsia" w:ascii="楷体" w:hAnsi="楷体" w:eastAsia="楷体" w:cs="Times New Roman"/>
          <w:b/>
          <w:spacing w:val="-6"/>
          <w:sz w:val="72"/>
          <w:szCs w:val="72"/>
        </w:rPr>
      </w:pPr>
      <w:r>
        <w:rPr>
          <w:rFonts w:hint="eastAsia" w:ascii="楷体" w:hAnsi="楷体" w:eastAsia="楷体" w:cs="Times New Roman"/>
          <w:b/>
          <w:spacing w:val="-6"/>
          <w:sz w:val="72"/>
          <w:szCs w:val="72"/>
        </w:rPr>
        <w:t>招 标 文 件</w:t>
      </w:r>
    </w:p>
    <w:p w14:paraId="52FC7215">
      <w:pPr>
        <w:widowControl/>
        <w:adjustRightInd w:val="0"/>
        <w:snapToGrid w:val="0"/>
        <w:spacing w:line="288" w:lineRule="auto"/>
        <w:ind w:right="-2"/>
        <w:jc w:val="center"/>
        <w:rPr>
          <w:rFonts w:hint="eastAsia" w:ascii="楷体" w:hAnsi="楷体" w:eastAsia="楷体" w:cs="Times New Roman"/>
          <w:b/>
          <w:sz w:val="36"/>
          <w:szCs w:val="24"/>
        </w:rPr>
      </w:pPr>
      <w:r>
        <w:rPr>
          <w:rFonts w:hint="eastAsia" w:ascii="楷体" w:hAnsi="楷体" w:eastAsia="楷体" w:cs="Times New Roman"/>
          <w:b/>
          <w:sz w:val="36"/>
          <w:szCs w:val="24"/>
        </w:rPr>
        <w:t>（线上电子招投标）</w:t>
      </w:r>
    </w:p>
    <w:p w14:paraId="39B18245">
      <w:pPr>
        <w:adjustRightInd w:val="0"/>
        <w:snapToGrid w:val="0"/>
        <w:spacing w:line="288" w:lineRule="auto"/>
        <w:jc w:val="center"/>
        <w:rPr>
          <w:rFonts w:hint="eastAsia" w:ascii="楷体" w:hAnsi="楷体" w:eastAsia="楷体" w:cs="Times New Roman"/>
          <w:sz w:val="44"/>
          <w:szCs w:val="44"/>
        </w:rPr>
      </w:pPr>
    </w:p>
    <w:p w14:paraId="69DF6775">
      <w:pPr>
        <w:adjustRightInd w:val="0"/>
        <w:snapToGrid w:val="0"/>
        <w:spacing w:line="288" w:lineRule="auto"/>
        <w:jc w:val="center"/>
        <w:rPr>
          <w:rFonts w:hint="eastAsia" w:ascii="楷体" w:hAnsi="楷体" w:eastAsia="楷体" w:cs="Times New Roman"/>
          <w:sz w:val="44"/>
          <w:szCs w:val="44"/>
        </w:rPr>
      </w:pPr>
    </w:p>
    <w:p w14:paraId="3A90DDE7">
      <w:pPr>
        <w:adjustRightInd w:val="0"/>
        <w:snapToGrid w:val="0"/>
        <w:spacing w:line="288" w:lineRule="auto"/>
        <w:rPr>
          <w:rFonts w:hint="eastAsia" w:ascii="楷体" w:hAnsi="楷体" w:eastAsia="楷体" w:cs="Times New Roman"/>
          <w:b/>
          <w:spacing w:val="-6"/>
          <w:sz w:val="30"/>
          <w:szCs w:val="30"/>
        </w:rPr>
      </w:pPr>
      <w:r>
        <w:rPr>
          <w:rFonts w:hint="eastAsia" w:ascii="楷体" w:hAnsi="楷体" w:eastAsia="楷体" w:cs="Times New Roman"/>
          <w:b/>
          <w:spacing w:val="-6"/>
          <w:sz w:val="30"/>
          <w:szCs w:val="30"/>
        </w:rPr>
        <w:t>项目名称：浙江工商大学未来营养健康与共同富裕计算设备更新-共同富裕计算设备（第一批）</w:t>
      </w:r>
      <w:bookmarkStart w:id="62" w:name="_GoBack"/>
      <w:bookmarkEnd w:id="62"/>
    </w:p>
    <w:p w14:paraId="629DBE0F">
      <w:pPr>
        <w:adjustRightInd w:val="0"/>
        <w:snapToGrid w:val="0"/>
        <w:spacing w:line="288" w:lineRule="auto"/>
        <w:rPr>
          <w:rFonts w:hint="eastAsia" w:ascii="楷体" w:hAnsi="楷体" w:eastAsia="楷体" w:cs="Times New Roman"/>
          <w:b/>
          <w:spacing w:val="-6"/>
          <w:sz w:val="30"/>
          <w:szCs w:val="30"/>
        </w:rPr>
      </w:pPr>
      <w:r>
        <w:rPr>
          <w:rFonts w:hint="eastAsia" w:ascii="楷体" w:hAnsi="楷体" w:eastAsia="楷体" w:cs="Times New Roman"/>
          <w:b/>
          <w:spacing w:val="-6"/>
          <w:sz w:val="30"/>
          <w:szCs w:val="30"/>
        </w:rPr>
        <w:t>项目编号：QSZB-Z(H)-C24374(GK)LL</w:t>
      </w:r>
    </w:p>
    <w:p w14:paraId="589128CE">
      <w:pPr>
        <w:adjustRightInd w:val="0"/>
        <w:snapToGrid w:val="0"/>
        <w:spacing w:line="288" w:lineRule="auto"/>
        <w:rPr>
          <w:rFonts w:hint="eastAsia" w:ascii="楷体" w:hAnsi="楷体" w:eastAsia="楷体" w:cs="Times New Roman"/>
          <w:b/>
          <w:spacing w:val="-6"/>
          <w:sz w:val="30"/>
          <w:szCs w:val="30"/>
        </w:rPr>
      </w:pPr>
      <w:r>
        <w:rPr>
          <w:rFonts w:hint="eastAsia" w:ascii="楷体" w:hAnsi="楷体" w:eastAsia="楷体" w:cs="Times New Roman"/>
          <w:b/>
          <w:spacing w:val="-6"/>
          <w:sz w:val="30"/>
          <w:szCs w:val="30"/>
        </w:rPr>
        <w:t>采 购 人：浙江工商大学</w:t>
      </w:r>
    </w:p>
    <w:p w14:paraId="53D73B21">
      <w:pPr>
        <w:adjustRightInd w:val="0"/>
        <w:snapToGrid w:val="0"/>
        <w:spacing w:line="288" w:lineRule="auto"/>
        <w:rPr>
          <w:rFonts w:hint="eastAsia" w:ascii="楷体" w:hAnsi="楷体" w:eastAsia="楷体" w:cs="Times New Roman"/>
          <w:b/>
          <w:spacing w:val="-6"/>
          <w:sz w:val="30"/>
          <w:szCs w:val="30"/>
        </w:rPr>
      </w:pPr>
      <w:r>
        <w:rPr>
          <w:rFonts w:hint="eastAsia" w:ascii="楷体" w:hAnsi="楷体" w:eastAsia="楷体" w:cs="Times New Roman"/>
          <w:b/>
          <w:spacing w:val="-6"/>
          <w:sz w:val="30"/>
          <w:szCs w:val="30"/>
        </w:rPr>
        <w:t>采购代理机构：浙江求是招标代理有限公司</w:t>
      </w:r>
    </w:p>
    <w:p w14:paraId="03044818">
      <w:pPr>
        <w:adjustRightInd w:val="0"/>
        <w:snapToGrid w:val="0"/>
        <w:spacing w:line="288" w:lineRule="auto"/>
        <w:rPr>
          <w:rFonts w:hint="eastAsia" w:ascii="楷体" w:hAnsi="楷体" w:eastAsia="楷体" w:cs="Times New Roman"/>
          <w:b/>
          <w:spacing w:val="-6"/>
          <w:sz w:val="30"/>
          <w:szCs w:val="30"/>
        </w:rPr>
      </w:pPr>
      <w:r>
        <w:rPr>
          <w:rFonts w:ascii="楷体" w:hAnsi="楷体" w:eastAsia="楷体" w:cs="Times New Roman"/>
          <w:b/>
          <w:spacing w:val="-6"/>
          <w:sz w:val="30"/>
          <w:szCs w:val="30"/>
        </w:rPr>
        <w:t>采购计划文号：</w:t>
      </w:r>
      <w:r>
        <w:rPr>
          <w:rFonts w:hint="eastAsia" w:ascii="楷体" w:hAnsi="楷体" w:eastAsia="楷体" w:cs="Times New Roman"/>
          <w:b/>
          <w:spacing w:val="-6"/>
          <w:sz w:val="30"/>
          <w:szCs w:val="30"/>
        </w:rPr>
        <w:t>[2024]71847号、[2024]71848号、临[2024]73495号</w:t>
      </w:r>
    </w:p>
    <w:p w14:paraId="564E71CC">
      <w:pPr>
        <w:adjustRightInd w:val="0"/>
        <w:snapToGrid w:val="0"/>
        <w:spacing w:line="288" w:lineRule="auto"/>
        <w:rPr>
          <w:rFonts w:hint="eastAsia" w:ascii="楷体" w:hAnsi="楷体" w:eastAsia="楷体" w:cs="Times New Roman"/>
          <w:b/>
          <w:szCs w:val="21"/>
        </w:rPr>
      </w:pPr>
    </w:p>
    <w:p w14:paraId="79AB6BCB">
      <w:pPr>
        <w:adjustRightInd w:val="0"/>
        <w:snapToGrid w:val="0"/>
        <w:spacing w:line="288" w:lineRule="auto"/>
        <w:rPr>
          <w:rFonts w:hint="eastAsia" w:ascii="楷体" w:hAnsi="楷体" w:eastAsia="楷体" w:cs="Times New Roman"/>
          <w:b/>
          <w:szCs w:val="21"/>
        </w:rPr>
        <w:sectPr>
          <w:headerReference r:id="rId3" w:type="default"/>
          <w:footerReference r:id="rId4" w:type="default"/>
          <w:pgSz w:w="11906" w:h="16838"/>
          <w:pgMar w:top="1247" w:right="1247" w:bottom="1247" w:left="1247" w:header="0" w:footer="694" w:gutter="0"/>
          <w:pgNumType w:start="1"/>
          <w:cols w:space="720" w:num="1"/>
          <w:docGrid w:linePitch="381" w:charSpace="0"/>
        </w:sectPr>
      </w:pPr>
    </w:p>
    <w:p w14:paraId="67B78CA2">
      <w:pPr>
        <w:adjustRightInd w:val="0"/>
        <w:snapToGrid w:val="0"/>
        <w:spacing w:line="288" w:lineRule="auto"/>
        <w:rPr>
          <w:rFonts w:hint="eastAsia" w:ascii="楷体" w:hAnsi="楷体" w:eastAsia="楷体" w:cs="Times New Roman"/>
          <w:b/>
          <w:sz w:val="30"/>
          <w:szCs w:val="30"/>
        </w:rPr>
      </w:pPr>
    </w:p>
    <w:p w14:paraId="079B0264">
      <w:pPr>
        <w:adjustRightInd w:val="0"/>
        <w:snapToGrid w:val="0"/>
        <w:spacing w:line="288" w:lineRule="auto"/>
        <w:jc w:val="center"/>
        <w:outlineLvl w:val="0"/>
        <w:rPr>
          <w:rFonts w:hint="eastAsia" w:ascii="楷体" w:hAnsi="楷体" w:eastAsia="楷体" w:cs="Times New Roman"/>
          <w:b/>
          <w:sz w:val="30"/>
          <w:szCs w:val="30"/>
        </w:rPr>
      </w:pPr>
      <w:r>
        <w:rPr>
          <w:rFonts w:ascii="楷体" w:hAnsi="楷体" w:eastAsia="楷体" w:cs="Times New Roman"/>
          <w:b/>
          <w:sz w:val="30"/>
          <w:szCs w:val="30"/>
        </w:rPr>
        <w:t>目</w:t>
      </w:r>
      <w:r>
        <w:rPr>
          <w:rFonts w:hint="eastAsia" w:ascii="楷体" w:hAnsi="楷体" w:eastAsia="楷体" w:cs="Times New Roman"/>
          <w:b/>
          <w:sz w:val="30"/>
          <w:szCs w:val="30"/>
        </w:rPr>
        <w:t xml:space="preserve">    </w:t>
      </w:r>
      <w:r>
        <w:rPr>
          <w:rFonts w:ascii="楷体" w:hAnsi="楷体" w:eastAsia="楷体" w:cs="Times New Roman"/>
          <w:b/>
          <w:sz w:val="30"/>
          <w:szCs w:val="30"/>
        </w:rPr>
        <w:t>录</w:t>
      </w:r>
    </w:p>
    <w:p w14:paraId="60B75A24">
      <w:pPr>
        <w:adjustRightInd w:val="0"/>
        <w:snapToGrid w:val="0"/>
        <w:spacing w:line="288" w:lineRule="auto"/>
        <w:rPr>
          <w:rFonts w:hint="eastAsia" w:ascii="楷体" w:hAnsi="楷体" w:eastAsia="楷体" w:cs="Times New Roman"/>
          <w:b/>
          <w:sz w:val="30"/>
          <w:szCs w:val="30"/>
        </w:rPr>
      </w:pPr>
    </w:p>
    <w:p w14:paraId="750A1089">
      <w:pPr>
        <w:adjustRightInd w:val="0"/>
        <w:snapToGrid w:val="0"/>
        <w:spacing w:line="288" w:lineRule="auto"/>
        <w:ind w:firstLine="578" w:firstLineChars="200"/>
        <w:rPr>
          <w:rFonts w:hint="eastAsia" w:ascii="楷体" w:hAnsi="楷体" w:eastAsia="楷体" w:cs="Times New Roman"/>
          <w:b/>
          <w:spacing w:val="-6"/>
          <w:sz w:val="30"/>
          <w:szCs w:val="30"/>
        </w:rPr>
      </w:pPr>
      <w:r>
        <w:rPr>
          <w:rFonts w:hint="eastAsia" w:ascii="楷体" w:hAnsi="楷体" w:eastAsia="楷体" w:cs="Times New Roman"/>
          <w:b/>
          <w:spacing w:val="-6"/>
          <w:sz w:val="30"/>
          <w:szCs w:val="30"/>
        </w:rPr>
        <w:t>第一章  投标邀请</w:t>
      </w:r>
    </w:p>
    <w:p w14:paraId="1E294278">
      <w:pPr>
        <w:adjustRightInd w:val="0"/>
        <w:snapToGrid w:val="0"/>
        <w:spacing w:line="288" w:lineRule="auto"/>
        <w:ind w:firstLine="578" w:firstLineChars="200"/>
        <w:rPr>
          <w:rFonts w:hint="eastAsia" w:ascii="楷体" w:hAnsi="楷体" w:eastAsia="楷体" w:cs="Times New Roman"/>
          <w:b/>
          <w:spacing w:val="-6"/>
          <w:sz w:val="30"/>
          <w:szCs w:val="30"/>
        </w:rPr>
      </w:pPr>
      <w:r>
        <w:rPr>
          <w:rFonts w:hint="eastAsia" w:ascii="楷体" w:hAnsi="楷体" w:eastAsia="楷体" w:cs="Times New Roman"/>
          <w:b/>
          <w:spacing w:val="-6"/>
          <w:sz w:val="30"/>
          <w:szCs w:val="30"/>
        </w:rPr>
        <w:t>第二章  采购需求</w:t>
      </w:r>
    </w:p>
    <w:p w14:paraId="2FE7C23F">
      <w:pPr>
        <w:adjustRightInd w:val="0"/>
        <w:snapToGrid w:val="0"/>
        <w:spacing w:line="288" w:lineRule="auto"/>
        <w:ind w:firstLine="578" w:firstLineChars="200"/>
        <w:rPr>
          <w:rFonts w:hint="eastAsia" w:ascii="楷体" w:hAnsi="楷体" w:eastAsia="楷体" w:cs="Times New Roman"/>
          <w:b/>
          <w:spacing w:val="-6"/>
          <w:sz w:val="30"/>
          <w:szCs w:val="30"/>
        </w:rPr>
      </w:pPr>
      <w:r>
        <w:rPr>
          <w:rFonts w:hint="eastAsia" w:ascii="楷体" w:hAnsi="楷体" w:eastAsia="楷体" w:cs="Times New Roman"/>
          <w:b/>
          <w:spacing w:val="-6"/>
          <w:sz w:val="30"/>
          <w:szCs w:val="30"/>
        </w:rPr>
        <w:t>第三章  投标人须知</w:t>
      </w:r>
    </w:p>
    <w:p w14:paraId="6913BDC1">
      <w:pPr>
        <w:adjustRightInd w:val="0"/>
        <w:snapToGrid w:val="0"/>
        <w:spacing w:line="288" w:lineRule="auto"/>
        <w:ind w:firstLine="578" w:firstLineChars="200"/>
        <w:rPr>
          <w:rFonts w:hint="eastAsia" w:ascii="楷体" w:hAnsi="楷体" w:eastAsia="楷体" w:cs="Times New Roman"/>
          <w:b/>
          <w:spacing w:val="-6"/>
          <w:sz w:val="30"/>
          <w:szCs w:val="30"/>
        </w:rPr>
      </w:pPr>
      <w:r>
        <w:rPr>
          <w:rFonts w:hint="eastAsia" w:ascii="楷体" w:hAnsi="楷体" w:eastAsia="楷体" w:cs="Times New Roman"/>
          <w:b/>
          <w:spacing w:val="-6"/>
          <w:sz w:val="30"/>
          <w:szCs w:val="30"/>
        </w:rPr>
        <w:t>第四章  评标方法和评标标准</w:t>
      </w:r>
    </w:p>
    <w:p w14:paraId="35639145">
      <w:pPr>
        <w:adjustRightInd w:val="0"/>
        <w:snapToGrid w:val="0"/>
        <w:spacing w:line="288" w:lineRule="auto"/>
        <w:ind w:firstLine="578" w:firstLineChars="200"/>
        <w:rPr>
          <w:rFonts w:hint="eastAsia" w:ascii="楷体" w:hAnsi="楷体" w:eastAsia="楷体" w:cs="Times New Roman"/>
          <w:b/>
          <w:spacing w:val="-6"/>
          <w:sz w:val="30"/>
          <w:szCs w:val="30"/>
        </w:rPr>
      </w:pPr>
      <w:r>
        <w:rPr>
          <w:rFonts w:hint="eastAsia" w:ascii="楷体" w:hAnsi="楷体" w:eastAsia="楷体" w:cs="Times New Roman"/>
          <w:b/>
          <w:spacing w:val="-6"/>
          <w:sz w:val="30"/>
          <w:szCs w:val="30"/>
        </w:rPr>
        <w:t>第五章  拟签订的合同文本</w:t>
      </w:r>
    </w:p>
    <w:p w14:paraId="47C8DD15">
      <w:pPr>
        <w:adjustRightInd w:val="0"/>
        <w:snapToGrid w:val="0"/>
        <w:spacing w:line="288" w:lineRule="auto"/>
        <w:ind w:firstLine="578" w:firstLineChars="200"/>
        <w:rPr>
          <w:rFonts w:hint="eastAsia" w:ascii="楷体" w:hAnsi="楷体" w:eastAsia="楷体" w:cs="Times New Roman"/>
          <w:b/>
          <w:spacing w:val="-6"/>
          <w:sz w:val="30"/>
          <w:szCs w:val="30"/>
        </w:rPr>
      </w:pPr>
      <w:r>
        <w:rPr>
          <w:rFonts w:hint="eastAsia" w:ascii="楷体" w:hAnsi="楷体" w:eastAsia="楷体" w:cs="Times New Roman"/>
          <w:b/>
          <w:spacing w:val="-6"/>
          <w:sz w:val="30"/>
          <w:szCs w:val="30"/>
        </w:rPr>
        <w:t>第六章  投标文件格式</w:t>
      </w:r>
    </w:p>
    <w:p w14:paraId="7FD6405F">
      <w:pPr>
        <w:widowControl/>
        <w:adjustRightInd w:val="0"/>
        <w:snapToGrid w:val="0"/>
        <w:spacing w:line="288" w:lineRule="auto"/>
        <w:jc w:val="left"/>
        <w:rPr>
          <w:rFonts w:hint="eastAsia" w:ascii="宋体" w:hAnsi="宋体" w:eastAsia="宋体" w:cs="Times New Roman"/>
          <w:szCs w:val="21"/>
        </w:rPr>
      </w:pPr>
    </w:p>
    <w:p w14:paraId="4065D49E">
      <w:pPr>
        <w:widowControl/>
        <w:adjustRightInd w:val="0"/>
        <w:snapToGrid w:val="0"/>
        <w:spacing w:line="288" w:lineRule="auto"/>
        <w:jc w:val="left"/>
        <w:rPr>
          <w:rFonts w:hint="eastAsia" w:ascii="宋体" w:hAnsi="宋体" w:eastAsia="宋体" w:cs="Times New Roman"/>
          <w:szCs w:val="21"/>
        </w:rPr>
        <w:sectPr>
          <w:footerReference r:id="rId5" w:type="default"/>
          <w:pgSz w:w="11906" w:h="16838"/>
          <w:pgMar w:top="1247" w:right="1247" w:bottom="1247" w:left="1247" w:header="0" w:footer="694" w:gutter="0"/>
          <w:cols w:space="720" w:num="1"/>
          <w:docGrid w:linePitch="381" w:charSpace="0"/>
        </w:sectPr>
      </w:pPr>
    </w:p>
    <w:p w14:paraId="4C675F0D">
      <w:pPr>
        <w:adjustRightInd w:val="0"/>
        <w:snapToGrid w:val="0"/>
        <w:spacing w:line="288" w:lineRule="auto"/>
        <w:jc w:val="center"/>
        <w:outlineLvl w:val="0"/>
        <w:rPr>
          <w:rFonts w:hint="eastAsia" w:ascii="宋体" w:hAnsi="宋体" w:eastAsia="宋体" w:cs="Times New Roman"/>
          <w:b/>
          <w:spacing w:val="-6"/>
          <w:sz w:val="32"/>
          <w:szCs w:val="32"/>
        </w:rPr>
      </w:pPr>
      <w:r>
        <w:rPr>
          <w:rFonts w:ascii="宋体" w:hAnsi="宋体" w:eastAsia="宋体" w:cs="Times New Roman"/>
          <w:b/>
          <w:spacing w:val="-6"/>
          <w:sz w:val="32"/>
          <w:szCs w:val="32"/>
        </w:rPr>
        <w:t>第一章  投标邀请</w:t>
      </w:r>
    </w:p>
    <w:p w14:paraId="34B64FCA">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rPr>
          <w:rFonts w:hint="eastAsia" w:ascii="宋体" w:hAnsi="宋体" w:eastAsia="宋体" w:cs="Times New Roman"/>
          <w:b/>
          <w:szCs w:val="21"/>
        </w:rPr>
      </w:pPr>
      <w:r>
        <w:rPr>
          <w:rFonts w:hint="eastAsia" w:ascii="宋体" w:hAnsi="宋体" w:eastAsia="宋体" w:cs="Times New Roman"/>
          <w:b/>
          <w:szCs w:val="21"/>
        </w:rPr>
        <w:t>项目概况</w:t>
      </w:r>
    </w:p>
    <w:p w14:paraId="511FB898">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jc w:val="left"/>
        <w:rPr>
          <w:rFonts w:hint="eastAsia" w:ascii="宋体" w:hAnsi="宋体" w:eastAsia="宋体" w:cs="Times New Roman"/>
          <w:b/>
          <w:szCs w:val="21"/>
        </w:rPr>
      </w:pPr>
      <w:r>
        <w:rPr>
          <w:rFonts w:hint="eastAsia" w:ascii="宋体" w:hAnsi="宋体" w:eastAsia="宋体" w:cs="Times New Roman"/>
          <w:b/>
          <w:szCs w:val="21"/>
          <w:u w:val="single"/>
        </w:rPr>
        <w:t xml:space="preserve"> 浙江工商大学未来营养健康与共同富裕计算设备更新-共同富裕计算设备（第一批） </w:t>
      </w:r>
      <w:r>
        <w:rPr>
          <w:rFonts w:hint="eastAsia" w:ascii="宋体" w:hAnsi="宋体" w:eastAsia="宋体" w:cs="Times New Roman"/>
          <w:b/>
          <w:szCs w:val="21"/>
        </w:rPr>
        <w:t>招标项目的潜在投标人应在</w:t>
      </w:r>
      <w:r>
        <w:rPr>
          <w:rFonts w:hint="eastAsia" w:ascii="宋体" w:hAnsi="宋体" w:eastAsia="宋体" w:cs="Times New Roman"/>
          <w:b/>
          <w:szCs w:val="21"/>
          <w:u w:val="single"/>
        </w:rPr>
        <w:t xml:space="preserve"> 政府采购云平台（https://www.zcygov.cn）</w:t>
      </w:r>
      <w:r>
        <w:rPr>
          <w:rFonts w:hint="eastAsia" w:ascii="宋体" w:hAnsi="宋体" w:eastAsia="宋体" w:cs="Times New Roman"/>
          <w:b/>
          <w:szCs w:val="21"/>
        </w:rPr>
        <w:t>获取（下载）招标文件，并于</w:t>
      </w:r>
      <w:r>
        <w:rPr>
          <w:rFonts w:hint="eastAsia" w:ascii="宋体" w:hAnsi="宋体" w:eastAsia="宋体" w:cs="Times New Roman"/>
          <w:b/>
          <w:szCs w:val="21"/>
          <w:u w:val="single"/>
          <w:lang w:eastAsia="zh-CN"/>
        </w:rPr>
        <w:t>2025年1月20日14:00:00</w:t>
      </w:r>
      <w:r>
        <w:rPr>
          <w:rFonts w:hint="eastAsia" w:ascii="宋体" w:hAnsi="宋体" w:eastAsia="宋体" w:cs="Times New Roman"/>
          <w:b/>
          <w:szCs w:val="21"/>
          <w:u w:val="single"/>
        </w:rPr>
        <w:t>（北京时间）</w:t>
      </w:r>
      <w:r>
        <w:rPr>
          <w:rFonts w:hint="eastAsia" w:ascii="宋体" w:hAnsi="宋体" w:eastAsia="宋体" w:cs="Times New Roman"/>
          <w:b/>
          <w:bCs/>
          <w:szCs w:val="21"/>
        </w:rPr>
        <w:t>前递交（上传）投标</w:t>
      </w:r>
      <w:r>
        <w:rPr>
          <w:rFonts w:ascii="宋体" w:hAnsi="宋体" w:eastAsia="宋体" w:cs="Times New Roman"/>
          <w:b/>
          <w:bCs/>
          <w:szCs w:val="21"/>
        </w:rPr>
        <w:t>文件</w:t>
      </w:r>
      <w:r>
        <w:rPr>
          <w:rFonts w:hint="eastAsia" w:ascii="宋体" w:hAnsi="宋体" w:eastAsia="宋体" w:cs="Times New Roman"/>
          <w:b/>
          <w:szCs w:val="21"/>
        </w:rPr>
        <w:t>。</w:t>
      </w:r>
    </w:p>
    <w:p w14:paraId="48F9929C">
      <w:pPr>
        <w:adjustRightInd w:val="0"/>
        <w:snapToGrid w:val="0"/>
        <w:spacing w:line="288" w:lineRule="auto"/>
        <w:rPr>
          <w:rFonts w:hint="eastAsia" w:ascii="宋体" w:hAnsi="宋体" w:eastAsia="宋体" w:cs="宋体"/>
          <w:b/>
          <w:szCs w:val="21"/>
        </w:rPr>
      </w:pPr>
      <w:bookmarkStart w:id="0" w:name="_Toc28359002"/>
      <w:bookmarkStart w:id="1" w:name="_Toc35393621"/>
      <w:bookmarkStart w:id="2" w:name="_Toc35393790"/>
      <w:bookmarkStart w:id="3" w:name="_Toc28359079"/>
      <w:bookmarkStart w:id="4" w:name="_Hlk24379207"/>
      <w:r>
        <w:rPr>
          <w:rFonts w:hint="eastAsia" w:ascii="宋体" w:hAnsi="宋体" w:eastAsia="宋体" w:cs="宋体"/>
          <w:b/>
          <w:szCs w:val="21"/>
        </w:rPr>
        <w:t>一、项目基本情况</w:t>
      </w:r>
      <w:bookmarkEnd w:id="0"/>
      <w:bookmarkEnd w:id="1"/>
      <w:bookmarkEnd w:id="2"/>
      <w:bookmarkEnd w:id="3"/>
    </w:p>
    <w:p w14:paraId="297A3A06">
      <w:pPr>
        <w:adjustRightInd w:val="0"/>
        <w:snapToGrid w:val="0"/>
        <w:spacing w:line="288" w:lineRule="auto"/>
        <w:ind w:firstLine="420" w:firstLineChars="200"/>
        <w:rPr>
          <w:rFonts w:hint="eastAsia" w:ascii="宋体" w:hAnsi="宋体" w:eastAsia="宋体" w:cs="Times New Roman"/>
          <w:szCs w:val="21"/>
        </w:rPr>
      </w:pPr>
      <w:r>
        <w:rPr>
          <w:rFonts w:hint="eastAsia" w:ascii="宋体" w:hAnsi="宋体" w:eastAsia="宋体" w:cs="Times New Roman"/>
          <w:szCs w:val="21"/>
        </w:rPr>
        <w:t>1.项目编号：QSZB-Z(H)-C24374(GK)LL</w:t>
      </w:r>
    </w:p>
    <w:p w14:paraId="5110B95E">
      <w:pPr>
        <w:adjustRightInd w:val="0"/>
        <w:snapToGrid w:val="0"/>
        <w:spacing w:line="288" w:lineRule="auto"/>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.项目名称：浙江工商大学未来营养健康与共同富裕计算设备更新-共同富裕计算设备（第一批）</w:t>
      </w:r>
    </w:p>
    <w:bookmarkEnd w:id="4"/>
    <w:p w14:paraId="09A4260A">
      <w:pPr>
        <w:adjustRightInd w:val="0"/>
        <w:snapToGrid w:val="0"/>
        <w:spacing w:line="288" w:lineRule="auto"/>
        <w:ind w:firstLine="420" w:firstLineChars="200"/>
        <w:rPr>
          <w:rFonts w:hint="eastAsia"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.预算金额：290.00万元</w:t>
      </w:r>
    </w:p>
    <w:p w14:paraId="79540DC5">
      <w:pPr>
        <w:adjustRightInd w:val="0"/>
        <w:snapToGrid w:val="0"/>
        <w:spacing w:line="288" w:lineRule="auto"/>
        <w:ind w:firstLine="420" w:firstLineChars="200"/>
        <w:rPr>
          <w:rFonts w:hint="eastAsia"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.最高限价：290.00万元</w:t>
      </w:r>
    </w:p>
    <w:p w14:paraId="28A12AFD">
      <w:pPr>
        <w:adjustRightInd w:val="0"/>
        <w:snapToGrid w:val="0"/>
        <w:spacing w:line="288" w:lineRule="auto"/>
        <w:ind w:firstLine="420" w:firstLineChars="200"/>
        <w:rPr>
          <w:rFonts w:hint="eastAsia" w:ascii="宋体" w:hAnsi="宋体" w:eastAsia="宋体" w:cs="Times New Roman"/>
          <w:szCs w:val="21"/>
          <w:u w:val="single"/>
        </w:rPr>
      </w:pPr>
      <w:r>
        <w:rPr>
          <w:rFonts w:ascii="宋体" w:hAnsi="宋体" w:eastAsia="宋体" w:cs="Times New Roman"/>
          <w:szCs w:val="21"/>
        </w:rPr>
        <w:t>5</w:t>
      </w:r>
      <w:r>
        <w:rPr>
          <w:rFonts w:hint="eastAsia" w:ascii="宋体" w:hAnsi="宋体" w:eastAsia="宋体" w:cs="Times New Roman"/>
          <w:szCs w:val="21"/>
        </w:rPr>
        <w:t>.合同履约期限：详见招标文件第二章 采购需求</w:t>
      </w:r>
    </w:p>
    <w:p w14:paraId="49FAFF74">
      <w:pPr>
        <w:adjustRightInd w:val="0"/>
        <w:snapToGrid w:val="0"/>
        <w:spacing w:line="288" w:lineRule="auto"/>
        <w:ind w:firstLine="420" w:firstLineChars="200"/>
        <w:rPr>
          <w:rFonts w:hint="eastAsia" w:ascii="宋体" w:hAnsi="宋体" w:eastAsia="宋体" w:cs="Times New Roman"/>
          <w:bCs/>
          <w:szCs w:val="21"/>
        </w:rPr>
      </w:pPr>
      <w:r>
        <w:rPr>
          <w:rFonts w:ascii="宋体" w:hAnsi="宋体" w:eastAsia="宋体" w:cs="Times New Roman"/>
          <w:bCs/>
          <w:szCs w:val="21"/>
        </w:rPr>
        <w:t>6</w:t>
      </w:r>
      <w:r>
        <w:rPr>
          <w:rFonts w:hint="eastAsia" w:ascii="宋体" w:hAnsi="宋体" w:eastAsia="宋体" w:cs="Times New Roman"/>
          <w:bCs/>
          <w:szCs w:val="21"/>
        </w:rPr>
        <w:t>.本项目（是）接受联合体投标。</w:t>
      </w:r>
    </w:p>
    <w:p w14:paraId="3D26F349">
      <w:pPr>
        <w:adjustRightInd w:val="0"/>
        <w:snapToGrid w:val="0"/>
        <w:spacing w:line="288" w:lineRule="auto"/>
        <w:ind w:firstLine="420" w:firstLineChars="200"/>
        <w:rPr>
          <w:rFonts w:hint="eastAsia" w:ascii="宋体" w:hAnsi="宋体" w:eastAsia="宋体" w:cs="Times New Roman"/>
          <w:szCs w:val="21"/>
        </w:rPr>
      </w:pPr>
      <w:r>
        <w:rPr>
          <w:rFonts w:ascii="宋体" w:hAnsi="宋体" w:eastAsia="宋体" w:cs="Times New Roman"/>
          <w:szCs w:val="21"/>
        </w:rPr>
        <w:t>7</w:t>
      </w:r>
      <w:r>
        <w:rPr>
          <w:rFonts w:hint="eastAsia" w:ascii="宋体" w:hAnsi="宋体" w:eastAsia="宋体" w:cs="Times New Roman"/>
          <w:szCs w:val="21"/>
        </w:rPr>
        <w:t>.采购需求：</w:t>
      </w:r>
    </w:p>
    <w:tbl>
      <w:tblPr>
        <w:tblStyle w:val="23"/>
        <w:tblW w:w="94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3006"/>
        <w:gridCol w:w="708"/>
        <w:gridCol w:w="709"/>
        <w:gridCol w:w="3119"/>
        <w:gridCol w:w="1276"/>
      </w:tblGrid>
      <w:tr w14:paraId="5F94C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675" w:type="dxa"/>
            <w:tcBorders>
              <w:tl2br w:val="nil"/>
              <w:tr2bl w:val="nil"/>
            </w:tcBorders>
            <w:vAlign w:val="center"/>
          </w:tcPr>
          <w:p w14:paraId="1A5011D0">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序号</w:t>
            </w:r>
          </w:p>
        </w:tc>
        <w:tc>
          <w:tcPr>
            <w:tcW w:w="3006" w:type="dxa"/>
            <w:tcBorders>
              <w:right w:val="single" w:color="auto" w:sz="4" w:space="0"/>
              <w:tl2br w:val="nil"/>
              <w:tr2bl w:val="nil"/>
            </w:tcBorders>
            <w:vAlign w:val="center"/>
          </w:tcPr>
          <w:p w14:paraId="0CC80752">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名称</w:t>
            </w:r>
          </w:p>
        </w:tc>
        <w:tc>
          <w:tcPr>
            <w:tcW w:w="708" w:type="dxa"/>
            <w:tcBorders>
              <w:tl2br w:val="nil"/>
              <w:tr2bl w:val="nil"/>
            </w:tcBorders>
            <w:vAlign w:val="center"/>
          </w:tcPr>
          <w:p w14:paraId="70CD9573">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数量</w:t>
            </w:r>
          </w:p>
        </w:tc>
        <w:tc>
          <w:tcPr>
            <w:tcW w:w="709" w:type="dxa"/>
            <w:tcBorders>
              <w:tl2br w:val="nil"/>
              <w:tr2bl w:val="nil"/>
            </w:tcBorders>
            <w:vAlign w:val="center"/>
          </w:tcPr>
          <w:p w14:paraId="19EB539E">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单位</w:t>
            </w:r>
          </w:p>
        </w:tc>
        <w:tc>
          <w:tcPr>
            <w:tcW w:w="3119" w:type="dxa"/>
            <w:tcBorders>
              <w:right w:val="single" w:color="auto" w:sz="4" w:space="0"/>
              <w:tl2br w:val="nil"/>
              <w:tr2bl w:val="nil"/>
            </w:tcBorders>
            <w:vAlign w:val="center"/>
          </w:tcPr>
          <w:p w14:paraId="73F38B2B">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简要技术需求或服务要求</w:t>
            </w:r>
          </w:p>
        </w:tc>
        <w:tc>
          <w:tcPr>
            <w:tcW w:w="1276" w:type="dxa"/>
            <w:tcBorders>
              <w:right w:val="single" w:color="auto" w:sz="4" w:space="0"/>
              <w:tl2br w:val="nil"/>
              <w:tr2bl w:val="nil"/>
            </w:tcBorders>
            <w:vAlign w:val="center"/>
          </w:tcPr>
          <w:p w14:paraId="612EE85B">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szCs w:val="21"/>
              </w:rPr>
              <w:t>是否允许采购进口产品</w:t>
            </w:r>
          </w:p>
        </w:tc>
      </w:tr>
      <w:tr w14:paraId="49DC0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675" w:type="dxa"/>
            <w:tcBorders>
              <w:tl2br w:val="nil"/>
              <w:tr2bl w:val="nil"/>
            </w:tcBorders>
            <w:vAlign w:val="center"/>
          </w:tcPr>
          <w:p w14:paraId="6AD96BA3">
            <w:pPr>
              <w:adjustRightInd w:val="0"/>
              <w:snapToGrid w:val="0"/>
              <w:spacing w:line="288" w:lineRule="auto"/>
              <w:jc w:val="center"/>
              <w:rPr>
                <w:rFonts w:hint="eastAsia" w:ascii="宋体" w:hAnsi="宋体" w:eastAsia="宋体" w:cs="宋体"/>
                <w:bCs/>
                <w:szCs w:val="21"/>
              </w:rPr>
            </w:pPr>
            <w:r>
              <w:rPr>
                <w:rFonts w:hint="eastAsia" w:ascii="宋体" w:hAnsi="宋体" w:eastAsia="宋体" w:cs="宋体"/>
                <w:bCs/>
                <w:szCs w:val="21"/>
              </w:rPr>
              <w:t>1</w:t>
            </w:r>
          </w:p>
        </w:tc>
        <w:tc>
          <w:tcPr>
            <w:tcW w:w="3006" w:type="dxa"/>
            <w:tcBorders>
              <w:right w:val="single" w:color="auto" w:sz="4" w:space="0"/>
              <w:tl2br w:val="nil"/>
              <w:tr2bl w:val="nil"/>
            </w:tcBorders>
            <w:vAlign w:val="center"/>
          </w:tcPr>
          <w:p w14:paraId="32033497">
            <w:pPr>
              <w:adjustRightInd w:val="0"/>
              <w:snapToGrid w:val="0"/>
              <w:spacing w:line="288" w:lineRule="auto"/>
              <w:jc w:val="center"/>
              <w:rPr>
                <w:rFonts w:hint="eastAsia" w:ascii="宋体" w:hAnsi="宋体" w:eastAsia="宋体" w:cs="宋体"/>
                <w:bCs/>
                <w:szCs w:val="21"/>
              </w:rPr>
            </w:pPr>
            <w:r>
              <w:rPr>
                <w:rFonts w:hint="eastAsia" w:ascii="宋体" w:hAnsi="宋体" w:eastAsia="宋体" w:cs="宋体"/>
                <w:bCs/>
                <w:szCs w:val="21"/>
              </w:rPr>
              <w:t>超模态行为洞察平台等</w:t>
            </w:r>
          </w:p>
        </w:tc>
        <w:tc>
          <w:tcPr>
            <w:tcW w:w="708" w:type="dxa"/>
            <w:tcBorders>
              <w:tl2br w:val="nil"/>
              <w:tr2bl w:val="nil"/>
            </w:tcBorders>
            <w:vAlign w:val="center"/>
          </w:tcPr>
          <w:p w14:paraId="40055FBE">
            <w:pPr>
              <w:adjustRightInd w:val="0"/>
              <w:snapToGrid w:val="0"/>
              <w:spacing w:line="288" w:lineRule="auto"/>
              <w:jc w:val="center"/>
              <w:rPr>
                <w:rFonts w:hint="eastAsia" w:ascii="宋体" w:hAnsi="宋体" w:eastAsia="宋体" w:cs="宋体"/>
                <w:bCs/>
                <w:szCs w:val="21"/>
              </w:rPr>
            </w:pPr>
            <w:r>
              <w:rPr>
                <w:rFonts w:hint="eastAsia" w:ascii="宋体" w:hAnsi="宋体" w:eastAsia="宋体" w:cs="宋体"/>
                <w:bCs/>
                <w:szCs w:val="21"/>
              </w:rPr>
              <w:t>1</w:t>
            </w:r>
          </w:p>
        </w:tc>
        <w:tc>
          <w:tcPr>
            <w:tcW w:w="709" w:type="dxa"/>
            <w:tcBorders>
              <w:tl2br w:val="nil"/>
              <w:tr2bl w:val="nil"/>
            </w:tcBorders>
            <w:vAlign w:val="center"/>
          </w:tcPr>
          <w:p w14:paraId="2936E287">
            <w:pPr>
              <w:adjustRightInd w:val="0"/>
              <w:snapToGrid w:val="0"/>
              <w:spacing w:line="288" w:lineRule="auto"/>
              <w:jc w:val="center"/>
              <w:rPr>
                <w:rFonts w:hint="eastAsia" w:ascii="宋体" w:hAnsi="宋体" w:eastAsia="宋体" w:cs="宋体"/>
                <w:bCs/>
                <w:szCs w:val="21"/>
              </w:rPr>
            </w:pPr>
            <w:r>
              <w:rPr>
                <w:rFonts w:hint="eastAsia" w:ascii="宋体" w:hAnsi="宋体" w:eastAsia="宋体" w:cs="宋体"/>
                <w:bCs/>
                <w:szCs w:val="21"/>
              </w:rPr>
              <w:t>批</w:t>
            </w:r>
          </w:p>
        </w:tc>
        <w:tc>
          <w:tcPr>
            <w:tcW w:w="3119" w:type="dxa"/>
            <w:tcBorders>
              <w:right w:val="single" w:color="auto" w:sz="4" w:space="0"/>
              <w:tl2br w:val="nil"/>
              <w:tr2bl w:val="nil"/>
            </w:tcBorders>
            <w:vAlign w:val="center"/>
          </w:tcPr>
          <w:p w14:paraId="399D1B1A">
            <w:pPr>
              <w:adjustRightInd w:val="0"/>
              <w:snapToGrid w:val="0"/>
              <w:spacing w:line="288" w:lineRule="auto"/>
              <w:jc w:val="center"/>
              <w:rPr>
                <w:rFonts w:hint="eastAsia" w:ascii="宋体" w:hAnsi="宋体" w:eastAsia="宋体" w:cs="宋体"/>
                <w:bCs/>
                <w:szCs w:val="21"/>
              </w:rPr>
            </w:pPr>
            <w:r>
              <w:rPr>
                <w:rFonts w:hint="eastAsia" w:ascii="宋体" w:hAnsi="宋体" w:eastAsia="宋体" w:cs="宋体"/>
                <w:bCs/>
                <w:szCs w:val="21"/>
              </w:rPr>
              <w:t>包含超模态行为洞察平台、便携式行为观察记录分析系统、视觉动态追踪系统、遥测式生理信号采集分析系统，详见招标文件第二章 采购需求。</w:t>
            </w:r>
          </w:p>
        </w:tc>
        <w:tc>
          <w:tcPr>
            <w:tcW w:w="1276" w:type="dxa"/>
            <w:tcBorders>
              <w:right w:val="single" w:color="auto" w:sz="4" w:space="0"/>
              <w:tl2br w:val="nil"/>
              <w:tr2bl w:val="nil"/>
            </w:tcBorders>
            <w:vAlign w:val="center"/>
          </w:tcPr>
          <w:p w14:paraId="5B2587EA">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否</w:t>
            </w:r>
          </w:p>
        </w:tc>
      </w:tr>
    </w:tbl>
    <w:p w14:paraId="1873007D">
      <w:pPr>
        <w:adjustRightInd w:val="0"/>
        <w:snapToGrid w:val="0"/>
        <w:spacing w:line="288" w:lineRule="auto"/>
        <w:rPr>
          <w:rFonts w:hint="eastAsia" w:ascii="宋体" w:hAnsi="宋体" w:eastAsia="宋体" w:cs="宋体"/>
          <w:b/>
          <w:szCs w:val="21"/>
        </w:rPr>
      </w:pPr>
      <w:bookmarkStart w:id="5" w:name="_Toc28359003"/>
      <w:bookmarkStart w:id="6" w:name="_Toc28359080"/>
      <w:bookmarkStart w:id="7" w:name="_Toc35393791"/>
      <w:bookmarkStart w:id="8" w:name="_Toc35393622"/>
      <w:r>
        <w:rPr>
          <w:rFonts w:hint="eastAsia" w:ascii="宋体" w:hAnsi="宋体" w:eastAsia="宋体" w:cs="宋体"/>
          <w:b/>
          <w:szCs w:val="21"/>
        </w:rPr>
        <w:t>二、申请人的资格要求</w:t>
      </w:r>
      <w:bookmarkEnd w:id="5"/>
      <w:bookmarkEnd w:id="6"/>
      <w:bookmarkEnd w:id="7"/>
      <w:bookmarkEnd w:id="8"/>
    </w:p>
    <w:p w14:paraId="0EE669CB">
      <w:pPr>
        <w:adjustRightInd w:val="0"/>
        <w:snapToGrid w:val="0"/>
        <w:spacing w:line="288" w:lineRule="auto"/>
        <w:ind w:firstLine="420" w:firstLineChars="200"/>
        <w:rPr>
          <w:rFonts w:hint="eastAsia" w:ascii="宋体" w:hAnsi="宋体" w:eastAsia="宋体" w:cs="Times New Roman"/>
          <w:bCs/>
          <w:szCs w:val="21"/>
        </w:rPr>
      </w:pPr>
      <w:r>
        <w:rPr>
          <w:rFonts w:hint="eastAsia" w:ascii="宋体" w:hAnsi="宋体" w:eastAsia="宋体" w:cs="Times New Roman"/>
          <w:bCs/>
          <w:szCs w:val="21"/>
        </w:rPr>
        <w:t>1.满足《中华人民共和国政府采购法》第二十二条规定，未被“信用中国”（www.creditchina.gov.cn）</w:t>
      </w:r>
      <w:r>
        <w:rPr>
          <w:rFonts w:ascii="宋体" w:hAnsi="宋体" w:eastAsia="宋体" w:cs="Times New Roman"/>
          <w:bCs/>
          <w:szCs w:val="21"/>
        </w:rPr>
        <w:t>、中国政府采购网（www.ccgp.gov.cn）列入失信被执行人、重大税收违法案件当事人名单、政府采购严重违法失信行为记录名单</w:t>
      </w:r>
      <w:r>
        <w:rPr>
          <w:rFonts w:hint="eastAsia" w:ascii="宋体" w:hAnsi="宋体" w:eastAsia="宋体" w:cs="Times New Roman"/>
          <w:bCs/>
          <w:szCs w:val="21"/>
        </w:rPr>
        <w:t>；</w:t>
      </w:r>
    </w:p>
    <w:p w14:paraId="387554EE">
      <w:pPr>
        <w:adjustRightInd w:val="0"/>
        <w:snapToGrid w:val="0"/>
        <w:spacing w:line="288" w:lineRule="auto"/>
        <w:ind w:firstLine="420" w:firstLineChars="200"/>
        <w:rPr>
          <w:rFonts w:hint="eastAsia" w:ascii="宋体" w:hAnsi="宋体" w:eastAsia="宋体" w:cs="Times New Roman"/>
          <w:szCs w:val="21"/>
        </w:rPr>
      </w:pPr>
      <w:bookmarkStart w:id="9" w:name="_Toc28359004"/>
      <w:bookmarkStart w:id="10" w:name="_Toc28359081"/>
      <w:r>
        <w:rPr>
          <w:rFonts w:hint="eastAsia" w:ascii="宋体" w:hAnsi="宋体" w:eastAsia="宋体" w:cs="Times New Roman"/>
          <w:szCs w:val="21"/>
        </w:rPr>
        <w:t>2.落实政府采购政策需满足的资格要求：无</w:t>
      </w:r>
    </w:p>
    <w:p w14:paraId="0848138B">
      <w:pPr>
        <w:adjustRightInd w:val="0"/>
        <w:snapToGrid w:val="0"/>
        <w:spacing w:line="288" w:lineRule="auto"/>
        <w:ind w:firstLine="420" w:firstLineChars="200"/>
        <w:rPr>
          <w:rFonts w:hint="eastAsia" w:ascii="宋体" w:hAnsi="宋体" w:eastAsia="宋体" w:cs="Times New Roman"/>
          <w:szCs w:val="21"/>
        </w:rPr>
      </w:pPr>
      <w:r>
        <w:rPr>
          <w:rFonts w:hint="eastAsia" w:ascii="宋体" w:hAnsi="宋体" w:eastAsia="宋体" w:cs="Times New Roman"/>
          <w:szCs w:val="21"/>
        </w:rPr>
        <w:t>3.本项目的特定资格要求：无</w:t>
      </w:r>
    </w:p>
    <w:p w14:paraId="5022703F">
      <w:pPr>
        <w:adjustRightInd w:val="0"/>
        <w:snapToGrid w:val="0"/>
        <w:spacing w:line="288" w:lineRule="auto"/>
        <w:rPr>
          <w:rFonts w:hint="eastAsia" w:ascii="宋体" w:hAnsi="宋体" w:eastAsia="宋体" w:cs="宋体"/>
          <w:b/>
          <w:szCs w:val="21"/>
        </w:rPr>
      </w:pPr>
      <w:bookmarkStart w:id="11" w:name="_Toc35393792"/>
      <w:bookmarkStart w:id="12" w:name="_Toc35393623"/>
      <w:r>
        <w:rPr>
          <w:rFonts w:hint="eastAsia" w:ascii="宋体" w:hAnsi="宋体" w:eastAsia="宋体" w:cs="宋体"/>
          <w:b/>
          <w:szCs w:val="21"/>
        </w:rPr>
        <w:t>三、获取招标文件</w:t>
      </w:r>
      <w:bookmarkEnd w:id="9"/>
      <w:bookmarkEnd w:id="10"/>
      <w:bookmarkEnd w:id="11"/>
      <w:bookmarkEnd w:id="12"/>
    </w:p>
    <w:p w14:paraId="5438F5EE">
      <w:pPr>
        <w:adjustRightInd w:val="0"/>
        <w:snapToGrid w:val="0"/>
        <w:spacing w:line="288" w:lineRule="auto"/>
        <w:ind w:firstLine="420" w:firstLineChars="200"/>
        <w:rPr>
          <w:rFonts w:hint="eastAsia" w:ascii="宋体" w:hAnsi="宋体" w:eastAsia="宋体" w:cs="Times New Roman"/>
          <w:szCs w:val="21"/>
        </w:rPr>
      </w:pPr>
      <w:bookmarkStart w:id="13" w:name="_Toc28359005"/>
      <w:bookmarkStart w:id="14" w:name="_Toc28359082"/>
      <w:bookmarkStart w:id="15" w:name="_Toc35393793"/>
      <w:bookmarkStart w:id="16" w:name="_Toc35393624"/>
      <w:r>
        <w:rPr>
          <w:rFonts w:hint="eastAsia" w:ascii="宋体" w:hAnsi="宋体" w:eastAsia="宋体" w:cs="Times New Roman"/>
          <w:szCs w:val="21"/>
        </w:rPr>
        <w:t>1</w:t>
      </w:r>
      <w:r>
        <w:rPr>
          <w:rFonts w:ascii="宋体" w:hAnsi="宋体" w:eastAsia="宋体" w:cs="Times New Roman"/>
          <w:szCs w:val="21"/>
        </w:rPr>
        <w:t>.</w:t>
      </w:r>
      <w:r>
        <w:rPr>
          <w:rFonts w:hint="eastAsia" w:ascii="宋体" w:hAnsi="宋体" w:eastAsia="宋体" w:cs="Times New Roman"/>
          <w:szCs w:val="21"/>
        </w:rPr>
        <w:t>时间：</w:t>
      </w:r>
      <w:r>
        <w:rPr>
          <w:rFonts w:hint="eastAsia" w:ascii="宋体" w:hAnsi="宋体" w:eastAsia="宋体" w:cs="Times New Roman"/>
          <w:szCs w:val="21"/>
          <w:lang w:eastAsia="zh-CN"/>
        </w:rPr>
        <w:t>2024年12月30日至2025年1月20日</w:t>
      </w:r>
      <w:r>
        <w:rPr>
          <w:rFonts w:hint="eastAsia" w:ascii="宋体" w:hAnsi="宋体" w:eastAsia="宋体" w:cs="Times New Roman"/>
          <w:szCs w:val="21"/>
        </w:rPr>
        <w:t>，上午</w:t>
      </w:r>
      <w:r>
        <w:rPr>
          <w:rFonts w:hint="eastAsia" w:ascii="宋体" w:hAnsi="宋体" w:eastAsia="宋体" w:cs="Times New Roman"/>
          <w:bCs/>
          <w:szCs w:val="21"/>
        </w:rPr>
        <w:t>00:00至12:00，下午12:00至23:59（北京时间，线上获取法定节假日均可，线下获取文件法定节假日除外）</w:t>
      </w:r>
    </w:p>
    <w:p w14:paraId="283F8B85">
      <w:pPr>
        <w:adjustRightInd w:val="0"/>
        <w:snapToGrid w:val="0"/>
        <w:spacing w:line="288" w:lineRule="auto"/>
        <w:ind w:firstLine="420" w:firstLineChars="200"/>
        <w:rPr>
          <w:rFonts w:hint="eastAsia"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w:t>
      </w:r>
      <w:r>
        <w:rPr>
          <w:rFonts w:hint="eastAsia" w:ascii="宋体" w:hAnsi="宋体" w:eastAsia="宋体" w:cs="Times New Roman"/>
          <w:szCs w:val="21"/>
        </w:rPr>
        <w:t>地点（网址）：政府采购云平台（https://www.zcygov.cn）</w:t>
      </w:r>
    </w:p>
    <w:p w14:paraId="28D841EA">
      <w:pPr>
        <w:adjustRightInd w:val="0"/>
        <w:snapToGrid w:val="0"/>
        <w:spacing w:line="288" w:lineRule="auto"/>
        <w:ind w:firstLine="420" w:firstLineChars="200"/>
        <w:rPr>
          <w:rFonts w:hint="eastAsia"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w:t>
      </w:r>
      <w:r>
        <w:rPr>
          <w:rFonts w:hint="eastAsia" w:ascii="宋体" w:hAnsi="宋体" w:eastAsia="宋体" w:cs="Times New Roman"/>
          <w:szCs w:val="21"/>
        </w:rPr>
        <w:t>方式：供应商登录政采云平台（https://www.zcygov.cn）</w:t>
      </w:r>
      <w:r>
        <w:rPr>
          <w:rFonts w:ascii="宋体" w:hAnsi="宋体" w:eastAsia="宋体" w:cs="Times New Roman"/>
          <w:szCs w:val="21"/>
        </w:rPr>
        <w:t>在线申请获取采购文件（进入“项目采购”应用，在获取采购文件菜单中选择项目，申请获取采购文件）。</w:t>
      </w:r>
    </w:p>
    <w:p w14:paraId="0B656442">
      <w:pPr>
        <w:adjustRightInd w:val="0"/>
        <w:snapToGrid w:val="0"/>
        <w:spacing w:line="288" w:lineRule="auto"/>
        <w:ind w:firstLine="420" w:firstLineChars="200"/>
        <w:rPr>
          <w:rFonts w:hint="eastAsia" w:ascii="宋体" w:hAnsi="宋体" w:eastAsia="宋体" w:cs="Times New Roman"/>
          <w:szCs w:val="21"/>
        </w:rPr>
      </w:pPr>
      <w:r>
        <w:rPr>
          <w:rFonts w:hint="eastAsia" w:ascii="宋体" w:hAnsi="宋体" w:eastAsia="宋体" w:cs="Times New Roman"/>
          <w:szCs w:val="21"/>
        </w:rPr>
        <w:t>4</w:t>
      </w:r>
      <w:r>
        <w:rPr>
          <w:rFonts w:ascii="宋体" w:hAnsi="宋体" w:eastAsia="宋体" w:cs="Times New Roman"/>
          <w:szCs w:val="21"/>
        </w:rPr>
        <w:t>.</w:t>
      </w:r>
      <w:r>
        <w:rPr>
          <w:rFonts w:hint="eastAsia" w:ascii="宋体" w:hAnsi="宋体" w:eastAsia="宋体" w:cs="Times New Roman"/>
          <w:szCs w:val="21"/>
        </w:rPr>
        <w:t>售价（元）：0</w:t>
      </w:r>
    </w:p>
    <w:p w14:paraId="4BC3FEEF">
      <w:pPr>
        <w:adjustRightInd w:val="0"/>
        <w:snapToGrid w:val="0"/>
        <w:spacing w:line="288" w:lineRule="auto"/>
        <w:rPr>
          <w:rFonts w:hint="eastAsia" w:ascii="宋体" w:hAnsi="宋体" w:eastAsia="宋体" w:cs="宋体"/>
          <w:b/>
          <w:szCs w:val="21"/>
        </w:rPr>
      </w:pPr>
      <w:r>
        <w:rPr>
          <w:rFonts w:hint="eastAsia" w:ascii="宋体" w:hAnsi="宋体" w:eastAsia="宋体" w:cs="宋体"/>
          <w:b/>
          <w:szCs w:val="21"/>
        </w:rPr>
        <w:t>四、提交（上传）投标文件</w:t>
      </w:r>
      <w:bookmarkEnd w:id="13"/>
      <w:bookmarkEnd w:id="14"/>
      <w:r>
        <w:rPr>
          <w:rFonts w:hint="eastAsia" w:ascii="宋体" w:hAnsi="宋体" w:eastAsia="宋体" w:cs="宋体"/>
          <w:b/>
          <w:szCs w:val="21"/>
        </w:rPr>
        <w:t>截止时间、开标时间和地点</w:t>
      </w:r>
      <w:bookmarkEnd w:id="15"/>
      <w:bookmarkEnd w:id="16"/>
    </w:p>
    <w:p w14:paraId="3917F130">
      <w:pPr>
        <w:adjustRightInd w:val="0"/>
        <w:snapToGrid w:val="0"/>
        <w:spacing w:line="288" w:lineRule="auto"/>
        <w:ind w:firstLine="420" w:firstLineChars="200"/>
        <w:rPr>
          <w:rFonts w:hint="eastAsia" w:ascii="宋体" w:hAnsi="宋体" w:eastAsia="宋体" w:cs="Times New Roman"/>
          <w:bCs/>
          <w:szCs w:val="21"/>
        </w:rPr>
      </w:pPr>
      <w:bookmarkStart w:id="17" w:name="_Hlk81212057"/>
      <w:r>
        <w:rPr>
          <w:rFonts w:hint="eastAsia" w:ascii="宋体" w:hAnsi="宋体" w:eastAsia="宋体" w:cs="Times New Roman"/>
          <w:bCs/>
          <w:szCs w:val="21"/>
        </w:rPr>
        <w:t>提交投标文件截止时间：</w:t>
      </w:r>
      <w:r>
        <w:rPr>
          <w:rFonts w:hint="eastAsia" w:ascii="宋体" w:hAnsi="宋体" w:eastAsia="宋体" w:cs="Times New Roman"/>
          <w:bCs/>
          <w:szCs w:val="21"/>
          <w:lang w:eastAsia="zh-CN"/>
        </w:rPr>
        <w:t>2025年1月20日14:00:00</w:t>
      </w:r>
      <w:r>
        <w:rPr>
          <w:rFonts w:hint="eastAsia" w:ascii="宋体" w:hAnsi="宋体" w:eastAsia="宋体" w:cs="Times New Roman"/>
          <w:bCs/>
          <w:szCs w:val="21"/>
        </w:rPr>
        <w:t>（北京时间）</w:t>
      </w:r>
    </w:p>
    <w:p w14:paraId="668C9A86">
      <w:pPr>
        <w:adjustRightInd w:val="0"/>
        <w:snapToGrid w:val="0"/>
        <w:spacing w:line="288" w:lineRule="auto"/>
        <w:ind w:firstLine="420" w:firstLineChars="200"/>
        <w:rPr>
          <w:rFonts w:hint="eastAsia" w:ascii="宋体" w:hAnsi="宋体" w:eastAsia="宋体" w:cs="Times New Roman"/>
          <w:bCs/>
          <w:szCs w:val="21"/>
        </w:rPr>
      </w:pPr>
      <w:r>
        <w:rPr>
          <w:rFonts w:ascii="宋体" w:hAnsi="宋体" w:eastAsia="宋体" w:cs="Times New Roman"/>
          <w:bCs/>
          <w:szCs w:val="21"/>
        </w:rPr>
        <w:t>投标地点（网址）：</w:t>
      </w:r>
      <w:r>
        <w:rPr>
          <w:rFonts w:hint="eastAsia" w:ascii="宋体" w:hAnsi="宋体" w:eastAsia="宋体" w:cs="Times New Roman"/>
          <w:szCs w:val="21"/>
        </w:rPr>
        <w:t>政府采购云平台（https://www.zcygov.cn）</w:t>
      </w:r>
    </w:p>
    <w:p w14:paraId="3B10E996">
      <w:pPr>
        <w:adjustRightInd w:val="0"/>
        <w:snapToGrid w:val="0"/>
        <w:spacing w:line="288" w:lineRule="auto"/>
        <w:ind w:firstLine="420" w:firstLineChars="200"/>
        <w:rPr>
          <w:rFonts w:hint="eastAsia" w:ascii="宋体" w:hAnsi="宋体" w:eastAsia="宋体" w:cs="Times New Roman"/>
          <w:bCs/>
          <w:szCs w:val="21"/>
        </w:rPr>
      </w:pPr>
      <w:r>
        <w:rPr>
          <w:rFonts w:ascii="宋体" w:hAnsi="宋体" w:eastAsia="宋体" w:cs="Times New Roman"/>
          <w:bCs/>
          <w:szCs w:val="21"/>
        </w:rPr>
        <w:t>开标时间：</w:t>
      </w:r>
      <w:r>
        <w:rPr>
          <w:rFonts w:hint="eastAsia" w:ascii="宋体" w:hAnsi="宋体" w:eastAsia="宋体" w:cs="Times New Roman"/>
          <w:bCs/>
          <w:szCs w:val="21"/>
          <w:lang w:eastAsia="zh-CN"/>
        </w:rPr>
        <w:t>2025年1月20日14:00:00</w:t>
      </w:r>
      <w:r>
        <w:rPr>
          <w:rFonts w:hint="eastAsia" w:ascii="宋体" w:hAnsi="宋体" w:eastAsia="宋体" w:cs="Times New Roman"/>
          <w:bCs/>
          <w:szCs w:val="21"/>
        </w:rPr>
        <w:t>（北京时间）</w:t>
      </w:r>
    </w:p>
    <w:p w14:paraId="12DDF058">
      <w:pPr>
        <w:adjustRightInd w:val="0"/>
        <w:snapToGrid w:val="0"/>
        <w:spacing w:line="288" w:lineRule="auto"/>
        <w:ind w:firstLine="420" w:firstLineChars="200"/>
        <w:rPr>
          <w:rFonts w:hint="eastAsia" w:ascii="宋体" w:hAnsi="宋体" w:eastAsia="宋体" w:cs="Times New Roman"/>
          <w:bCs/>
          <w:szCs w:val="21"/>
        </w:rPr>
      </w:pPr>
      <w:r>
        <w:rPr>
          <w:rFonts w:ascii="宋体" w:hAnsi="宋体" w:eastAsia="宋体" w:cs="Times New Roman"/>
          <w:bCs/>
          <w:szCs w:val="21"/>
        </w:rPr>
        <w:t>开标地点（网址）：</w:t>
      </w:r>
      <w:r>
        <w:rPr>
          <w:rFonts w:hint="eastAsia" w:ascii="宋体" w:hAnsi="宋体" w:eastAsia="宋体" w:cs="Times New Roman"/>
          <w:szCs w:val="21"/>
        </w:rPr>
        <w:t>政府采购云平台（https://www.zcygov.cn）</w:t>
      </w:r>
      <w:bookmarkStart w:id="18" w:name="_Hlk81212131"/>
      <w:r>
        <w:rPr>
          <w:rFonts w:hint="eastAsia" w:ascii="宋体" w:hAnsi="宋体" w:eastAsia="宋体" w:cs="Times New Roman"/>
          <w:szCs w:val="21"/>
        </w:rPr>
        <w:t>/</w:t>
      </w:r>
      <w:bookmarkEnd w:id="18"/>
      <w:r>
        <w:rPr>
          <w:rFonts w:hint="eastAsia" w:ascii="宋体" w:hAnsi="宋体" w:eastAsia="宋体" w:cs="Times New Roman"/>
          <w:szCs w:val="21"/>
        </w:rPr>
        <w:t>杭州市西湖区玉古路173号中田大厦21楼（求是招标会议室4）</w:t>
      </w:r>
    </w:p>
    <w:bookmarkEnd w:id="17"/>
    <w:p w14:paraId="675A1311">
      <w:pPr>
        <w:adjustRightInd w:val="0"/>
        <w:snapToGrid w:val="0"/>
        <w:spacing w:line="288" w:lineRule="auto"/>
        <w:rPr>
          <w:rFonts w:hint="eastAsia" w:ascii="宋体" w:hAnsi="宋体" w:eastAsia="宋体" w:cs="宋体"/>
          <w:b/>
          <w:szCs w:val="21"/>
        </w:rPr>
      </w:pPr>
      <w:bookmarkStart w:id="19" w:name="_Toc28359007"/>
      <w:bookmarkStart w:id="20" w:name="_Toc35393794"/>
      <w:bookmarkStart w:id="21" w:name="_Toc28359084"/>
      <w:bookmarkStart w:id="22" w:name="_Toc35393625"/>
      <w:r>
        <w:rPr>
          <w:rFonts w:hint="eastAsia" w:ascii="宋体" w:hAnsi="宋体" w:eastAsia="宋体" w:cs="宋体"/>
          <w:b/>
          <w:szCs w:val="21"/>
        </w:rPr>
        <w:t>五、公告期限</w:t>
      </w:r>
      <w:bookmarkEnd w:id="19"/>
      <w:bookmarkEnd w:id="20"/>
      <w:bookmarkEnd w:id="21"/>
      <w:bookmarkEnd w:id="22"/>
    </w:p>
    <w:p w14:paraId="059A6EBD">
      <w:pPr>
        <w:adjustRightInd w:val="0"/>
        <w:snapToGrid w:val="0"/>
        <w:spacing w:line="288"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自本公告发布之日起5个工作日。</w:t>
      </w:r>
    </w:p>
    <w:p w14:paraId="1096E9EE">
      <w:pPr>
        <w:adjustRightInd w:val="0"/>
        <w:snapToGrid w:val="0"/>
        <w:spacing w:line="288" w:lineRule="auto"/>
        <w:rPr>
          <w:rFonts w:hint="eastAsia" w:ascii="宋体" w:hAnsi="宋体" w:eastAsia="宋体" w:cs="宋体"/>
          <w:b/>
          <w:szCs w:val="21"/>
        </w:rPr>
      </w:pPr>
      <w:bookmarkStart w:id="23" w:name="_Toc35393626"/>
      <w:bookmarkStart w:id="24" w:name="_Toc35393795"/>
      <w:r>
        <w:rPr>
          <w:rFonts w:hint="eastAsia" w:ascii="宋体" w:hAnsi="宋体" w:eastAsia="宋体" w:cs="宋体"/>
          <w:b/>
          <w:szCs w:val="21"/>
        </w:rPr>
        <w:t>六、其他补充事宜</w:t>
      </w:r>
      <w:bookmarkEnd w:id="23"/>
      <w:bookmarkEnd w:id="24"/>
    </w:p>
    <w:p w14:paraId="08991BD1">
      <w:pPr>
        <w:adjustRightInd w:val="0"/>
        <w:snapToGrid w:val="0"/>
        <w:spacing w:line="288" w:lineRule="auto"/>
        <w:ind w:firstLine="420" w:firstLineChars="200"/>
        <w:rPr>
          <w:rFonts w:hint="eastAsia" w:ascii="宋体" w:hAnsi="宋体" w:eastAsia="宋体" w:cs="Times New Roman"/>
          <w:szCs w:val="21"/>
        </w:rPr>
      </w:pPr>
      <w:bookmarkStart w:id="25" w:name="_Hlk92271231"/>
      <w:r>
        <w:rPr>
          <w:rFonts w:ascii="宋体" w:hAnsi="宋体" w:eastAsia="宋体" w:cs="Times New Roman"/>
          <w:szCs w:val="21"/>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74CCD7EC">
      <w:pPr>
        <w:adjustRightInd w:val="0"/>
        <w:snapToGrid w:val="0"/>
        <w:spacing w:line="288" w:lineRule="auto"/>
        <w:ind w:firstLine="420" w:firstLineChars="200"/>
        <w:rPr>
          <w:rFonts w:hint="eastAsia" w:ascii="宋体" w:hAnsi="宋体" w:eastAsia="宋体" w:cs="Times New Roman"/>
          <w:szCs w:val="21"/>
        </w:rPr>
      </w:pPr>
      <w:r>
        <w:rPr>
          <w:rFonts w:ascii="宋体" w:hAnsi="宋体" w:eastAsia="宋体" w:cs="Times New Roman"/>
          <w:szCs w:val="21"/>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71845F02">
      <w:pPr>
        <w:adjustRightInd w:val="0"/>
        <w:snapToGrid w:val="0"/>
        <w:spacing w:line="288" w:lineRule="auto"/>
        <w:ind w:firstLine="420" w:firstLineChars="200"/>
        <w:rPr>
          <w:rFonts w:hint="eastAsia" w:ascii="宋体" w:hAnsi="宋体" w:eastAsia="宋体" w:cs="Times New Roman"/>
          <w:szCs w:val="21"/>
        </w:rPr>
      </w:pPr>
      <w:r>
        <w:rPr>
          <w:rFonts w:ascii="宋体" w:hAnsi="宋体" w:eastAsia="宋体" w:cs="Times New Roman"/>
          <w:szCs w:val="21"/>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7E3DCDAD">
      <w:pPr>
        <w:adjustRightInd w:val="0"/>
        <w:snapToGrid w:val="0"/>
        <w:spacing w:line="288" w:lineRule="auto"/>
        <w:ind w:firstLine="420" w:firstLineChars="200"/>
        <w:rPr>
          <w:rFonts w:hint="eastAsia" w:ascii="宋体" w:hAnsi="宋体" w:eastAsia="宋体" w:cs="Times New Roman"/>
          <w:szCs w:val="21"/>
        </w:rPr>
      </w:pPr>
      <w:r>
        <w:rPr>
          <w:rFonts w:ascii="宋体" w:hAnsi="宋体" w:eastAsia="宋体" w:cs="Times New Roman"/>
          <w:szCs w:val="21"/>
        </w:rPr>
        <w:t>4.其他事项：</w:t>
      </w:r>
      <w:bookmarkStart w:id="26" w:name="_Hlk92271331"/>
    </w:p>
    <w:p w14:paraId="24087317">
      <w:pPr>
        <w:adjustRightInd w:val="0"/>
        <w:snapToGrid w:val="0"/>
        <w:spacing w:line="288" w:lineRule="auto"/>
        <w:ind w:firstLine="420" w:firstLineChars="200"/>
        <w:rPr>
          <w:rFonts w:hint="eastAsia"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需要落实的政府采购政策：包括节约资源、保护环境、</w:t>
      </w:r>
      <w:bookmarkStart w:id="27" w:name="_Hlk106877787"/>
      <w:r>
        <w:rPr>
          <w:rFonts w:hint="eastAsia" w:ascii="宋体" w:hAnsi="宋体" w:eastAsia="宋体" w:cs="Times New Roman"/>
          <w:szCs w:val="21"/>
        </w:rPr>
        <w:t>支持科技创新、</w:t>
      </w:r>
      <w:bookmarkEnd w:id="27"/>
      <w:r>
        <w:rPr>
          <w:rFonts w:ascii="宋体" w:hAnsi="宋体" w:eastAsia="宋体" w:cs="Times New Roman"/>
          <w:szCs w:val="21"/>
        </w:rPr>
        <w:t>促进中小企业发展等。详见招标文件的第</w:t>
      </w:r>
      <w:r>
        <w:rPr>
          <w:rFonts w:hint="eastAsia" w:ascii="宋体" w:hAnsi="宋体" w:eastAsia="宋体" w:cs="Times New Roman"/>
          <w:szCs w:val="21"/>
        </w:rPr>
        <w:t>三章-采购项目需要落实的政府采购政策</w:t>
      </w:r>
      <w:r>
        <w:rPr>
          <w:rFonts w:ascii="宋体" w:hAnsi="宋体" w:eastAsia="宋体" w:cs="Times New Roman"/>
          <w:szCs w:val="21"/>
        </w:rPr>
        <w:t>。</w:t>
      </w:r>
    </w:p>
    <w:p w14:paraId="7333FBF7">
      <w:pPr>
        <w:adjustRightInd w:val="0"/>
        <w:snapToGrid w:val="0"/>
        <w:spacing w:line="288" w:lineRule="auto"/>
        <w:ind w:firstLine="420" w:firstLineChars="200"/>
        <w:rPr>
          <w:rFonts w:hint="eastAsia" w:ascii="宋体" w:hAnsi="宋体" w:eastAsia="宋体" w:cs="Times New Roman"/>
          <w:szCs w:val="21"/>
        </w:rPr>
      </w:pPr>
      <w:r>
        <w:rPr>
          <w:rFonts w:hint="eastAsia" w:ascii="宋体" w:hAnsi="宋体" w:eastAsia="宋体" w:cs="Times New Roman"/>
          <w:szCs w:val="21"/>
        </w:rPr>
        <w:t>▲</w:t>
      </w:r>
      <w:bookmarkStart w:id="28" w:name="_Hlk92271072"/>
      <w:r>
        <w:rPr>
          <w:rFonts w:hint="eastAsia" w:ascii="宋体" w:hAnsi="宋体" w:eastAsia="宋体" w:cs="Times New Roman"/>
          <w:szCs w:val="21"/>
        </w:rPr>
        <w:t>（2）</w:t>
      </w:r>
      <w:r>
        <w:rPr>
          <w:rFonts w:ascii="宋体" w:hAnsi="宋体" w:eastAsia="宋体" w:cs="Times New Roman"/>
          <w:szCs w:val="21"/>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bookmarkEnd w:id="28"/>
    </w:p>
    <w:bookmarkEnd w:id="25"/>
    <w:bookmarkEnd w:id="26"/>
    <w:p w14:paraId="2C561EEE">
      <w:pPr>
        <w:adjustRightInd w:val="0"/>
        <w:snapToGrid w:val="0"/>
        <w:spacing w:line="288" w:lineRule="auto"/>
        <w:rPr>
          <w:rFonts w:hint="eastAsia" w:ascii="宋体" w:hAnsi="宋体" w:eastAsia="宋体" w:cs="Times New Roman"/>
          <w:b/>
          <w:szCs w:val="21"/>
        </w:rPr>
      </w:pPr>
      <w:bookmarkStart w:id="29" w:name="_Toc35393796"/>
      <w:bookmarkStart w:id="30" w:name="_Toc28359008"/>
      <w:bookmarkStart w:id="31" w:name="_Toc35393627"/>
      <w:bookmarkStart w:id="32" w:name="_Toc28359085"/>
      <w:r>
        <w:rPr>
          <w:rFonts w:hint="eastAsia" w:ascii="宋体" w:hAnsi="宋体" w:eastAsia="宋体" w:cs="宋体"/>
          <w:b/>
          <w:szCs w:val="21"/>
        </w:rPr>
        <w:t>七、对本次招标提出询问、质疑、投诉请按</w:t>
      </w:r>
      <w:r>
        <w:rPr>
          <w:rFonts w:ascii="宋体" w:hAnsi="宋体" w:eastAsia="宋体" w:cs="宋体"/>
          <w:b/>
          <w:szCs w:val="21"/>
        </w:rPr>
        <w:t>以下方式</w:t>
      </w:r>
      <w:r>
        <w:rPr>
          <w:rFonts w:hint="eastAsia" w:ascii="宋体" w:hAnsi="宋体" w:eastAsia="宋体" w:cs="宋体"/>
          <w:b/>
          <w:szCs w:val="21"/>
        </w:rPr>
        <w:t>联系</w:t>
      </w:r>
      <w:bookmarkEnd w:id="29"/>
      <w:bookmarkEnd w:id="30"/>
      <w:bookmarkEnd w:id="31"/>
      <w:bookmarkEnd w:id="32"/>
    </w:p>
    <w:p w14:paraId="7EED4F06">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1.采购人信息</w:t>
      </w:r>
    </w:p>
    <w:p w14:paraId="70FD8CB7">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名称：浙江工商大学</w:t>
      </w:r>
    </w:p>
    <w:p w14:paraId="4A0C4C47">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地址：浙江省杭州市下沙高教园区学正街18号</w:t>
      </w:r>
    </w:p>
    <w:p w14:paraId="54D72D1D">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传真：/</w:t>
      </w:r>
    </w:p>
    <w:p w14:paraId="5DEA8BE6">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项目联系人（询问）：耿老师</w:t>
      </w:r>
    </w:p>
    <w:p w14:paraId="0A05D2A5">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项目联系方式（询问）：0571-28872509</w:t>
      </w:r>
    </w:p>
    <w:p w14:paraId="1C6EC07C">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质疑联系人：陈老师</w:t>
      </w:r>
    </w:p>
    <w:p w14:paraId="5FDB25E5">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质疑联系方式：0571-28877292</w:t>
      </w:r>
    </w:p>
    <w:p w14:paraId="75499BA7">
      <w:pPr>
        <w:adjustRightInd w:val="0"/>
        <w:snapToGrid w:val="0"/>
        <w:spacing w:line="288" w:lineRule="auto"/>
        <w:ind w:firstLine="424" w:firstLineChars="202"/>
        <w:rPr>
          <w:rFonts w:hint="eastAsia" w:ascii="宋体" w:hAnsi="宋体" w:eastAsia="宋体" w:cs="Times New Roman"/>
          <w:szCs w:val="21"/>
        </w:rPr>
      </w:pPr>
    </w:p>
    <w:p w14:paraId="23E5513A">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2.采购代理机构信息</w:t>
      </w:r>
    </w:p>
    <w:p w14:paraId="2F69E5C7">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名称：浙江求是招标代理有限公司</w:t>
      </w:r>
    </w:p>
    <w:p w14:paraId="0CA0D69E">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地址：杭州市西湖区玉古路173号中田大厦21楼</w:t>
      </w:r>
    </w:p>
    <w:p w14:paraId="11561E47">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传真：/</w:t>
      </w:r>
    </w:p>
    <w:p w14:paraId="2FD44A15">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项目联系人（询问）：</w:t>
      </w:r>
      <w:r>
        <w:rPr>
          <w:rFonts w:hint="eastAsia" w:ascii="宋体" w:hAnsi="宋体" w:eastAsia="宋体" w:cs="Times New Roman"/>
          <w:bCs/>
          <w:spacing w:val="-6"/>
          <w:szCs w:val="21"/>
        </w:rPr>
        <w:t>李聪、温瑶、陈培特、陈丹妮、杜伟波</w:t>
      </w:r>
    </w:p>
    <w:p w14:paraId="7E2ADB9F">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项目联系方式（询问）：0571-87666115</w:t>
      </w:r>
    </w:p>
    <w:p w14:paraId="4D38545A">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质疑联系人：周安琪</w:t>
      </w:r>
    </w:p>
    <w:p w14:paraId="0508E8A0">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质疑联系方式：0571-81110356</w:t>
      </w:r>
    </w:p>
    <w:p w14:paraId="41D0F321">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质疑邮箱：</w:t>
      </w:r>
      <w:r>
        <w:rPr>
          <w:rFonts w:ascii="宋体" w:hAnsi="宋体" w:eastAsia="宋体" w:cs="Times New Roman"/>
          <w:szCs w:val="21"/>
        </w:rPr>
        <w:t>jdkh@qszb.net</w:t>
      </w:r>
    </w:p>
    <w:p w14:paraId="080C0AE3">
      <w:pPr>
        <w:adjustRightInd w:val="0"/>
        <w:snapToGrid w:val="0"/>
        <w:spacing w:line="288" w:lineRule="auto"/>
        <w:ind w:firstLine="424" w:firstLineChars="202"/>
        <w:rPr>
          <w:rFonts w:hint="eastAsia" w:ascii="宋体" w:hAnsi="宋体" w:eastAsia="宋体" w:cs="Times New Roman"/>
          <w:szCs w:val="21"/>
        </w:rPr>
      </w:pPr>
      <w:bookmarkStart w:id="33" w:name="_Hlk124147873"/>
    </w:p>
    <w:p w14:paraId="510A6E65">
      <w:pPr>
        <w:adjustRightInd w:val="0"/>
        <w:snapToGrid w:val="0"/>
        <w:spacing w:line="288" w:lineRule="auto"/>
        <w:ind w:firstLine="425" w:firstLineChars="215"/>
        <w:rPr>
          <w:rFonts w:hint="eastAsia" w:ascii="宋体" w:hAnsi="宋体" w:eastAsia="宋体" w:cs="Times New Roman"/>
          <w:spacing w:val="-6"/>
          <w:szCs w:val="21"/>
        </w:rPr>
      </w:pPr>
      <w:r>
        <w:rPr>
          <w:rFonts w:ascii="宋体" w:hAnsi="宋体" w:eastAsia="宋体" w:cs="Times New Roman"/>
          <w:spacing w:val="-6"/>
          <w:szCs w:val="21"/>
        </w:rPr>
        <w:t>3.同级政府采购监督管理部门</w:t>
      </w:r>
    </w:p>
    <w:p w14:paraId="183A00EB">
      <w:pPr>
        <w:adjustRightInd w:val="0"/>
        <w:snapToGrid w:val="0"/>
        <w:spacing w:line="288" w:lineRule="auto"/>
        <w:ind w:firstLine="425" w:firstLineChars="215"/>
        <w:rPr>
          <w:rFonts w:hint="eastAsia" w:ascii="宋体" w:hAnsi="宋体" w:eastAsia="宋体" w:cs="Times New Roman"/>
          <w:spacing w:val="-6"/>
          <w:szCs w:val="21"/>
        </w:rPr>
      </w:pPr>
      <w:r>
        <w:rPr>
          <w:rFonts w:ascii="宋体" w:hAnsi="宋体" w:eastAsia="宋体" w:cs="Times New Roman"/>
          <w:spacing w:val="-6"/>
          <w:szCs w:val="21"/>
        </w:rPr>
        <w:t>名称：浙江省财政厅政府采购监管处、浙江省政府采购行政裁决服务中心（杭州）</w:t>
      </w:r>
    </w:p>
    <w:p w14:paraId="04420440">
      <w:pPr>
        <w:adjustRightInd w:val="0"/>
        <w:snapToGrid w:val="0"/>
        <w:spacing w:line="288" w:lineRule="auto"/>
        <w:ind w:firstLine="425" w:firstLineChars="215"/>
        <w:rPr>
          <w:rFonts w:hint="eastAsia" w:ascii="宋体" w:hAnsi="宋体" w:eastAsia="宋体" w:cs="Times New Roman"/>
          <w:spacing w:val="-6"/>
          <w:szCs w:val="21"/>
        </w:rPr>
      </w:pPr>
      <w:r>
        <w:rPr>
          <w:rFonts w:ascii="宋体" w:hAnsi="宋体" w:eastAsia="宋体" w:cs="Times New Roman"/>
          <w:spacing w:val="-6"/>
          <w:szCs w:val="21"/>
        </w:rPr>
        <w:t>地址：</w:t>
      </w:r>
      <w:r>
        <w:rPr>
          <w:rFonts w:hint="eastAsia" w:ascii="宋体" w:hAnsi="宋体" w:eastAsia="宋体" w:cs="Times New Roman"/>
          <w:spacing w:val="-6"/>
          <w:szCs w:val="21"/>
        </w:rPr>
        <w:t>杭州市上城区清泰街549号城建综合大楼11楼（快递仅限ems或顺丰）</w:t>
      </w:r>
    </w:p>
    <w:p w14:paraId="73A9CCA9">
      <w:pPr>
        <w:adjustRightInd w:val="0"/>
        <w:snapToGrid w:val="0"/>
        <w:spacing w:line="288" w:lineRule="auto"/>
        <w:ind w:firstLine="425" w:firstLineChars="215"/>
        <w:rPr>
          <w:rFonts w:hint="eastAsia" w:ascii="宋体" w:hAnsi="宋体" w:eastAsia="宋体" w:cs="Times New Roman"/>
          <w:spacing w:val="-6"/>
          <w:szCs w:val="21"/>
        </w:rPr>
      </w:pPr>
      <w:r>
        <w:rPr>
          <w:rFonts w:ascii="宋体" w:hAnsi="宋体" w:eastAsia="宋体" w:cs="Times New Roman"/>
          <w:spacing w:val="-6"/>
          <w:szCs w:val="21"/>
        </w:rPr>
        <w:t>传真：/</w:t>
      </w:r>
    </w:p>
    <w:p w14:paraId="541D5F30">
      <w:pPr>
        <w:adjustRightInd w:val="0"/>
        <w:snapToGrid w:val="0"/>
        <w:spacing w:line="288" w:lineRule="auto"/>
        <w:ind w:firstLine="425" w:firstLineChars="215"/>
        <w:rPr>
          <w:rFonts w:hint="eastAsia" w:ascii="宋体" w:hAnsi="宋体" w:eastAsia="宋体" w:cs="Times New Roman"/>
          <w:spacing w:val="-6"/>
          <w:szCs w:val="21"/>
        </w:rPr>
      </w:pPr>
      <w:r>
        <w:rPr>
          <w:rFonts w:ascii="宋体" w:hAnsi="宋体" w:eastAsia="宋体" w:cs="Times New Roman"/>
          <w:spacing w:val="-6"/>
          <w:szCs w:val="21"/>
        </w:rPr>
        <w:t>联系人：朱女士、王女士</w:t>
      </w:r>
    </w:p>
    <w:p w14:paraId="05D98E95">
      <w:pPr>
        <w:adjustRightInd w:val="0"/>
        <w:snapToGrid w:val="0"/>
        <w:spacing w:line="288" w:lineRule="auto"/>
        <w:ind w:firstLine="425" w:firstLineChars="215"/>
        <w:rPr>
          <w:rFonts w:hint="eastAsia" w:ascii="宋体" w:hAnsi="宋体" w:eastAsia="宋体" w:cs="Times New Roman"/>
          <w:spacing w:val="-6"/>
          <w:szCs w:val="21"/>
        </w:rPr>
      </w:pPr>
      <w:r>
        <w:rPr>
          <w:rFonts w:ascii="宋体" w:hAnsi="宋体" w:eastAsia="宋体" w:cs="Times New Roman"/>
          <w:spacing w:val="-6"/>
          <w:szCs w:val="21"/>
        </w:rPr>
        <w:t>监督投诉电话：</w:t>
      </w:r>
      <w:r>
        <w:rPr>
          <w:rFonts w:hint="eastAsia" w:ascii="宋体" w:hAnsi="宋体" w:eastAsia="宋体" w:cs="Times New Roman"/>
          <w:spacing w:val="-6"/>
          <w:szCs w:val="21"/>
        </w:rPr>
        <w:t>0571-87227671,0571-87800218</w:t>
      </w:r>
    </w:p>
    <w:p w14:paraId="063F8AF4">
      <w:pPr>
        <w:adjustRightInd w:val="0"/>
        <w:snapToGrid w:val="0"/>
        <w:spacing w:line="288" w:lineRule="auto"/>
        <w:ind w:firstLine="425" w:firstLineChars="215"/>
        <w:rPr>
          <w:rFonts w:hint="eastAsia" w:ascii="宋体" w:hAnsi="宋体" w:eastAsia="宋体" w:cs="Times New Roman"/>
          <w:spacing w:val="-6"/>
          <w:szCs w:val="21"/>
        </w:rPr>
      </w:pPr>
    </w:p>
    <w:p w14:paraId="4EC2552F">
      <w:pPr>
        <w:adjustRightInd w:val="0"/>
        <w:snapToGrid w:val="0"/>
        <w:spacing w:line="288" w:lineRule="auto"/>
        <w:ind w:firstLine="425" w:firstLineChars="215"/>
        <w:rPr>
          <w:rFonts w:hint="eastAsia" w:ascii="宋体" w:hAnsi="宋体" w:eastAsia="宋体" w:cs="Times New Roman"/>
          <w:spacing w:val="-6"/>
          <w:szCs w:val="21"/>
        </w:rPr>
      </w:pPr>
      <w:r>
        <w:rPr>
          <w:rFonts w:ascii="宋体" w:hAnsi="宋体" w:eastAsia="宋体" w:cs="Times New Roman"/>
          <w:spacing w:val="-6"/>
          <w:szCs w:val="21"/>
        </w:rPr>
        <w:t>政策咨询：何一平、冯华，0571-87058424、87055741</w:t>
      </w:r>
    </w:p>
    <w:p w14:paraId="104ABBCD">
      <w:pPr>
        <w:adjustRightInd w:val="0"/>
        <w:snapToGrid w:val="0"/>
        <w:spacing w:line="288" w:lineRule="auto"/>
        <w:ind w:firstLine="425" w:firstLineChars="215"/>
        <w:rPr>
          <w:rFonts w:hint="eastAsia" w:ascii="宋体" w:hAnsi="宋体" w:eastAsia="宋体" w:cs="Times New Roman"/>
          <w:spacing w:val="-6"/>
          <w:szCs w:val="21"/>
        </w:rPr>
      </w:pPr>
      <w:r>
        <w:rPr>
          <w:rFonts w:ascii="宋体" w:hAnsi="宋体" w:eastAsia="宋体" w:cs="Times New Roman"/>
          <w:spacing w:val="-6"/>
          <w:szCs w:val="21"/>
        </w:rPr>
        <w:t>预算金额未达100万元的采购项目，由采购人处理采购争议。</w:t>
      </w:r>
    </w:p>
    <w:p w14:paraId="1E136524">
      <w:pPr>
        <w:adjustRightInd w:val="0"/>
        <w:snapToGrid w:val="0"/>
        <w:spacing w:line="288" w:lineRule="auto"/>
        <w:ind w:firstLine="370"/>
        <w:rPr>
          <w:rFonts w:hint="eastAsia" w:ascii="宋体" w:hAnsi="宋体" w:eastAsia="宋体" w:cs="Times New Roman"/>
          <w:spacing w:val="-6"/>
          <w:szCs w:val="21"/>
        </w:rPr>
      </w:pPr>
    </w:p>
    <w:p w14:paraId="691BDC5C">
      <w:pPr>
        <w:adjustRightInd w:val="0"/>
        <w:snapToGrid w:val="0"/>
        <w:spacing w:line="288" w:lineRule="auto"/>
        <w:ind w:firstLine="420" w:firstLineChars="200"/>
        <w:rPr>
          <w:rFonts w:hint="eastAsia" w:ascii="宋体" w:hAnsi="宋体" w:eastAsia="宋体" w:cs="Times New Roman"/>
          <w:szCs w:val="21"/>
        </w:rPr>
      </w:pPr>
      <w:bookmarkStart w:id="34" w:name="_Hlk143604927"/>
      <w:r>
        <w:rPr>
          <w:rFonts w:hint="eastAsia" w:ascii="宋体" w:hAnsi="宋体" w:eastAsia="宋体" w:cs="Times New Roman"/>
          <w:szCs w:val="21"/>
        </w:rPr>
        <w:t>若对项目采购电子交易系统操作有疑问，可登录政采云（</w:t>
      </w:r>
      <w:r>
        <w:rPr>
          <w:rFonts w:ascii="宋体" w:hAnsi="宋体" w:eastAsia="宋体" w:cs="Times New Roman"/>
          <w:szCs w:val="21"/>
        </w:rPr>
        <w:t>https://www.zcygov.cn/），点击右侧咨询小采，获取采小蜜智能服务管家帮助，或拨打政采云服务热线95763获取热线服务帮助。</w:t>
      </w:r>
    </w:p>
    <w:p w14:paraId="6CE19DCB">
      <w:pPr>
        <w:adjustRightInd w:val="0"/>
        <w:snapToGrid w:val="0"/>
        <w:spacing w:line="288" w:lineRule="auto"/>
        <w:ind w:firstLine="420" w:firstLineChars="200"/>
        <w:rPr>
          <w:rFonts w:hint="eastAsia" w:ascii="宋体" w:hAnsi="宋体" w:eastAsia="宋体" w:cs="Times New Roman"/>
          <w:szCs w:val="21"/>
        </w:rPr>
      </w:pPr>
      <w:r>
        <w:rPr>
          <w:rFonts w:ascii="宋体" w:hAnsi="宋体" w:eastAsia="宋体" w:cs="Times New Roman"/>
          <w:szCs w:val="21"/>
        </w:rPr>
        <w:t>CA问题联系电话（人工）：汇信CA 400-888-4636；天谷CA 400-087-8198。</w:t>
      </w:r>
    </w:p>
    <w:bookmarkEnd w:id="33"/>
    <w:bookmarkEnd w:id="34"/>
    <w:p w14:paraId="266F75ED">
      <w:pPr>
        <w:adjustRightInd w:val="0"/>
        <w:snapToGrid w:val="0"/>
        <w:spacing w:line="288" w:lineRule="auto"/>
        <w:ind w:left="238"/>
        <w:jc w:val="center"/>
        <w:outlineLvl w:val="0"/>
        <w:rPr>
          <w:rFonts w:hint="eastAsia" w:ascii="宋体" w:hAnsi="宋体" w:eastAsia="宋体" w:cs="Times New Roman"/>
          <w:b/>
          <w:bCs/>
          <w:sz w:val="32"/>
          <w:szCs w:val="32"/>
        </w:rPr>
      </w:pPr>
      <w:r>
        <w:rPr>
          <w:rFonts w:hint="eastAsia" w:ascii="宋体" w:hAnsi="宋体" w:eastAsia="宋体" w:cs="Times New Roman"/>
          <w:szCs w:val="21"/>
        </w:rPr>
        <w:br w:type="page"/>
      </w:r>
      <w:r>
        <w:rPr>
          <w:rFonts w:hint="eastAsia" w:ascii="宋体" w:hAnsi="宋体" w:eastAsia="宋体" w:cs="Times New Roman"/>
          <w:b/>
          <w:sz w:val="32"/>
          <w:szCs w:val="32"/>
        </w:rPr>
        <w:t xml:space="preserve">第二章  </w:t>
      </w:r>
      <w:r>
        <w:rPr>
          <w:rFonts w:hint="eastAsia" w:ascii="宋体" w:hAnsi="宋体" w:eastAsia="宋体" w:cs="Times New Roman"/>
          <w:b/>
          <w:bCs/>
          <w:sz w:val="32"/>
          <w:szCs w:val="32"/>
        </w:rPr>
        <w:t>采购需求</w:t>
      </w:r>
    </w:p>
    <w:p w14:paraId="1D0BBE45">
      <w:pPr>
        <w:adjustRightInd w:val="0"/>
        <w:snapToGrid w:val="0"/>
        <w:spacing w:line="288" w:lineRule="auto"/>
        <w:outlineLvl w:val="1"/>
        <w:rPr>
          <w:rFonts w:hint="eastAsia" w:ascii="宋体" w:hAnsi="宋体" w:eastAsia="宋体" w:cs="Times New Roman"/>
          <w:b/>
          <w:szCs w:val="21"/>
        </w:rPr>
      </w:pPr>
      <w:r>
        <w:rPr>
          <w:rFonts w:hint="eastAsia" w:ascii="宋体" w:hAnsi="宋体" w:eastAsia="宋体" w:cs="Times New Roman"/>
          <w:b/>
          <w:szCs w:val="21"/>
        </w:rPr>
        <w:t>一、为落实政府采购政策需满足的要求</w:t>
      </w:r>
    </w:p>
    <w:tbl>
      <w:tblPr>
        <w:tblStyle w:val="2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256"/>
        <w:gridCol w:w="5529"/>
      </w:tblGrid>
      <w:tr w14:paraId="29C91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668F273E">
            <w:pPr>
              <w:adjustRightInd w:val="0"/>
              <w:snapToGrid w:val="0"/>
              <w:spacing w:line="288" w:lineRule="auto"/>
              <w:jc w:val="center"/>
              <w:rPr>
                <w:rFonts w:hint="eastAsia" w:ascii="宋体" w:hAnsi="宋体" w:eastAsia="宋体" w:cs="宋体"/>
                <w:b/>
                <w:bCs/>
                <w:szCs w:val="21"/>
              </w:rPr>
            </w:pPr>
            <w:bookmarkStart w:id="35" w:name="_Hlk45005599"/>
            <w:r>
              <w:rPr>
                <w:rFonts w:hint="eastAsia" w:ascii="宋体" w:hAnsi="宋体" w:eastAsia="宋体" w:cs="宋体"/>
                <w:b/>
                <w:bCs/>
                <w:szCs w:val="21"/>
              </w:rPr>
              <w:t>序号</w:t>
            </w:r>
          </w:p>
        </w:tc>
        <w:tc>
          <w:tcPr>
            <w:tcW w:w="3256" w:type="dxa"/>
            <w:vAlign w:val="center"/>
          </w:tcPr>
          <w:p w14:paraId="1CE16EFC">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政策名称</w:t>
            </w:r>
          </w:p>
        </w:tc>
        <w:tc>
          <w:tcPr>
            <w:tcW w:w="5529" w:type="dxa"/>
            <w:vAlign w:val="center"/>
          </w:tcPr>
          <w:p w14:paraId="0F6B7DE3">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内容</w:t>
            </w:r>
          </w:p>
        </w:tc>
      </w:tr>
      <w:tr w14:paraId="49D5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2207A5FC">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szCs w:val="21"/>
              </w:rPr>
              <w:t>1</w:t>
            </w:r>
          </w:p>
        </w:tc>
        <w:tc>
          <w:tcPr>
            <w:tcW w:w="3256" w:type="dxa"/>
            <w:vAlign w:val="center"/>
          </w:tcPr>
          <w:p w14:paraId="1A778A58">
            <w:pPr>
              <w:adjustRightInd w:val="0"/>
              <w:snapToGrid w:val="0"/>
              <w:spacing w:line="288" w:lineRule="auto"/>
              <w:jc w:val="left"/>
              <w:rPr>
                <w:rFonts w:hint="eastAsia" w:ascii="宋体" w:hAnsi="宋体" w:eastAsia="宋体" w:cs="宋体"/>
                <w:b/>
                <w:bCs/>
                <w:szCs w:val="21"/>
              </w:rPr>
            </w:pPr>
            <w:r>
              <w:rPr>
                <w:rFonts w:hint="eastAsia" w:ascii="宋体" w:hAnsi="宋体" w:eastAsia="宋体" w:cs="宋体"/>
                <w:szCs w:val="21"/>
              </w:rPr>
              <w:t>政府采购进口产品</w:t>
            </w:r>
          </w:p>
        </w:tc>
        <w:tc>
          <w:tcPr>
            <w:tcW w:w="5529" w:type="dxa"/>
            <w:vAlign w:val="center"/>
          </w:tcPr>
          <w:p w14:paraId="7703049E">
            <w:pPr>
              <w:adjustRightInd w:val="0"/>
              <w:snapToGrid w:val="0"/>
              <w:spacing w:line="288" w:lineRule="auto"/>
              <w:jc w:val="left"/>
              <w:rPr>
                <w:rFonts w:hint="eastAsia" w:ascii="宋体" w:hAnsi="宋体" w:eastAsia="宋体" w:cs="宋体"/>
                <w:b/>
                <w:bCs/>
                <w:szCs w:val="21"/>
              </w:rPr>
            </w:pPr>
            <w:r>
              <w:rPr>
                <w:rFonts w:hint="eastAsia" w:ascii="宋体" w:hAnsi="宋体" w:eastAsia="宋体" w:cs="宋体"/>
                <w:szCs w:val="21"/>
              </w:rPr>
              <w:t>不允许采购进口产品</w:t>
            </w:r>
          </w:p>
        </w:tc>
      </w:tr>
      <w:tr w14:paraId="5D7B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0F4070AA">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szCs w:val="21"/>
              </w:rPr>
              <w:t>2</w:t>
            </w:r>
          </w:p>
        </w:tc>
        <w:tc>
          <w:tcPr>
            <w:tcW w:w="3256" w:type="dxa"/>
            <w:vAlign w:val="center"/>
          </w:tcPr>
          <w:p w14:paraId="362ED478">
            <w:pPr>
              <w:adjustRightInd w:val="0"/>
              <w:snapToGrid w:val="0"/>
              <w:spacing w:line="288" w:lineRule="auto"/>
              <w:jc w:val="left"/>
              <w:rPr>
                <w:rFonts w:hint="eastAsia" w:ascii="宋体" w:hAnsi="宋体" w:eastAsia="宋体" w:cs="宋体"/>
                <w:b/>
                <w:bCs/>
                <w:szCs w:val="21"/>
              </w:rPr>
            </w:pPr>
            <w:r>
              <w:rPr>
                <w:rFonts w:hint="eastAsia" w:ascii="宋体" w:hAnsi="宋体" w:eastAsia="宋体" w:cs="宋体"/>
                <w:szCs w:val="21"/>
              </w:rPr>
              <w:t>政府强制采购节能产品</w:t>
            </w:r>
          </w:p>
        </w:tc>
        <w:tc>
          <w:tcPr>
            <w:tcW w:w="5529" w:type="dxa"/>
            <w:vAlign w:val="center"/>
          </w:tcPr>
          <w:p w14:paraId="3D99C79A">
            <w:pPr>
              <w:adjustRightInd w:val="0"/>
              <w:snapToGrid w:val="0"/>
              <w:jc w:val="left"/>
              <w:rPr>
                <w:rFonts w:hint="eastAsia" w:ascii="宋体" w:hAnsi="宋体" w:eastAsia="宋体" w:cs="宋体"/>
                <w:b/>
                <w:bCs/>
                <w:szCs w:val="21"/>
                <w:lang w:bidi="ar"/>
              </w:rPr>
            </w:pPr>
            <w:r>
              <w:rPr>
                <w:rFonts w:hint="eastAsia" w:ascii="宋体" w:hAnsi="宋体" w:eastAsia="宋体" w:cs="Times New Roman"/>
                <w:b/>
                <w:spacing w:val="-6"/>
                <w:szCs w:val="21"/>
              </w:rPr>
              <w:t>▲</w:t>
            </w:r>
            <w:r>
              <w:rPr>
                <w:rFonts w:hint="eastAsia" w:ascii="宋体" w:hAnsi="宋体" w:eastAsia="宋体" w:cs="宋体"/>
                <w:b/>
                <w:bCs/>
                <w:szCs w:val="21"/>
                <w:lang w:bidi="ar"/>
              </w:rPr>
              <w:t>本项目采购需求中：</w:t>
            </w:r>
          </w:p>
          <w:p w14:paraId="4F8B27C6">
            <w:pPr>
              <w:adjustRightInd w:val="0"/>
              <w:snapToGrid w:val="0"/>
              <w:jc w:val="left"/>
              <w:rPr>
                <w:rFonts w:hint="eastAsia" w:ascii="宋体" w:hAnsi="宋体" w:eastAsia="宋体" w:cs="宋体"/>
                <w:b/>
                <w:bCs/>
                <w:szCs w:val="21"/>
                <w:lang w:bidi="ar"/>
              </w:rPr>
            </w:pPr>
            <w:r>
              <w:rPr>
                <w:rFonts w:hint="eastAsia" w:ascii="宋体" w:hAnsi="宋体" w:eastAsia="宋体" w:cs="宋体"/>
                <w:b/>
                <w:bCs/>
                <w:szCs w:val="21"/>
                <w:lang w:bidi="ar"/>
              </w:rPr>
              <w:t>超模态行为洞察平台中“专用数据分析主机”</w:t>
            </w:r>
          </w:p>
          <w:p w14:paraId="2881C60D">
            <w:pPr>
              <w:adjustRightInd w:val="0"/>
              <w:snapToGrid w:val="0"/>
              <w:jc w:val="left"/>
              <w:rPr>
                <w:rFonts w:hint="eastAsia" w:ascii="宋体" w:hAnsi="宋体" w:eastAsia="宋体" w:cs="宋体"/>
                <w:b/>
                <w:bCs/>
                <w:szCs w:val="21"/>
                <w:lang w:bidi="ar"/>
              </w:rPr>
            </w:pPr>
            <w:r>
              <w:rPr>
                <w:rFonts w:hint="eastAsia" w:ascii="宋体" w:hAnsi="宋体" w:eastAsia="宋体" w:cs="宋体"/>
                <w:b/>
                <w:bCs/>
                <w:szCs w:val="21"/>
                <w:lang w:bidi="ar"/>
              </w:rPr>
              <w:t>超模态行为洞察平台中“专用采集分析主机”</w:t>
            </w:r>
          </w:p>
          <w:p w14:paraId="1597A283">
            <w:pPr>
              <w:adjustRightInd w:val="0"/>
              <w:snapToGrid w:val="0"/>
              <w:jc w:val="left"/>
              <w:rPr>
                <w:rFonts w:hint="eastAsia" w:ascii="宋体" w:hAnsi="宋体" w:eastAsia="宋体" w:cs="宋体"/>
                <w:b/>
                <w:bCs/>
                <w:szCs w:val="21"/>
                <w:lang w:bidi="ar"/>
              </w:rPr>
            </w:pPr>
            <w:r>
              <w:rPr>
                <w:rFonts w:hint="eastAsia" w:ascii="宋体" w:hAnsi="宋体" w:eastAsia="宋体" w:cs="宋体"/>
                <w:b/>
                <w:bCs/>
                <w:szCs w:val="21"/>
                <w:lang w:bidi="ar"/>
              </w:rPr>
              <w:t>便携式行为观察记录分析系统中“便携式专用主机”</w:t>
            </w:r>
          </w:p>
          <w:p w14:paraId="7542417F">
            <w:pPr>
              <w:adjustRightInd w:val="0"/>
              <w:snapToGrid w:val="0"/>
              <w:jc w:val="left"/>
              <w:rPr>
                <w:rFonts w:hint="eastAsia" w:ascii="宋体" w:hAnsi="宋体" w:eastAsia="宋体" w:cs="宋体"/>
                <w:b/>
                <w:bCs/>
                <w:szCs w:val="21"/>
                <w:lang w:bidi="ar"/>
              </w:rPr>
            </w:pPr>
            <w:r>
              <w:rPr>
                <w:rFonts w:hint="eastAsia" w:ascii="宋体" w:hAnsi="宋体" w:eastAsia="宋体" w:cs="宋体"/>
                <w:b/>
                <w:bCs/>
                <w:szCs w:val="21"/>
                <w:lang w:bidi="ar"/>
              </w:rPr>
              <w:t>视觉动态追踪系统中“便携式专用主机”</w:t>
            </w:r>
          </w:p>
          <w:p w14:paraId="09D79109">
            <w:pPr>
              <w:adjustRightInd w:val="0"/>
              <w:snapToGrid w:val="0"/>
              <w:jc w:val="left"/>
              <w:rPr>
                <w:rFonts w:hint="eastAsia" w:ascii="宋体" w:hAnsi="宋体" w:eastAsia="宋体" w:cs="宋体"/>
                <w:b/>
                <w:bCs/>
                <w:szCs w:val="21"/>
                <w:lang w:bidi="ar"/>
              </w:rPr>
            </w:pPr>
            <w:r>
              <w:rPr>
                <w:rFonts w:hint="eastAsia" w:ascii="宋体" w:hAnsi="宋体" w:eastAsia="宋体" w:cs="宋体"/>
                <w:b/>
                <w:bCs/>
                <w:szCs w:val="21"/>
                <w:lang w:bidi="ar"/>
              </w:rPr>
              <w:t>遥测式生理信号采集分析系统中“专用采集分析主机”</w:t>
            </w:r>
          </w:p>
          <w:p w14:paraId="2DE3CF53">
            <w:pPr>
              <w:adjustRightInd w:val="0"/>
              <w:snapToGrid w:val="0"/>
              <w:jc w:val="left"/>
              <w:rPr>
                <w:rFonts w:hint="eastAsia" w:ascii="宋体" w:hAnsi="宋体" w:eastAsia="宋体" w:cs="Times New Roman"/>
                <w:spacing w:val="-6"/>
                <w:szCs w:val="21"/>
              </w:rPr>
            </w:pPr>
            <w:r>
              <w:rPr>
                <w:rFonts w:hint="eastAsia" w:ascii="宋体" w:hAnsi="宋体" w:eastAsia="宋体" w:cs="宋体"/>
                <w:szCs w:val="21"/>
                <w:lang w:bidi="ar"/>
              </w:rPr>
              <w:t>属于</w:t>
            </w:r>
            <w:r>
              <w:rPr>
                <w:rFonts w:ascii="宋体" w:hAnsi="宋体" w:eastAsia="宋体" w:cs="Times New Roman"/>
                <w:spacing w:val="-6"/>
                <w:szCs w:val="21"/>
              </w:rPr>
              <w:t>政府强制采购的节能产品品目清单范围，</w:t>
            </w:r>
            <w:r>
              <w:rPr>
                <w:rFonts w:hint="eastAsia" w:ascii="宋体" w:hAnsi="宋体" w:eastAsia="宋体" w:cs="Times New Roman"/>
                <w:spacing w:val="-6"/>
                <w:szCs w:val="21"/>
              </w:rPr>
              <w:t>清单详见“附件：节能产品政府采购品目清单”，</w:t>
            </w:r>
            <w:r>
              <w:rPr>
                <w:rFonts w:ascii="宋体" w:hAnsi="宋体" w:eastAsia="宋体" w:cs="Times New Roman"/>
                <w:spacing w:val="-6"/>
                <w:szCs w:val="21"/>
              </w:rPr>
              <w:t>如有冲突，以节能产品政府采购品目清单为准。</w:t>
            </w:r>
          </w:p>
          <w:p w14:paraId="179580D1">
            <w:pPr>
              <w:adjustRightInd w:val="0"/>
              <w:snapToGrid w:val="0"/>
              <w:spacing w:line="288" w:lineRule="auto"/>
              <w:jc w:val="left"/>
              <w:rPr>
                <w:rFonts w:hint="eastAsia" w:ascii="宋体" w:hAnsi="宋体" w:eastAsia="宋体" w:cs="宋体"/>
                <w:b/>
                <w:bCs/>
                <w:szCs w:val="21"/>
              </w:rPr>
            </w:pPr>
            <w:r>
              <w:rPr>
                <w:rFonts w:ascii="宋体" w:hAnsi="宋体" w:eastAsia="宋体" w:cs="Times New Roman"/>
                <w:spacing w:val="-6"/>
                <w:szCs w:val="21"/>
              </w:rPr>
              <w:t>投标人</w:t>
            </w:r>
            <w:r>
              <w:rPr>
                <w:rFonts w:hint="eastAsia" w:ascii="宋体" w:hAnsi="宋体" w:eastAsia="宋体" w:cs="Times New Roman"/>
                <w:spacing w:val="-6"/>
                <w:szCs w:val="21"/>
              </w:rPr>
              <w:t>应</w:t>
            </w:r>
            <w:r>
              <w:rPr>
                <w:rFonts w:ascii="宋体" w:hAnsi="宋体" w:eastAsia="宋体" w:cs="Times New Roman"/>
                <w:spacing w:val="-6"/>
                <w:szCs w:val="21"/>
              </w:rPr>
              <w:t>按招标文件要求提供国家确定的认证机构出具的、有效的节能产品认证证书的。</w:t>
            </w:r>
          </w:p>
        </w:tc>
      </w:tr>
      <w:tr w14:paraId="598E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67044EBA">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szCs w:val="21"/>
              </w:rPr>
              <w:t>3</w:t>
            </w:r>
          </w:p>
        </w:tc>
        <w:tc>
          <w:tcPr>
            <w:tcW w:w="3256" w:type="dxa"/>
            <w:vAlign w:val="center"/>
          </w:tcPr>
          <w:p w14:paraId="2B4D16E7">
            <w:pPr>
              <w:adjustRightInd w:val="0"/>
              <w:snapToGrid w:val="0"/>
              <w:spacing w:line="288" w:lineRule="auto"/>
              <w:jc w:val="left"/>
              <w:rPr>
                <w:rFonts w:hint="eastAsia" w:ascii="宋体" w:hAnsi="宋体" w:eastAsia="宋体" w:cs="宋体"/>
                <w:b/>
                <w:bCs/>
                <w:szCs w:val="21"/>
              </w:rPr>
            </w:pPr>
            <w:r>
              <w:rPr>
                <w:rFonts w:hint="eastAsia" w:ascii="宋体" w:hAnsi="宋体" w:eastAsia="宋体" w:cs="宋体"/>
                <w:szCs w:val="21"/>
              </w:rPr>
              <w:t>政府优先采购节能、环保产品</w:t>
            </w:r>
          </w:p>
        </w:tc>
        <w:tc>
          <w:tcPr>
            <w:tcW w:w="5529" w:type="dxa"/>
            <w:vAlign w:val="center"/>
          </w:tcPr>
          <w:p w14:paraId="477473E2">
            <w:pPr>
              <w:adjustRightInd w:val="0"/>
              <w:snapToGrid w:val="0"/>
              <w:spacing w:line="288" w:lineRule="auto"/>
              <w:jc w:val="left"/>
              <w:rPr>
                <w:rFonts w:hint="eastAsia" w:ascii="宋体" w:hAnsi="宋体" w:eastAsia="宋体" w:cs="宋体"/>
                <w:b/>
                <w:bCs/>
                <w:szCs w:val="21"/>
              </w:rPr>
            </w:pPr>
            <w:r>
              <w:rPr>
                <w:rFonts w:hint="eastAsia" w:ascii="宋体" w:hAnsi="宋体" w:eastAsia="宋体" w:cs="宋体"/>
                <w:szCs w:val="21"/>
              </w:rPr>
              <w:t>提供材料详见招标文件第六章“商务和技术文件”</w:t>
            </w:r>
          </w:p>
        </w:tc>
      </w:tr>
      <w:tr w14:paraId="4486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4C12E4ED">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4</w:t>
            </w:r>
          </w:p>
        </w:tc>
        <w:tc>
          <w:tcPr>
            <w:tcW w:w="3256" w:type="dxa"/>
            <w:vAlign w:val="center"/>
          </w:tcPr>
          <w:p w14:paraId="0BE54353">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政府采购支持科技创新</w:t>
            </w:r>
          </w:p>
        </w:tc>
        <w:tc>
          <w:tcPr>
            <w:tcW w:w="5529" w:type="dxa"/>
            <w:vAlign w:val="center"/>
          </w:tcPr>
          <w:p w14:paraId="755477DA">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提供材料详见招标文件第六章“商务和技术文件”</w:t>
            </w:r>
          </w:p>
        </w:tc>
      </w:tr>
      <w:tr w14:paraId="5424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06A36468">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szCs w:val="21"/>
              </w:rPr>
              <w:t>5</w:t>
            </w:r>
          </w:p>
        </w:tc>
        <w:tc>
          <w:tcPr>
            <w:tcW w:w="3256" w:type="dxa"/>
            <w:vAlign w:val="center"/>
          </w:tcPr>
          <w:p w14:paraId="454FB11D">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政府采购促进中小企业发展</w:t>
            </w:r>
          </w:p>
        </w:tc>
        <w:tc>
          <w:tcPr>
            <w:tcW w:w="5529" w:type="dxa"/>
            <w:vAlign w:val="center"/>
          </w:tcPr>
          <w:p w14:paraId="1D4A7C61">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提供材料详见招标文件第六章“报价文件”</w:t>
            </w:r>
          </w:p>
          <w:p w14:paraId="4D925CB8">
            <w:pPr>
              <w:adjustRightInd w:val="0"/>
              <w:snapToGrid w:val="0"/>
              <w:spacing w:line="288" w:lineRule="auto"/>
              <w:jc w:val="left"/>
              <w:rPr>
                <w:rFonts w:hint="eastAsia" w:ascii="宋体" w:hAnsi="宋体" w:eastAsia="宋体" w:cs="Times New Roman"/>
                <w:b/>
                <w:bCs/>
                <w:szCs w:val="21"/>
              </w:rPr>
            </w:pPr>
            <w:r>
              <w:rPr>
                <w:rFonts w:hint="eastAsia" w:ascii="宋体" w:hAnsi="宋体" w:eastAsia="宋体" w:cs="Times New Roman"/>
                <w:b/>
                <w:bCs/>
                <w:szCs w:val="21"/>
              </w:rPr>
              <w:t>本项目属性为：货物</w:t>
            </w:r>
          </w:p>
          <w:p w14:paraId="02FBE3A0">
            <w:pPr>
              <w:adjustRightInd w:val="0"/>
              <w:snapToGrid w:val="0"/>
              <w:spacing w:line="288" w:lineRule="auto"/>
              <w:jc w:val="left"/>
              <w:rPr>
                <w:rFonts w:hint="eastAsia" w:ascii="宋体" w:hAnsi="宋体" w:eastAsia="宋体" w:cs="Times New Roman"/>
                <w:b/>
                <w:bCs/>
                <w:szCs w:val="21"/>
              </w:rPr>
            </w:pPr>
            <w:r>
              <w:rPr>
                <w:rFonts w:hint="eastAsia" w:ascii="宋体" w:hAnsi="宋体" w:eastAsia="宋体" w:cs="Times New Roman"/>
                <w:b/>
                <w:bCs/>
                <w:szCs w:val="21"/>
              </w:rPr>
              <w:t>采购标的对应的中小企业划分标准所属行业：软件和信息技术服务业</w:t>
            </w:r>
          </w:p>
          <w:p w14:paraId="1458305E">
            <w:pPr>
              <w:adjustRightInd w:val="0"/>
              <w:snapToGrid w:val="0"/>
              <w:spacing w:line="288" w:lineRule="auto"/>
              <w:jc w:val="left"/>
              <w:rPr>
                <w:rFonts w:hint="eastAsia" w:ascii="宋体" w:hAnsi="宋体" w:eastAsia="宋体" w:cs="Times New Roman"/>
                <w:b/>
                <w:bCs/>
                <w:szCs w:val="21"/>
              </w:rPr>
            </w:pPr>
            <w:r>
              <w:rPr>
                <w:rFonts w:hint="eastAsia" w:ascii="宋体" w:hAnsi="宋体" w:eastAsia="宋体" w:cs="Times New Roman"/>
                <w:b/>
                <w:bCs/>
                <w:szCs w:val="21"/>
              </w:rPr>
              <w:t>中小企业划型标准：</w:t>
            </w:r>
          </w:p>
          <w:p w14:paraId="16444551">
            <w:pPr>
              <w:adjustRightInd w:val="0"/>
              <w:snapToGrid w:val="0"/>
              <w:spacing w:line="288" w:lineRule="auto"/>
              <w:jc w:val="left"/>
              <w:rPr>
                <w:rFonts w:hint="eastAsia" w:ascii="宋体" w:hAnsi="宋体" w:eastAsia="宋体" w:cs="Times New Roman"/>
                <w:b/>
                <w:bCs/>
                <w:szCs w:val="21"/>
              </w:rPr>
            </w:pPr>
            <w:r>
              <w:rPr>
                <w:rFonts w:hint="eastAsia" w:ascii="宋体" w:hAnsi="宋体" w:eastAsia="宋体" w:cs="Times New Roman"/>
                <w:b/>
                <w:bCs/>
                <w:szCs w:val="21"/>
              </w:rPr>
              <w:t>软件和信息技术服务业。</w:t>
            </w:r>
            <w:r>
              <w:rPr>
                <w:rFonts w:hint="eastAsia" w:ascii="宋体" w:hAnsi="宋体" w:eastAsia="宋体" w:cs="Times New Roman"/>
                <w:szCs w:val="21"/>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r w14:paraId="70C9D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04ABEABE">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6</w:t>
            </w:r>
          </w:p>
        </w:tc>
        <w:tc>
          <w:tcPr>
            <w:tcW w:w="3256" w:type="dxa"/>
            <w:vAlign w:val="center"/>
          </w:tcPr>
          <w:p w14:paraId="525937CA">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政府采购支持监狱企业发展</w:t>
            </w:r>
          </w:p>
        </w:tc>
        <w:tc>
          <w:tcPr>
            <w:tcW w:w="5529" w:type="dxa"/>
            <w:vAlign w:val="center"/>
          </w:tcPr>
          <w:p w14:paraId="43BE2623">
            <w:pPr>
              <w:adjustRightInd w:val="0"/>
              <w:snapToGrid w:val="0"/>
              <w:spacing w:line="288" w:lineRule="auto"/>
              <w:jc w:val="left"/>
              <w:rPr>
                <w:rFonts w:hint="eastAsia" w:ascii="宋体" w:hAnsi="宋体" w:eastAsia="宋体" w:cs="Times New Roman"/>
                <w:b/>
                <w:bCs/>
                <w:szCs w:val="21"/>
              </w:rPr>
            </w:pPr>
            <w:r>
              <w:rPr>
                <w:rFonts w:hint="eastAsia" w:ascii="宋体" w:hAnsi="宋体" w:eastAsia="宋体" w:cs="宋体"/>
                <w:szCs w:val="21"/>
              </w:rPr>
              <w:t>提供材料详见招标文件第六章“报价文件”</w:t>
            </w:r>
          </w:p>
        </w:tc>
      </w:tr>
      <w:tr w14:paraId="72DDA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708" w:type="dxa"/>
            <w:vAlign w:val="center"/>
          </w:tcPr>
          <w:p w14:paraId="0AB5FD3F">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7</w:t>
            </w:r>
          </w:p>
        </w:tc>
        <w:tc>
          <w:tcPr>
            <w:tcW w:w="3256" w:type="dxa"/>
            <w:vAlign w:val="center"/>
          </w:tcPr>
          <w:p w14:paraId="02C116F5">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政府采购促进残疾人就业</w:t>
            </w:r>
          </w:p>
        </w:tc>
        <w:tc>
          <w:tcPr>
            <w:tcW w:w="5529" w:type="dxa"/>
            <w:vAlign w:val="center"/>
          </w:tcPr>
          <w:p w14:paraId="449A69E7">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提供材料详见招标文件第六章“报价文件”</w:t>
            </w:r>
          </w:p>
        </w:tc>
      </w:tr>
      <w:bookmarkEnd w:id="35"/>
    </w:tbl>
    <w:p w14:paraId="3C325760">
      <w:pPr>
        <w:adjustRightInd w:val="0"/>
        <w:snapToGrid w:val="0"/>
        <w:spacing w:line="288" w:lineRule="auto"/>
        <w:rPr>
          <w:rFonts w:hint="eastAsia" w:ascii="宋体" w:hAnsi="宋体" w:eastAsia="宋体" w:cs="Times New Roman"/>
          <w:b/>
          <w:spacing w:val="-4"/>
          <w:szCs w:val="21"/>
        </w:rPr>
      </w:pPr>
    </w:p>
    <w:p w14:paraId="724ECA39">
      <w:pPr>
        <w:adjustRightInd w:val="0"/>
        <w:snapToGrid w:val="0"/>
        <w:spacing w:line="288" w:lineRule="auto"/>
        <w:outlineLvl w:val="1"/>
        <w:rPr>
          <w:rFonts w:hint="eastAsia" w:ascii="宋体" w:hAnsi="宋体" w:eastAsia="宋体" w:cs="Times New Roman"/>
          <w:b/>
          <w:szCs w:val="21"/>
        </w:rPr>
      </w:pPr>
      <w:r>
        <w:rPr>
          <w:rFonts w:hint="eastAsia" w:ascii="宋体" w:hAnsi="宋体" w:eastAsia="宋体" w:cs="Times New Roman"/>
          <w:b/>
          <w:szCs w:val="21"/>
        </w:rPr>
        <w:t>二、采购资金的支付方式、时间、条件</w:t>
      </w:r>
    </w:p>
    <w:tbl>
      <w:tblPr>
        <w:tblStyle w:val="2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641"/>
        <w:gridCol w:w="7987"/>
      </w:tblGrid>
      <w:tr w14:paraId="59527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852" w:type="pct"/>
            <w:tcBorders>
              <w:top w:val="single" w:color="auto" w:sz="4" w:space="0"/>
              <w:left w:val="single" w:color="auto" w:sz="4" w:space="0"/>
              <w:bottom w:val="single" w:color="auto" w:sz="4" w:space="0"/>
              <w:right w:val="single" w:color="auto" w:sz="4" w:space="0"/>
            </w:tcBorders>
            <w:vAlign w:val="center"/>
          </w:tcPr>
          <w:p w14:paraId="53B0F06E">
            <w:pPr>
              <w:spacing w:line="288" w:lineRule="auto"/>
              <w:jc w:val="center"/>
              <w:rPr>
                <w:rFonts w:ascii="Times New Roman" w:hAnsi="Times New Roman" w:eastAsia="宋体" w:cs="Times New Roman"/>
                <w:b/>
                <w:spacing w:val="-6"/>
                <w:szCs w:val="21"/>
              </w:rPr>
            </w:pPr>
            <w:bookmarkStart w:id="36" w:name="_Hlk45005608"/>
            <w:r>
              <w:rPr>
                <w:rFonts w:ascii="Times New Roman" w:hAnsi="Times New Roman" w:eastAsia="宋体" w:cs="Times New Roman"/>
                <w:szCs w:val="21"/>
              </w:rPr>
              <w:t>付款条件</w:t>
            </w:r>
          </w:p>
        </w:tc>
        <w:tc>
          <w:tcPr>
            <w:tcW w:w="4148" w:type="pct"/>
            <w:tcBorders>
              <w:top w:val="single" w:color="auto" w:sz="4" w:space="0"/>
              <w:left w:val="single" w:color="auto" w:sz="4" w:space="0"/>
              <w:bottom w:val="single" w:color="auto" w:sz="4" w:space="0"/>
              <w:right w:val="single" w:color="auto" w:sz="4" w:space="0"/>
            </w:tcBorders>
            <w:vAlign w:val="center"/>
          </w:tcPr>
          <w:p w14:paraId="46049263">
            <w:pPr>
              <w:spacing w:line="288" w:lineRule="auto"/>
              <w:rPr>
                <w:rFonts w:ascii="Times New Roman" w:hAnsi="Times New Roman" w:eastAsia="宋体" w:cs="Times New Roman"/>
                <w:szCs w:val="21"/>
              </w:rPr>
            </w:pPr>
            <w:r>
              <w:rPr>
                <w:rFonts w:ascii="Times New Roman" w:hAnsi="Times New Roman" w:eastAsia="宋体" w:cs="Times New Roman"/>
                <w:szCs w:val="21"/>
              </w:rPr>
              <w:t>1.投标人提交银行、保险公司等金融机构出具的预付款保函（保函数额与预付款金额相同，保函有效期在验收合格日之后）；合同生效并具备实施条件后7个工作日内，采购人向中标人支付合同金额</w:t>
            </w:r>
            <w:r>
              <w:rPr>
                <w:rFonts w:ascii="Times New Roman" w:hAnsi="Times New Roman" w:eastAsia="宋体" w:cs="Times New Roman"/>
                <w:szCs w:val="21"/>
                <w:lang w:eastAsia="zh"/>
              </w:rPr>
              <w:t>70</w:t>
            </w:r>
            <w:r>
              <w:rPr>
                <w:rFonts w:ascii="Times New Roman" w:hAnsi="Times New Roman" w:eastAsia="宋体" w:cs="Times New Roman"/>
                <w:szCs w:val="21"/>
              </w:rPr>
              <w:t>%的预付款。剩余合同款项在验收合格后，凭验收合格证明材料、发票到采购人处结算。采购人在7个工作日内向投标人支付全部合同余款。</w:t>
            </w:r>
          </w:p>
          <w:p w14:paraId="3870C56B">
            <w:pPr>
              <w:spacing w:line="288" w:lineRule="auto"/>
              <w:rPr>
                <w:rFonts w:ascii="Times New Roman" w:hAnsi="Times New Roman" w:eastAsia="宋体" w:cs="Times New Roman"/>
                <w:spacing w:val="-6"/>
                <w:kern w:val="0"/>
                <w:szCs w:val="21"/>
              </w:rPr>
            </w:pPr>
            <w:r>
              <w:rPr>
                <w:rFonts w:ascii="Times New Roman" w:hAnsi="Times New Roman" w:eastAsia="宋体" w:cs="Times New Roman"/>
                <w:szCs w:val="21"/>
              </w:rPr>
              <w:t>2.在签订合同前，投标人主动要求降低预付款比例的，按实际比例计。投标人明确表示无需预付款的，采用下述付款方式：验收合格后，凭验收合格证明材料、发票到采购人处结算合同金额的100%。采购人在7个工作日内向投标人支付合同货款。</w:t>
            </w:r>
          </w:p>
        </w:tc>
      </w:tr>
      <w:tr w14:paraId="034048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852" w:type="pct"/>
            <w:tcBorders>
              <w:top w:val="single" w:color="auto" w:sz="4" w:space="0"/>
              <w:left w:val="single" w:color="auto" w:sz="4" w:space="0"/>
              <w:bottom w:val="single" w:color="auto" w:sz="4" w:space="0"/>
              <w:right w:val="single" w:color="auto" w:sz="4" w:space="0"/>
            </w:tcBorders>
            <w:vAlign w:val="center"/>
          </w:tcPr>
          <w:p w14:paraId="4AD7A2AB">
            <w:pPr>
              <w:spacing w:line="288" w:lineRule="auto"/>
              <w:jc w:val="center"/>
              <w:rPr>
                <w:rFonts w:ascii="Times New Roman" w:hAnsi="Times New Roman" w:eastAsia="宋体" w:cs="Times New Roman"/>
                <w:b/>
                <w:spacing w:val="-6"/>
                <w:szCs w:val="21"/>
              </w:rPr>
            </w:pPr>
            <w:r>
              <w:rPr>
                <w:rFonts w:ascii="Times New Roman" w:hAnsi="Times New Roman" w:eastAsia="宋体" w:cs="Times New Roman"/>
                <w:szCs w:val="21"/>
              </w:rPr>
              <w:t>履约保证金</w:t>
            </w:r>
          </w:p>
        </w:tc>
        <w:tc>
          <w:tcPr>
            <w:tcW w:w="4148" w:type="pct"/>
            <w:tcBorders>
              <w:top w:val="single" w:color="auto" w:sz="4" w:space="0"/>
              <w:left w:val="single" w:color="auto" w:sz="4" w:space="0"/>
              <w:bottom w:val="single" w:color="auto" w:sz="4" w:space="0"/>
              <w:right w:val="single" w:color="auto" w:sz="4" w:space="0"/>
            </w:tcBorders>
            <w:vAlign w:val="center"/>
          </w:tcPr>
          <w:p w14:paraId="4D885C0D">
            <w:pPr>
              <w:spacing w:line="288" w:lineRule="auto"/>
              <w:rPr>
                <w:rFonts w:ascii="Times New Roman" w:hAnsi="Times New Roman" w:eastAsia="宋体" w:cs="Times New Roman"/>
                <w:spacing w:val="-6"/>
                <w:kern w:val="0"/>
                <w:szCs w:val="21"/>
              </w:rPr>
            </w:pPr>
            <w:r>
              <w:rPr>
                <w:rFonts w:ascii="Times New Roman" w:hAnsi="Times New Roman" w:eastAsia="宋体" w:cs="Times New Roman"/>
                <w:szCs w:val="21"/>
              </w:rPr>
              <w:t>无</w:t>
            </w:r>
          </w:p>
        </w:tc>
      </w:tr>
      <w:bookmarkEnd w:id="36"/>
    </w:tbl>
    <w:p w14:paraId="5419C337">
      <w:pPr>
        <w:adjustRightInd w:val="0"/>
        <w:snapToGrid w:val="0"/>
        <w:spacing w:line="288" w:lineRule="auto"/>
        <w:rPr>
          <w:rFonts w:hint="eastAsia" w:ascii="宋体" w:hAnsi="宋体" w:eastAsia="宋体" w:cs="Times New Roman"/>
          <w:spacing w:val="-4"/>
          <w:szCs w:val="21"/>
        </w:rPr>
      </w:pPr>
    </w:p>
    <w:p w14:paraId="7B62E54D">
      <w:pPr>
        <w:adjustRightInd w:val="0"/>
        <w:snapToGrid w:val="0"/>
        <w:spacing w:line="288" w:lineRule="auto"/>
        <w:outlineLvl w:val="1"/>
        <w:rPr>
          <w:rFonts w:hint="eastAsia" w:ascii="宋体" w:hAnsi="宋体" w:eastAsia="宋体" w:cs="Times New Roman"/>
          <w:b/>
          <w:szCs w:val="21"/>
        </w:rPr>
      </w:pPr>
      <w:r>
        <w:rPr>
          <w:rFonts w:hint="eastAsia" w:ascii="宋体" w:hAnsi="宋体" w:eastAsia="宋体" w:cs="Times New Roman"/>
          <w:b/>
          <w:szCs w:val="21"/>
        </w:rPr>
        <w:t>三、服务要求（技术要求里另有注明的以技术要求为准）</w:t>
      </w:r>
    </w:p>
    <w:tbl>
      <w:tblPr>
        <w:tblStyle w:val="10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1370"/>
        <w:gridCol w:w="7003"/>
      </w:tblGrid>
      <w:tr w14:paraId="24B5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pct"/>
            <w:vMerge w:val="restart"/>
            <w:vAlign w:val="center"/>
          </w:tcPr>
          <w:p w14:paraId="1C03C764">
            <w:pPr>
              <w:spacing w:line="288" w:lineRule="auto"/>
              <w:jc w:val="center"/>
              <w:rPr>
                <w:rFonts w:ascii="Times New Roman" w:hAnsi="Times New Roman" w:eastAsia="宋体" w:cs="Times New Roman"/>
                <w:szCs w:val="21"/>
              </w:rPr>
            </w:pPr>
            <w:r>
              <w:rPr>
                <w:rFonts w:ascii="Times New Roman" w:hAnsi="Times New Roman" w:eastAsia="宋体" w:cs="Times New Roman"/>
                <w:szCs w:val="21"/>
              </w:rPr>
              <w:t>交付要求</w:t>
            </w:r>
          </w:p>
        </w:tc>
        <w:tc>
          <w:tcPr>
            <w:tcW w:w="712" w:type="pct"/>
            <w:vAlign w:val="center"/>
          </w:tcPr>
          <w:p w14:paraId="58050A17">
            <w:pPr>
              <w:spacing w:line="288" w:lineRule="auto"/>
              <w:jc w:val="center"/>
              <w:rPr>
                <w:rFonts w:ascii="Times New Roman" w:hAnsi="Times New Roman" w:eastAsia="宋体" w:cs="Times New Roman"/>
                <w:szCs w:val="21"/>
              </w:rPr>
            </w:pPr>
            <w:r>
              <w:rPr>
                <w:rFonts w:ascii="Times New Roman" w:hAnsi="Times New Roman" w:eastAsia="宋体" w:cs="Times New Roman"/>
                <w:szCs w:val="21"/>
              </w:rPr>
              <w:t>交付日期</w:t>
            </w:r>
          </w:p>
        </w:tc>
        <w:tc>
          <w:tcPr>
            <w:tcW w:w="3637" w:type="pct"/>
          </w:tcPr>
          <w:p w14:paraId="5460E820">
            <w:pPr>
              <w:spacing w:line="288" w:lineRule="auto"/>
              <w:rPr>
                <w:rFonts w:ascii="Times New Roman" w:hAnsi="Times New Roman" w:eastAsia="宋体" w:cs="Times New Roman"/>
                <w:szCs w:val="21"/>
              </w:rPr>
            </w:pPr>
            <w:r>
              <w:rPr>
                <w:rFonts w:ascii="Times New Roman" w:hAnsi="Times New Roman" w:eastAsia="宋体" w:cs="Times New Roman"/>
                <w:szCs w:val="21"/>
              </w:rPr>
              <w:t>设备合同签订</w:t>
            </w:r>
            <w:r>
              <w:rPr>
                <w:rFonts w:ascii="Times New Roman" w:hAnsi="Times New Roman" w:eastAsia="宋体" w:cs="Times New Roman"/>
                <w:color w:val="000000"/>
                <w:szCs w:val="21"/>
              </w:rPr>
              <w:t>后3个月</w:t>
            </w:r>
            <w:r>
              <w:rPr>
                <w:rFonts w:ascii="Times New Roman" w:hAnsi="Times New Roman" w:eastAsia="宋体" w:cs="Times New Roman"/>
                <w:szCs w:val="21"/>
              </w:rPr>
              <w:t>内完成安装、调试，达到验收要求。</w:t>
            </w:r>
          </w:p>
        </w:tc>
      </w:tr>
      <w:tr w14:paraId="59A8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pct"/>
            <w:vMerge w:val="continue"/>
          </w:tcPr>
          <w:p w14:paraId="72D0FAFC">
            <w:pPr>
              <w:spacing w:line="288" w:lineRule="auto"/>
              <w:rPr>
                <w:rFonts w:ascii="Times New Roman" w:hAnsi="Times New Roman" w:eastAsia="宋体" w:cs="Times New Roman"/>
                <w:szCs w:val="21"/>
              </w:rPr>
            </w:pPr>
          </w:p>
        </w:tc>
        <w:tc>
          <w:tcPr>
            <w:tcW w:w="712" w:type="pct"/>
            <w:vAlign w:val="center"/>
          </w:tcPr>
          <w:p w14:paraId="56399227">
            <w:pPr>
              <w:spacing w:line="288" w:lineRule="auto"/>
              <w:jc w:val="center"/>
              <w:rPr>
                <w:rFonts w:ascii="Times New Roman" w:hAnsi="Times New Roman" w:eastAsia="宋体" w:cs="Times New Roman"/>
                <w:szCs w:val="21"/>
              </w:rPr>
            </w:pPr>
            <w:r>
              <w:rPr>
                <w:rFonts w:ascii="Times New Roman" w:hAnsi="Times New Roman" w:eastAsia="宋体" w:cs="Times New Roman"/>
                <w:szCs w:val="21"/>
              </w:rPr>
              <w:t>交付地址</w:t>
            </w:r>
          </w:p>
        </w:tc>
        <w:tc>
          <w:tcPr>
            <w:tcW w:w="3637" w:type="pct"/>
          </w:tcPr>
          <w:p w14:paraId="79A8BEB4">
            <w:pPr>
              <w:spacing w:line="288" w:lineRule="auto"/>
              <w:rPr>
                <w:rFonts w:ascii="Times New Roman" w:hAnsi="Times New Roman" w:eastAsia="宋体" w:cs="Times New Roman"/>
                <w:szCs w:val="21"/>
              </w:rPr>
            </w:pPr>
            <w:r>
              <w:rPr>
                <w:rFonts w:ascii="Times New Roman" w:hAnsi="Times New Roman" w:eastAsia="宋体" w:cs="Times New Roman"/>
                <w:szCs w:val="21"/>
              </w:rPr>
              <w:t>浙江工商大学，具体位置由采购人指定。</w:t>
            </w:r>
          </w:p>
        </w:tc>
      </w:tr>
      <w:tr w14:paraId="4745B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trPr>
        <w:tc>
          <w:tcPr>
            <w:tcW w:w="649" w:type="pct"/>
            <w:vAlign w:val="center"/>
          </w:tcPr>
          <w:p w14:paraId="3F8288A9">
            <w:pPr>
              <w:adjustRightInd w:val="0"/>
              <w:snapToGrid w:val="0"/>
              <w:spacing w:line="288" w:lineRule="auto"/>
              <w:jc w:val="center"/>
              <w:rPr>
                <w:rFonts w:ascii="Times New Roman" w:hAnsi="Times New Roman" w:eastAsia="宋体" w:cs="Times New Roman"/>
                <w:szCs w:val="21"/>
              </w:rPr>
            </w:pPr>
            <w:r>
              <w:rPr>
                <w:rFonts w:ascii="Times New Roman" w:hAnsi="Times New Roman" w:eastAsia="宋体" w:cs="Times New Roman"/>
                <w:szCs w:val="21"/>
              </w:rPr>
              <w:t>培训</w:t>
            </w:r>
          </w:p>
        </w:tc>
        <w:tc>
          <w:tcPr>
            <w:tcW w:w="4350" w:type="pct"/>
            <w:gridSpan w:val="2"/>
            <w:vAlign w:val="center"/>
          </w:tcPr>
          <w:p w14:paraId="0DC17EAF">
            <w:pPr>
              <w:autoSpaceDE w:val="0"/>
              <w:autoSpaceDN w:val="0"/>
              <w:adjustRightInd w:val="0"/>
              <w:snapToGrid w:val="0"/>
              <w:spacing w:line="288" w:lineRule="auto"/>
              <w:textAlignment w:val="bottom"/>
              <w:rPr>
                <w:rFonts w:ascii="Times New Roman" w:hAnsi="Times New Roman" w:eastAsia="宋体" w:cs="Times New Roman"/>
                <w:szCs w:val="21"/>
              </w:rPr>
            </w:pPr>
            <w:r>
              <w:rPr>
                <w:rFonts w:ascii="Times New Roman" w:hAnsi="Times New Roman" w:eastAsia="宋体" w:cs="Times New Roman"/>
                <w:szCs w:val="21"/>
              </w:rPr>
              <w:t>1.投标人须到采购人现场提供安装、调试设备，进行操作试验，直至运行正常并验收，为2名以上仪器操作人员提供上机操作及日常维护培训。</w:t>
            </w:r>
          </w:p>
          <w:p w14:paraId="5325B765">
            <w:pPr>
              <w:spacing w:line="288" w:lineRule="auto"/>
              <w:jc w:val="left"/>
              <w:rPr>
                <w:rFonts w:ascii="Times New Roman" w:hAnsi="Times New Roman" w:eastAsia="宋体" w:cs="Times New Roman"/>
                <w:szCs w:val="21"/>
              </w:rPr>
            </w:pPr>
            <w:r>
              <w:rPr>
                <w:rFonts w:ascii="Times New Roman" w:hAnsi="Times New Roman" w:eastAsia="宋体" w:cs="Times New Roman"/>
                <w:szCs w:val="21"/>
              </w:rPr>
              <w:t>2.交货后进行3次以上软件原厂现场培训，委派的培训人员必须对系统的使用和功能有着丰富的经验和执行力，确保软件能正常使用和操作，后续提供不定期的仪器应用技术培训服务。</w:t>
            </w:r>
          </w:p>
          <w:p w14:paraId="68F983E4">
            <w:pPr>
              <w:autoSpaceDE w:val="0"/>
              <w:autoSpaceDN w:val="0"/>
              <w:adjustRightInd w:val="0"/>
              <w:snapToGrid w:val="0"/>
              <w:spacing w:line="288" w:lineRule="auto"/>
              <w:textAlignment w:val="bottom"/>
              <w:rPr>
                <w:rFonts w:ascii="Times New Roman" w:hAnsi="Times New Roman" w:eastAsia="宋体" w:cs="Times New Roman"/>
                <w:szCs w:val="21"/>
              </w:rPr>
            </w:pPr>
            <w:r>
              <w:rPr>
                <w:rFonts w:ascii="Times New Roman" w:hAnsi="Times New Roman" w:eastAsia="宋体" w:cs="Times New Roman"/>
                <w:szCs w:val="21"/>
              </w:rPr>
              <w:t>3.投标人应提供相应的培训计划。</w:t>
            </w:r>
          </w:p>
        </w:tc>
      </w:tr>
      <w:tr w14:paraId="3FBB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pct"/>
            <w:vAlign w:val="center"/>
          </w:tcPr>
          <w:p w14:paraId="58CD0E9D">
            <w:pPr>
              <w:spacing w:line="288" w:lineRule="auto"/>
              <w:jc w:val="center"/>
              <w:rPr>
                <w:rFonts w:ascii="Times New Roman" w:hAnsi="Times New Roman" w:eastAsia="宋体" w:cs="Times New Roman"/>
                <w:szCs w:val="21"/>
              </w:rPr>
            </w:pPr>
            <w:r>
              <w:rPr>
                <w:rFonts w:ascii="Times New Roman" w:hAnsi="Times New Roman" w:eastAsia="宋体" w:cs="Times New Roman"/>
                <w:szCs w:val="21"/>
              </w:rPr>
              <w:t>售后服务</w:t>
            </w:r>
          </w:p>
        </w:tc>
        <w:tc>
          <w:tcPr>
            <w:tcW w:w="4350" w:type="pct"/>
            <w:gridSpan w:val="2"/>
            <w:vAlign w:val="center"/>
          </w:tcPr>
          <w:p w14:paraId="4DB682B6">
            <w:pPr>
              <w:widowControl/>
              <w:autoSpaceDE w:val="0"/>
              <w:autoSpaceDN w:val="0"/>
              <w:adjustRightInd w:val="0"/>
              <w:snapToGrid w:val="0"/>
              <w:spacing w:line="288" w:lineRule="auto"/>
              <w:jc w:val="left"/>
              <w:textAlignment w:val="bottom"/>
              <w:rPr>
                <w:rFonts w:ascii="Times New Roman" w:hAnsi="Times New Roman" w:eastAsia="宋体" w:cs="Times New Roman"/>
                <w:szCs w:val="21"/>
              </w:rPr>
            </w:pPr>
            <w:r>
              <w:rPr>
                <w:rFonts w:ascii="Times New Roman" w:hAnsi="Times New Roman" w:eastAsia="宋体" w:cs="Times New Roman"/>
                <w:szCs w:val="21"/>
              </w:rPr>
              <w:t>1.质保期不少于</w:t>
            </w:r>
            <w:r>
              <w:rPr>
                <w:rFonts w:ascii="Times New Roman" w:hAnsi="Times New Roman" w:eastAsia="宋体" w:cs="Times New Roman"/>
                <w:szCs w:val="21"/>
                <w:lang w:eastAsia="zh"/>
              </w:rPr>
              <w:t>3</w:t>
            </w:r>
            <w:r>
              <w:rPr>
                <w:rFonts w:ascii="Times New Roman" w:hAnsi="Times New Roman" w:eastAsia="宋体" w:cs="Times New Roman"/>
                <w:szCs w:val="21"/>
              </w:rPr>
              <w:t>年，质保期自验收合格之日算起。其中发生一切费用由投标人承担。质保期内出现故障导致停用的时间，要在质保期中追加。质保期内提供上门维修服务、确保软件升级到最新版本。</w:t>
            </w:r>
          </w:p>
          <w:p w14:paraId="6DC16C9C">
            <w:pPr>
              <w:widowControl/>
              <w:autoSpaceDE w:val="0"/>
              <w:autoSpaceDN w:val="0"/>
              <w:adjustRightInd w:val="0"/>
              <w:snapToGrid w:val="0"/>
              <w:spacing w:line="288" w:lineRule="auto"/>
              <w:jc w:val="left"/>
              <w:textAlignment w:val="bottom"/>
              <w:rPr>
                <w:rFonts w:ascii="Times New Roman" w:hAnsi="Times New Roman" w:eastAsia="宋体" w:cs="Times New Roman"/>
                <w:szCs w:val="21"/>
              </w:rPr>
            </w:pPr>
            <w:r>
              <w:rPr>
                <w:rFonts w:ascii="Times New Roman" w:hAnsi="Times New Roman" w:eastAsia="宋体" w:cs="Times New Roman"/>
                <w:szCs w:val="21"/>
              </w:rPr>
              <w:t>2.根据采购人要求，确保软件按时保质保量安装到位。配置指定项目实施联系人和维保人员。</w:t>
            </w:r>
          </w:p>
          <w:p w14:paraId="30709D7A">
            <w:pPr>
              <w:widowControl/>
              <w:autoSpaceDE w:val="0"/>
              <w:autoSpaceDN w:val="0"/>
              <w:adjustRightInd w:val="0"/>
              <w:snapToGrid w:val="0"/>
              <w:spacing w:line="288" w:lineRule="auto"/>
              <w:jc w:val="left"/>
              <w:textAlignment w:val="bottom"/>
              <w:rPr>
                <w:rFonts w:ascii="Times New Roman" w:hAnsi="Times New Roman" w:eastAsia="宋体" w:cs="Times New Roman"/>
                <w:szCs w:val="21"/>
              </w:rPr>
            </w:pPr>
            <w:r>
              <w:rPr>
                <w:rFonts w:ascii="Times New Roman" w:hAnsi="Times New Roman" w:eastAsia="宋体" w:cs="Times New Roman"/>
                <w:szCs w:val="21"/>
              </w:rPr>
              <w:t>3.质保期内系统运行发生故障时，投标人在接到采购人故障通知后4小时内线上响应，一般性故障问题8小时内解决，重大故障8小时内给出解决方案并提供临时应急措施。重大故障解决问题时间不超过24小时。其中发生一切费用由投标人承担。</w:t>
            </w:r>
          </w:p>
          <w:p w14:paraId="6B560E16">
            <w:pPr>
              <w:widowControl/>
              <w:autoSpaceDE w:val="0"/>
              <w:autoSpaceDN w:val="0"/>
              <w:adjustRightInd w:val="0"/>
              <w:snapToGrid w:val="0"/>
              <w:spacing w:line="288" w:lineRule="auto"/>
              <w:jc w:val="left"/>
              <w:textAlignment w:val="bottom"/>
              <w:rPr>
                <w:rFonts w:ascii="Times New Roman" w:hAnsi="Times New Roman" w:eastAsia="宋体" w:cs="Times New Roman"/>
                <w:szCs w:val="21"/>
              </w:rPr>
            </w:pPr>
            <w:r>
              <w:rPr>
                <w:rFonts w:ascii="Times New Roman" w:hAnsi="Times New Roman" w:eastAsia="宋体" w:cs="Times New Roman"/>
                <w:szCs w:val="21"/>
              </w:rPr>
              <w:t>4.质保期内投标人有责任对系统进行不定期的巡查维护。</w:t>
            </w:r>
          </w:p>
          <w:p w14:paraId="5F6747BE">
            <w:pPr>
              <w:widowControl/>
              <w:autoSpaceDE w:val="0"/>
              <w:autoSpaceDN w:val="0"/>
              <w:adjustRightInd w:val="0"/>
              <w:snapToGrid w:val="0"/>
              <w:spacing w:line="288" w:lineRule="auto"/>
              <w:textAlignment w:val="bottom"/>
              <w:rPr>
                <w:rFonts w:ascii="Times New Roman" w:hAnsi="Times New Roman" w:eastAsia="宋体" w:cs="Times New Roman"/>
                <w:szCs w:val="21"/>
              </w:rPr>
            </w:pPr>
            <w:r>
              <w:rPr>
                <w:rFonts w:ascii="Times New Roman" w:hAnsi="Times New Roman" w:eastAsia="宋体" w:cs="Times New Roman"/>
                <w:szCs w:val="21"/>
              </w:rPr>
              <w:t>5.知识产权：投标人应保证所提供的货物及含软件或其任何一部分均不会侵犯任何第三方的知识产权，否则投标人应承担包括但不限于侵权赔偿款、诉讼费、律师费、向采购人退还已付全款，并按合同总价款的20%向采购人支付违约金等责任。</w:t>
            </w:r>
          </w:p>
          <w:p w14:paraId="183837A4">
            <w:pPr>
              <w:widowControl/>
              <w:spacing w:line="288" w:lineRule="auto"/>
              <w:rPr>
                <w:rFonts w:ascii="Times New Roman" w:hAnsi="Times New Roman" w:eastAsia="宋体" w:cs="Times New Roman"/>
                <w:szCs w:val="21"/>
              </w:rPr>
            </w:pPr>
            <w:r>
              <w:rPr>
                <w:rFonts w:ascii="Times New Roman" w:hAnsi="Times New Roman" w:eastAsia="宋体" w:cs="Times New Roman"/>
                <w:szCs w:val="21"/>
              </w:rPr>
              <w:t>6.移机服务：质保期内提供一次移机服务（因采购人需要）。</w:t>
            </w:r>
          </w:p>
        </w:tc>
      </w:tr>
      <w:tr w14:paraId="2544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pct"/>
            <w:vAlign w:val="center"/>
          </w:tcPr>
          <w:p w14:paraId="0F7172C9">
            <w:pPr>
              <w:adjustRightInd w:val="0"/>
              <w:snapToGrid w:val="0"/>
              <w:spacing w:line="288" w:lineRule="auto"/>
              <w:jc w:val="center"/>
              <w:rPr>
                <w:rFonts w:ascii="Times New Roman" w:hAnsi="Times New Roman" w:eastAsia="宋体" w:cs="Times New Roman"/>
                <w:szCs w:val="21"/>
              </w:rPr>
            </w:pPr>
            <w:r>
              <w:rPr>
                <w:rFonts w:ascii="Times New Roman" w:hAnsi="Times New Roman" w:eastAsia="宋体" w:cs="Times New Roman"/>
                <w:szCs w:val="21"/>
              </w:rPr>
              <w:t>验收</w:t>
            </w:r>
          </w:p>
        </w:tc>
        <w:tc>
          <w:tcPr>
            <w:tcW w:w="4350" w:type="pct"/>
            <w:gridSpan w:val="2"/>
            <w:vAlign w:val="center"/>
          </w:tcPr>
          <w:p w14:paraId="0E4D3EAC">
            <w:pPr>
              <w:widowControl/>
              <w:autoSpaceDE w:val="0"/>
              <w:autoSpaceDN w:val="0"/>
              <w:adjustRightInd w:val="0"/>
              <w:snapToGrid w:val="0"/>
              <w:spacing w:line="288" w:lineRule="auto"/>
              <w:textAlignment w:val="bottom"/>
              <w:rPr>
                <w:rFonts w:ascii="Times New Roman" w:hAnsi="Times New Roman" w:eastAsia="宋体" w:cs="Times New Roman"/>
                <w:szCs w:val="21"/>
              </w:rPr>
            </w:pPr>
            <w:r>
              <w:rPr>
                <w:rFonts w:ascii="Times New Roman" w:hAnsi="Times New Roman" w:eastAsia="宋体" w:cs="Times New Roman"/>
                <w:szCs w:val="21"/>
              </w:rPr>
              <w:t>1.中标人应提供合同货物的有效检验文件，经采购人认可后，与货物的性能指标一起作为合同货物验收标准。采购人对合同货物验收合格后，双方共同签署验收合格材料，验收中发现合同货物达不到验收标准或合同规定的性能指标，中标人必须更换合同货物，并负担由此给采购人造成的损失，直到验收合格为止。</w:t>
            </w:r>
          </w:p>
          <w:p w14:paraId="446A020F">
            <w:pPr>
              <w:widowControl/>
              <w:autoSpaceDE w:val="0"/>
              <w:autoSpaceDN w:val="0"/>
              <w:adjustRightInd w:val="0"/>
              <w:snapToGrid w:val="0"/>
              <w:spacing w:line="288" w:lineRule="auto"/>
              <w:textAlignment w:val="bottom"/>
              <w:rPr>
                <w:rFonts w:ascii="Times New Roman" w:hAnsi="Times New Roman" w:eastAsia="宋体" w:cs="Times New Roman"/>
                <w:szCs w:val="21"/>
              </w:rPr>
            </w:pPr>
            <w:r>
              <w:rPr>
                <w:rFonts w:ascii="Times New Roman" w:hAnsi="Times New Roman" w:eastAsia="宋体" w:cs="Times New Roman"/>
                <w:szCs w:val="21"/>
              </w:rPr>
              <w:t>2.投标人应在投标文件中提供合同货物的验收标准和检测办法，并在验收中提供采购人认可的相应检测手段，验收标准应符合中国有关的国家、地方、行业的标准，如若中标，经采购人确认后作为验收的依据。</w:t>
            </w:r>
          </w:p>
          <w:p w14:paraId="31DDCE6B">
            <w:pPr>
              <w:widowControl/>
              <w:autoSpaceDE w:val="0"/>
              <w:autoSpaceDN w:val="0"/>
              <w:adjustRightInd w:val="0"/>
              <w:snapToGrid w:val="0"/>
              <w:spacing w:line="288" w:lineRule="auto"/>
              <w:textAlignment w:val="bottom"/>
              <w:rPr>
                <w:rFonts w:ascii="Times New Roman" w:hAnsi="Times New Roman" w:eastAsia="宋体" w:cs="Times New Roman"/>
                <w:szCs w:val="21"/>
              </w:rPr>
            </w:pPr>
            <w:r>
              <w:rPr>
                <w:rFonts w:ascii="Times New Roman" w:hAnsi="Times New Roman" w:eastAsia="宋体" w:cs="Times New Roman"/>
                <w:szCs w:val="21"/>
              </w:rPr>
              <w:t>3.软件产品验收时需由中标人提供原厂知识产权证书及授权书。</w:t>
            </w:r>
          </w:p>
        </w:tc>
      </w:tr>
      <w:tr w14:paraId="65D9E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pct"/>
            <w:vAlign w:val="center"/>
          </w:tcPr>
          <w:p w14:paraId="58523115">
            <w:pPr>
              <w:spacing w:line="288" w:lineRule="auto"/>
              <w:jc w:val="center"/>
              <w:rPr>
                <w:rFonts w:ascii="Times New Roman" w:hAnsi="Times New Roman" w:eastAsia="宋体" w:cs="Times New Roman"/>
                <w:szCs w:val="21"/>
              </w:rPr>
            </w:pPr>
            <w:r>
              <w:rPr>
                <w:rFonts w:ascii="Times New Roman" w:hAnsi="Times New Roman" w:eastAsia="宋体" w:cs="Times New Roman"/>
                <w:szCs w:val="21"/>
              </w:rPr>
              <w:t>备注</w:t>
            </w:r>
          </w:p>
        </w:tc>
        <w:tc>
          <w:tcPr>
            <w:tcW w:w="4350" w:type="pct"/>
            <w:gridSpan w:val="2"/>
            <w:vAlign w:val="center"/>
          </w:tcPr>
          <w:p w14:paraId="6431CEDD">
            <w:pPr>
              <w:spacing w:line="288" w:lineRule="auto"/>
              <w:rPr>
                <w:rFonts w:ascii="Times New Roman" w:hAnsi="Times New Roman" w:eastAsia="宋体" w:cs="Times New Roman"/>
                <w:szCs w:val="21"/>
              </w:rPr>
            </w:pPr>
            <w:r>
              <w:rPr>
                <w:rFonts w:ascii="Times New Roman" w:hAnsi="Times New Roman" w:eastAsia="宋体" w:cs="Times New Roman"/>
                <w:szCs w:val="21"/>
              </w:rPr>
              <w:t>本项目实施所需的所有成本充分考虑，项目可能需要的线材、辅料、转换接口等，安装调试过程中按实际需要提供，任何缺项、漏项均由中标人自行承担，采购人不作任何追加。</w:t>
            </w:r>
          </w:p>
        </w:tc>
      </w:tr>
    </w:tbl>
    <w:p w14:paraId="7337EB97">
      <w:pPr>
        <w:adjustRightInd w:val="0"/>
        <w:snapToGrid w:val="0"/>
        <w:spacing w:line="288" w:lineRule="auto"/>
        <w:rPr>
          <w:rFonts w:hint="eastAsia" w:ascii="宋体" w:hAnsi="宋体" w:eastAsia="宋体" w:cs="Times New Roman"/>
          <w:b/>
          <w:szCs w:val="21"/>
        </w:rPr>
      </w:pPr>
    </w:p>
    <w:p w14:paraId="4356006F">
      <w:pPr>
        <w:adjustRightInd w:val="0"/>
        <w:snapToGrid w:val="0"/>
        <w:spacing w:line="288" w:lineRule="auto"/>
        <w:outlineLvl w:val="1"/>
        <w:rPr>
          <w:rFonts w:hint="eastAsia" w:ascii="宋体" w:hAnsi="宋体" w:eastAsia="宋体" w:cs="Times New Roman"/>
          <w:szCs w:val="21"/>
        </w:rPr>
      </w:pPr>
      <w:r>
        <w:rPr>
          <w:rFonts w:hint="eastAsia" w:ascii="宋体" w:hAnsi="宋体" w:eastAsia="宋体" w:cs="Times New Roman"/>
          <w:b/>
          <w:szCs w:val="21"/>
        </w:rPr>
        <w:t>四、技术要求</w:t>
      </w:r>
      <w:bookmarkStart w:id="37" w:name="_Hlk45005556"/>
    </w:p>
    <w:bookmarkEnd w:id="37"/>
    <w:p w14:paraId="555B7079">
      <w:pPr>
        <w:adjustRightInd w:val="0"/>
        <w:snapToGrid w:val="0"/>
        <w:spacing w:line="288" w:lineRule="auto"/>
        <w:rPr>
          <w:rFonts w:hint="eastAsia" w:ascii="宋体" w:hAnsi="宋体" w:eastAsia="宋体" w:cs="宋体"/>
          <w:b/>
          <w:bCs/>
          <w:szCs w:val="21"/>
        </w:rPr>
      </w:pPr>
      <w:bookmarkStart w:id="38" w:name="_Hlk92271413"/>
      <w:r>
        <w:rPr>
          <w:rFonts w:hint="eastAsia" w:ascii="宋体" w:hAnsi="宋体" w:eastAsia="宋体" w:cs="宋体"/>
          <w:b/>
          <w:bCs/>
          <w:szCs w:val="21"/>
        </w:rPr>
        <w:t>1</w:t>
      </w:r>
      <w:r>
        <w:rPr>
          <w:rFonts w:ascii="宋体" w:hAnsi="宋体" w:eastAsia="宋体" w:cs="宋体"/>
          <w:b/>
          <w:bCs/>
          <w:szCs w:val="21"/>
        </w:rPr>
        <w:t>.</w:t>
      </w:r>
      <w:r>
        <w:rPr>
          <w:rFonts w:hint="eastAsia" w:ascii="宋体" w:hAnsi="宋体" w:eastAsia="宋体" w:cs="宋体"/>
          <w:b/>
          <w:bCs/>
          <w:szCs w:val="21"/>
        </w:rPr>
        <w:t>需执行的国家相关标准、行业标准、地方标准或者其他标准、规范：</w:t>
      </w:r>
      <w:bookmarkStart w:id="39" w:name="_Hlk94018176"/>
      <w:r>
        <w:rPr>
          <w:rFonts w:hint="eastAsia" w:ascii="宋体" w:hAnsi="宋体" w:eastAsia="宋体" w:cs="宋体"/>
          <w:szCs w:val="21"/>
        </w:rPr>
        <w:t>如技术要求中未注明需执行的国家相关标准、行业标准、地方标准或者其他标准、规范的，执行最新标准、规范。</w:t>
      </w:r>
      <w:bookmarkEnd w:id="39"/>
    </w:p>
    <w:bookmarkEnd w:id="38"/>
    <w:p w14:paraId="2FF6BD1B">
      <w:pPr>
        <w:adjustRightInd w:val="0"/>
        <w:snapToGrid w:val="0"/>
        <w:spacing w:line="288" w:lineRule="auto"/>
        <w:rPr>
          <w:rFonts w:hint="eastAsia" w:ascii="宋体" w:hAnsi="宋体" w:eastAsia="宋体" w:cs="宋体"/>
          <w:b/>
          <w:bCs/>
          <w:szCs w:val="21"/>
        </w:rPr>
      </w:pPr>
      <w:r>
        <w:rPr>
          <w:rFonts w:ascii="宋体" w:hAnsi="宋体" w:eastAsia="宋体" w:cs="宋体"/>
          <w:b/>
          <w:bCs/>
          <w:szCs w:val="21"/>
        </w:rPr>
        <w:t>2</w:t>
      </w:r>
      <w:r>
        <w:rPr>
          <w:rFonts w:hint="eastAsia" w:ascii="宋体" w:hAnsi="宋体" w:eastAsia="宋体" w:cs="宋体"/>
          <w:b/>
          <w:bCs/>
          <w:szCs w:val="21"/>
        </w:rPr>
        <w:t>.需实现的功能或者目标：满足浙江工商大学未来营养健康与共同富裕计算设备更新-共同富裕计算设备（第一批）采购要求。</w:t>
      </w:r>
    </w:p>
    <w:p w14:paraId="27C184E9">
      <w:pPr>
        <w:adjustRightInd w:val="0"/>
        <w:snapToGrid w:val="0"/>
        <w:spacing w:line="288" w:lineRule="auto"/>
        <w:rPr>
          <w:rFonts w:hint="eastAsia" w:ascii="宋体" w:hAnsi="宋体" w:eastAsia="宋体" w:cs="宋体"/>
          <w:b/>
          <w:bCs/>
          <w:szCs w:val="21"/>
        </w:rPr>
      </w:pPr>
      <w:r>
        <w:rPr>
          <w:rFonts w:hint="eastAsia" w:ascii="宋体" w:hAnsi="宋体" w:eastAsia="宋体" w:cs="宋体"/>
          <w:b/>
          <w:bCs/>
          <w:szCs w:val="21"/>
        </w:rPr>
        <w:t>3.采购清单</w:t>
      </w:r>
    </w:p>
    <w:tbl>
      <w:tblPr>
        <w:tblStyle w:val="23"/>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2028"/>
        <w:gridCol w:w="825"/>
        <w:gridCol w:w="816"/>
        <w:gridCol w:w="1360"/>
        <w:gridCol w:w="1318"/>
        <w:gridCol w:w="2514"/>
      </w:tblGrid>
      <w:tr w14:paraId="501B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392" w:type="pct"/>
            <w:shd w:val="clear" w:color="auto" w:fill="auto"/>
            <w:vAlign w:val="center"/>
          </w:tcPr>
          <w:p w14:paraId="461498CA">
            <w:pPr>
              <w:jc w:val="center"/>
              <w:textAlignment w:val="center"/>
              <w:rPr>
                <w:rFonts w:hint="eastAsia" w:ascii="宋体" w:hAnsi="宋体" w:eastAsia="宋体" w:cs="宋体"/>
                <w:szCs w:val="21"/>
              </w:rPr>
            </w:pPr>
            <w:r>
              <w:rPr>
                <w:rFonts w:hint="eastAsia" w:ascii="宋体" w:hAnsi="宋体" w:eastAsia="宋体" w:cs="宋体"/>
                <w:szCs w:val="21"/>
                <w:lang w:bidi="ar"/>
              </w:rPr>
              <w:t>序号</w:t>
            </w:r>
          </w:p>
        </w:tc>
        <w:tc>
          <w:tcPr>
            <w:tcW w:w="1054" w:type="pct"/>
            <w:shd w:val="clear" w:color="auto" w:fill="auto"/>
            <w:vAlign w:val="center"/>
          </w:tcPr>
          <w:p w14:paraId="1F36556D">
            <w:pPr>
              <w:jc w:val="center"/>
              <w:textAlignment w:val="center"/>
              <w:rPr>
                <w:rFonts w:hint="eastAsia" w:ascii="宋体" w:hAnsi="宋体" w:eastAsia="宋体" w:cs="宋体"/>
                <w:szCs w:val="21"/>
              </w:rPr>
            </w:pPr>
            <w:r>
              <w:rPr>
                <w:rFonts w:hint="eastAsia" w:ascii="宋体" w:hAnsi="宋体" w:eastAsia="宋体" w:cs="宋体"/>
                <w:szCs w:val="21"/>
                <w:lang w:bidi="ar"/>
              </w:rPr>
              <w:t>货物名称</w:t>
            </w:r>
          </w:p>
        </w:tc>
        <w:tc>
          <w:tcPr>
            <w:tcW w:w="429" w:type="pct"/>
            <w:shd w:val="clear" w:color="auto" w:fill="auto"/>
            <w:vAlign w:val="center"/>
          </w:tcPr>
          <w:p w14:paraId="0277FA7D">
            <w:pPr>
              <w:jc w:val="center"/>
              <w:textAlignment w:val="center"/>
              <w:rPr>
                <w:rFonts w:hint="eastAsia" w:ascii="宋体" w:hAnsi="宋体" w:eastAsia="宋体" w:cs="宋体"/>
                <w:szCs w:val="21"/>
              </w:rPr>
            </w:pPr>
            <w:r>
              <w:rPr>
                <w:rFonts w:hint="eastAsia" w:ascii="宋体" w:hAnsi="宋体" w:eastAsia="宋体" w:cs="宋体"/>
                <w:szCs w:val="21"/>
                <w:lang w:bidi="ar"/>
              </w:rPr>
              <w:t>计量单位</w:t>
            </w:r>
          </w:p>
        </w:tc>
        <w:tc>
          <w:tcPr>
            <w:tcW w:w="424" w:type="pct"/>
            <w:shd w:val="clear" w:color="auto" w:fill="auto"/>
            <w:vAlign w:val="center"/>
          </w:tcPr>
          <w:p w14:paraId="4FD13040">
            <w:pPr>
              <w:jc w:val="center"/>
              <w:textAlignment w:val="center"/>
              <w:rPr>
                <w:rFonts w:hint="eastAsia" w:ascii="宋体" w:hAnsi="宋体" w:eastAsia="宋体" w:cs="宋体"/>
                <w:szCs w:val="21"/>
              </w:rPr>
            </w:pPr>
            <w:r>
              <w:rPr>
                <w:rFonts w:hint="eastAsia" w:ascii="宋体" w:hAnsi="宋体" w:eastAsia="宋体" w:cs="宋体"/>
                <w:szCs w:val="21"/>
                <w:lang w:bidi="ar"/>
              </w:rPr>
              <w:t>数量</w:t>
            </w:r>
          </w:p>
        </w:tc>
        <w:tc>
          <w:tcPr>
            <w:tcW w:w="707" w:type="pct"/>
            <w:shd w:val="clear" w:color="auto" w:fill="auto"/>
            <w:vAlign w:val="center"/>
          </w:tcPr>
          <w:p w14:paraId="2734F2DA">
            <w:pPr>
              <w:jc w:val="center"/>
              <w:textAlignment w:val="center"/>
              <w:rPr>
                <w:rFonts w:hint="eastAsia" w:ascii="宋体" w:hAnsi="宋体" w:eastAsia="宋体" w:cs="宋体"/>
                <w:b/>
                <w:bCs/>
                <w:szCs w:val="21"/>
                <w:lang w:bidi="ar"/>
              </w:rPr>
            </w:pPr>
            <w:r>
              <w:rPr>
                <w:rFonts w:hint="eastAsia" w:ascii="宋体" w:hAnsi="宋体" w:eastAsia="宋体" w:cs="宋体"/>
                <w:b/>
                <w:bCs/>
                <w:szCs w:val="21"/>
                <w:lang w:bidi="ar"/>
              </w:rPr>
              <w:t>单价最高限价（万元）</w:t>
            </w:r>
          </w:p>
        </w:tc>
        <w:tc>
          <w:tcPr>
            <w:tcW w:w="685" w:type="pct"/>
            <w:shd w:val="clear" w:color="auto" w:fill="auto"/>
            <w:vAlign w:val="center"/>
          </w:tcPr>
          <w:p w14:paraId="35555962">
            <w:pPr>
              <w:jc w:val="center"/>
              <w:textAlignment w:val="center"/>
              <w:rPr>
                <w:rFonts w:hint="eastAsia" w:ascii="宋体" w:hAnsi="宋体" w:eastAsia="宋体" w:cs="宋体"/>
                <w:szCs w:val="21"/>
                <w:lang w:bidi="ar"/>
              </w:rPr>
            </w:pPr>
            <w:r>
              <w:rPr>
                <w:rFonts w:hint="eastAsia" w:ascii="宋体" w:hAnsi="宋体" w:eastAsia="宋体" w:cs="宋体"/>
                <w:szCs w:val="21"/>
                <w:lang w:bidi="ar"/>
              </w:rPr>
              <w:t>预算金额（万元）</w:t>
            </w:r>
          </w:p>
        </w:tc>
        <w:tc>
          <w:tcPr>
            <w:tcW w:w="1306" w:type="pct"/>
            <w:shd w:val="clear" w:color="auto" w:fill="auto"/>
            <w:vAlign w:val="center"/>
          </w:tcPr>
          <w:p w14:paraId="2652C352">
            <w:pPr>
              <w:jc w:val="center"/>
              <w:textAlignment w:val="center"/>
              <w:rPr>
                <w:rFonts w:hint="eastAsia" w:ascii="宋体" w:hAnsi="宋体" w:eastAsia="宋体" w:cs="宋体"/>
                <w:szCs w:val="21"/>
                <w:lang w:bidi="ar"/>
              </w:rPr>
            </w:pPr>
            <w:r>
              <w:rPr>
                <w:rFonts w:ascii="Times New Roman" w:hAnsi="Times New Roman" w:eastAsia="宋体" w:cs="Times New Roman"/>
                <w:kern w:val="0"/>
                <w:szCs w:val="21"/>
                <w:lang w:bidi="ar"/>
              </w:rPr>
              <w:t>备注</w:t>
            </w:r>
          </w:p>
        </w:tc>
      </w:tr>
      <w:tr w14:paraId="0FAA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pct"/>
            <w:shd w:val="clear" w:color="auto" w:fill="auto"/>
            <w:vAlign w:val="center"/>
          </w:tcPr>
          <w:p w14:paraId="56DBE42D">
            <w:pPr>
              <w:widowControl/>
              <w:jc w:val="center"/>
              <w:textAlignment w:val="center"/>
              <w:rPr>
                <w:rFonts w:hint="eastAsia" w:ascii="宋体" w:hAnsi="宋体" w:eastAsia="宋体" w:cs="宋体"/>
                <w:szCs w:val="21"/>
              </w:rPr>
            </w:pPr>
            <w:r>
              <w:rPr>
                <w:rFonts w:ascii="Times New Roman" w:hAnsi="Times New Roman" w:eastAsia="宋体" w:cs="Times New Roman"/>
                <w:kern w:val="0"/>
                <w:szCs w:val="21"/>
                <w:lang w:bidi="ar"/>
              </w:rPr>
              <w:t>1</w:t>
            </w:r>
          </w:p>
        </w:tc>
        <w:tc>
          <w:tcPr>
            <w:tcW w:w="1054" w:type="pct"/>
            <w:shd w:val="clear" w:color="auto" w:fill="auto"/>
            <w:vAlign w:val="center"/>
          </w:tcPr>
          <w:p w14:paraId="4CCD7268">
            <w:pPr>
              <w:widowControl/>
              <w:jc w:val="center"/>
              <w:textAlignment w:val="center"/>
              <w:rPr>
                <w:rFonts w:hint="eastAsia" w:ascii="宋体" w:hAnsi="宋体" w:eastAsia="宋体" w:cs="宋体"/>
                <w:szCs w:val="21"/>
              </w:rPr>
            </w:pPr>
            <w:r>
              <w:rPr>
                <w:rFonts w:ascii="Times New Roman" w:hAnsi="Times New Roman" w:eastAsia="宋体" w:cs="Times New Roman"/>
                <w:kern w:val="0"/>
                <w:szCs w:val="21"/>
                <w:lang w:bidi="ar"/>
              </w:rPr>
              <w:t>超模态行为洞察平台</w:t>
            </w:r>
            <w:r>
              <w:rPr>
                <w:rFonts w:ascii="Times New Roman" w:hAnsi="Times New Roman" w:eastAsia="宋体" w:cs="Times New Roman"/>
                <w:b/>
                <w:bCs/>
                <w:kern w:val="0"/>
                <w:szCs w:val="21"/>
                <w:lang w:bidi="ar"/>
              </w:rPr>
              <w:t>（核心产品）</w:t>
            </w:r>
          </w:p>
        </w:tc>
        <w:tc>
          <w:tcPr>
            <w:tcW w:w="429" w:type="pct"/>
            <w:shd w:val="clear" w:color="auto" w:fill="auto"/>
            <w:vAlign w:val="center"/>
          </w:tcPr>
          <w:p w14:paraId="00AAD461">
            <w:pPr>
              <w:widowControl/>
              <w:jc w:val="center"/>
              <w:textAlignment w:val="center"/>
              <w:rPr>
                <w:rFonts w:hint="eastAsia" w:ascii="宋体" w:hAnsi="宋体" w:eastAsia="宋体" w:cs="宋体"/>
                <w:szCs w:val="21"/>
              </w:rPr>
            </w:pPr>
            <w:r>
              <w:rPr>
                <w:rFonts w:ascii="Times New Roman" w:hAnsi="Times New Roman" w:eastAsia="宋体" w:cs="Times New Roman"/>
                <w:kern w:val="0"/>
                <w:szCs w:val="21"/>
                <w:lang w:bidi="ar"/>
              </w:rPr>
              <w:t>套</w:t>
            </w:r>
          </w:p>
        </w:tc>
        <w:tc>
          <w:tcPr>
            <w:tcW w:w="424" w:type="pct"/>
            <w:shd w:val="clear" w:color="auto" w:fill="auto"/>
            <w:vAlign w:val="center"/>
          </w:tcPr>
          <w:p w14:paraId="34A2437D">
            <w:pPr>
              <w:widowControl/>
              <w:jc w:val="center"/>
              <w:textAlignment w:val="center"/>
              <w:rPr>
                <w:rFonts w:hint="eastAsia" w:ascii="宋体" w:hAnsi="宋体" w:eastAsia="宋体" w:cs="宋体"/>
                <w:szCs w:val="21"/>
              </w:rPr>
            </w:pPr>
            <w:r>
              <w:rPr>
                <w:rFonts w:ascii="Times New Roman" w:hAnsi="Times New Roman" w:eastAsia="宋体" w:cs="Times New Roman"/>
                <w:kern w:val="0"/>
                <w:szCs w:val="21"/>
                <w:lang w:bidi="ar"/>
              </w:rPr>
              <w:t>1</w:t>
            </w:r>
          </w:p>
        </w:tc>
        <w:tc>
          <w:tcPr>
            <w:tcW w:w="707" w:type="pct"/>
            <w:shd w:val="clear" w:color="auto" w:fill="auto"/>
            <w:vAlign w:val="center"/>
          </w:tcPr>
          <w:p w14:paraId="5003D95E">
            <w:pPr>
              <w:widowControl/>
              <w:jc w:val="center"/>
              <w:textAlignment w:val="center"/>
              <w:rPr>
                <w:rFonts w:ascii="Times New Roman" w:hAnsi="Times New Roman" w:cs="Times New Roman"/>
                <w:b/>
                <w:bCs/>
                <w:szCs w:val="21"/>
              </w:rPr>
            </w:pPr>
            <w:r>
              <w:rPr>
                <w:rFonts w:ascii="Times New Roman" w:hAnsi="Times New Roman" w:eastAsia="宋体" w:cs="Times New Roman"/>
                <w:kern w:val="0"/>
                <w:szCs w:val="21"/>
                <w:lang w:bidi="ar"/>
              </w:rPr>
              <w:t>100.00</w:t>
            </w:r>
          </w:p>
        </w:tc>
        <w:tc>
          <w:tcPr>
            <w:tcW w:w="685" w:type="pct"/>
            <w:vMerge w:val="restart"/>
            <w:shd w:val="clear" w:color="auto" w:fill="auto"/>
            <w:vAlign w:val="center"/>
          </w:tcPr>
          <w:p w14:paraId="3EB6D104">
            <w:pPr>
              <w:jc w:val="center"/>
              <w:textAlignment w:val="center"/>
              <w:rPr>
                <w:rFonts w:hint="eastAsia" w:ascii="宋体" w:hAnsi="宋体" w:eastAsia="宋体" w:cs="宋体"/>
                <w:szCs w:val="21"/>
              </w:rPr>
            </w:pPr>
            <w:r>
              <w:rPr>
                <w:rFonts w:hint="eastAsia" w:ascii="宋体" w:hAnsi="宋体" w:eastAsia="宋体" w:cs="宋体"/>
                <w:szCs w:val="21"/>
                <w:lang w:bidi="ar"/>
              </w:rPr>
              <w:t>290.00</w:t>
            </w:r>
          </w:p>
        </w:tc>
        <w:tc>
          <w:tcPr>
            <w:tcW w:w="1306" w:type="pct"/>
            <w:shd w:val="clear" w:color="auto" w:fill="auto"/>
            <w:vAlign w:val="center"/>
          </w:tcPr>
          <w:p w14:paraId="067D4ACB">
            <w:pPr>
              <w:jc w:val="center"/>
              <w:textAlignment w:val="center"/>
              <w:rPr>
                <w:rFonts w:hint="eastAsia" w:ascii="宋体" w:hAnsi="宋体" w:eastAsia="宋体" w:cs="宋体"/>
                <w:szCs w:val="21"/>
                <w:lang w:bidi="ar"/>
              </w:rPr>
            </w:pPr>
            <w:r>
              <w:rPr>
                <w:rFonts w:ascii="Times New Roman" w:hAnsi="Times New Roman" w:eastAsia="宋体" w:cs="Times New Roman"/>
                <w:kern w:val="0"/>
                <w:szCs w:val="21"/>
                <w:lang w:bidi="ar"/>
              </w:rPr>
              <w:t>包括但不限于：超模态行为洞察平台（1套）、专用数据分析主机（3台）、专用采集分析主机（1台）、USB摄像头 （2个）、网络交换机（1台）。</w:t>
            </w:r>
          </w:p>
        </w:tc>
      </w:tr>
      <w:tr w14:paraId="25948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pct"/>
            <w:shd w:val="clear" w:color="auto" w:fill="auto"/>
            <w:vAlign w:val="center"/>
          </w:tcPr>
          <w:p w14:paraId="2C60D024">
            <w:pPr>
              <w:widowControl/>
              <w:jc w:val="center"/>
              <w:textAlignment w:val="center"/>
              <w:rPr>
                <w:rFonts w:hint="eastAsia" w:ascii="宋体" w:hAnsi="宋体" w:eastAsia="宋体" w:cs="宋体"/>
                <w:szCs w:val="21"/>
              </w:rPr>
            </w:pPr>
            <w:r>
              <w:rPr>
                <w:rFonts w:ascii="Times New Roman" w:hAnsi="Times New Roman" w:eastAsia="宋体" w:cs="Times New Roman"/>
                <w:kern w:val="0"/>
                <w:szCs w:val="21"/>
                <w:lang w:bidi="ar"/>
              </w:rPr>
              <w:t>2</w:t>
            </w:r>
          </w:p>
        </w:tc>
        <w:tc>
          <w:tcPr>
            <w:tcW w:w="1054" w:type="pct"/>
            <w:shd w:val="clear" w:color="auto" w:fill="auto"/>
            <w:vAlign w:val="center"/>
          </w:tcPr>
          <w:p w14:paraId="191DCAE0">
            <w:pPr>
              <w:widowControl/>
              <w:jc w:val="center"/>
              <w:textAlignment w:val="center"/>
              <w:rPr>
                <w:rFonts w:hint="eastAsia" w:ascii="宋体" w:hAnsi="宋体" w:eastAsia="宋体" w:cs="宋体"/>
                <w:szCs w:val="21"/>
              </w:rPr>
            </w:pPr>
            <w:r>
              <w:rPr>
                <w:rFonts w:ascii="Times New Roman" w:hAnsi="Times New Roman" w:eastAsia="宋体" w:cs="Times New Roman"/>
                <w:kern w:val="0"/>
                <w:szCs w:val="21"/>
                <w:lang w:bidi="ar"/>
              </w:rPr>
              <w:t>便携式行为观察记录分析系统</w:t>
            </w:r>
          </w:p>
        </w:tc>
        <w:tc>
          <w:tcPr>
            <w:tcW w:w="429" w:type="pct"/>
            <w:shd w:val="clear" w:color="auto" w:fill="auto"/>
            <w:vAlign w:val="center"/>
          </w:tcPr>
          <w:p w14:paraId="26FCA607">
            <w:pPr>
              <w:widowControl/>
              <w:jc w:val="center"/>
              <w:textAlignment w:val="center"/>
              <w:rPr>
                <w:rFonts w:hint="eastAsia" w:ascii="宋体" w:hAnsi="宋体" w:eastAsia="宋体" w:cs="宋体"/>
                <w:szCs w:val="21"/>
              </w:rPr>
            </w:pPr>
            <w:r>
              <w:rPr>
                <w:rFonts w:ascii="Times New Roman" w:hAnsi="Times New Roman" w:eastAsia="宋体" w:cs="Times New Roman"/>
                <w:kern w:val="0"/>
                <w:szCs w:val="21"/>
                <w:lang w:bidi="ar"/>
              </w:rPr>
              <w:t>套</w:t>
            </w:r>
          </w:p>
        </w:tc>
        <w:tc>
          <w:tcPr>
            <w:tcW w:w="424" w:type="pct"/>
            <w:shd w:val="clear" w:color="auto" w:fill="auto"/>
            <w:vAlign w:val="center"/>
          </w:tcPr>
          <w:p w14:paraId="457A2C4A">
            <w:pPr>
              <w:widowControl/>
              <w:jc w:val="center"/>
              <w:textAlignment w:val="center"/>
              <w:rPr>
                <w:rFonts w:hint="eastAsia" w:ascii="宋体" w:hAnsi="宋体" w:eastAsia="宋体" w:cs="宋体"/>
                <w:szCs w:val="21"/>
              </w:rPr>
            </w:pPr>
            <w:r>
              <w:rPr>
                <w:rFonts w:ascii="Times New Roman" w:hAnsi="Times New Roman" w:eastAsia="宋体" w:cs="Times New Roman"/>
                <w:kern w:val="0"/>
                <w:szCs w:val="21"/>
                <w:lang w:bidi="ar"/>
              </w:rPr>
              <w:t>1</w:t>
            </w:r>
          </w:p>
        </w:tc>
        <w:tc>
          <w:tcPr>
            <w:tcW w:w="707" w:type="pct"/>
            <w:shd w:val="clear" w:color="auto" w:fill="auto"/>
            <w:vAlign w:val="center"/>
          </w:tcPr>
          <w:p w14:paraId="7B01F33D">
            <w:pPr>
              <w:widowControl/>
              <w:jc w:val="center"/>
              <w:textAlignment w:val="center"/>
              <w:rPr>
                <w:rFonts w:ascii="Times New Roman" w:hAnsi="Times New Roman" w:cs="Times New Roman"/>
                <w:b/>
                <w:bCs/>
                <w:szCs w:val="21"/>
              </w:rPr>
            </w:pPr>
            <w:r>
              <w:rPr>
                <w:rFonts w:ascii="Times New Roman" w:hAnsi="Times New Roman" w:eastAsia="宋体" w:cs="Times New Roman"/>
                <w:kern w:val="0"/>
                <w:szCs w:val="21"/>
                <w:lang w:bidi="ar"/>
              </w:rPr>
              <w:t>60.00</w:t>
            </w:r>
          </w:p>
        </w:tc>
        <w:tc>
          <w:tcPr>
            <w:tcW w:w="685" w:type="pct"/>
            <w:vMerge w:val="continue"/>
            <w:shd w:val="clear" w:color="auto" w:fill="auto"/>
            <w:vAlign w:val="center"/>
          </w:tcPr>
          <w:p w14:paraId="14DD5BA1">
            <w:pPr>
              <w:jc w:val="center"/>
              <w:rPr>
                <w:rFonts w:hint="eastAsia" w:ascii="宋体" w:hAnsi="宋体" w:eastAsia="宋体" w:cs="宋体"/>
                <w:szCs w:val="21"/>
              </w:rPr>
            </w:pPr>
          </w:p>
        </w:tc>
        <w:tc>
          <w:tcPr>
            <w:tcW w:w="1306" w:type="pct"/>
            <w:shd w:val="clear" w:color="auto" w:fill="auto"/>
            <w:vAlign w:val="center"/>
          </w:tcPr>
          <w:p w14:paraId="0B10FBB2">
            <w:pPr>
              <w:jc w:val="center"/>
              <w:rPr>
                <w:rFonts w:hint="eastAsia" w:ascii="宋体" w:hAnsi="宋体" w:eastAsia="宋体" w:cs="宋体"/>
                <w:szCs w:val="21"/>
              </w:rPr>
            </w:pPr>
            <w:r>
              <w:rPr>
                <w:rFonts w:ascii="Times New Roman" w:hAnsi="Times New Roman" w:eastAsia="宋体" w:cs="Times New Roman"/>
                <w:kern w:val="0"/>
                <w:szCs w:val="21"/>
                <w:lang w:bidi="ar"/>
              </w:rPr>
              <w:t>包括但不限于：便携式行为观察记录分析系统（1套）、便携式云台相机（2台）、数码视频采集设备（1套）、便携式专用主机（1台）、便携式防震航空箱（1套）。</w:t>
            </w:r>
          </w:p>
        </w:tc>
      </w:tr>
      <w:tr w14:paraId="0CC3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pct"/>
            <w:shd w:val="clear" w:color="auto" w:fill="auto"/>
            <w:vAlign w:val="center"/>
          </w:tcPr>
          <w:p w14:paraId="4DB49BBA">
            <w:pPr>
              <w:widowControl/>
              <w:jc w:val="center"/>
              <w:textAlignment w:val="center"/>
              <w:rPr>
                <w:rFonts w:hint="eastAsia" w:ascii="宋体" w:hAnsi="宋体" w:eastAsia="宋体" w:cs="宋体"/>
                <w:szCs w:val="21"/>
              </w:rPr>
            </w:pPr>
            <w:r>
              <w:rPr>
                <w:rFonts w:ascii="Times New Roman" w:hAnsi="Times New Roman" w:eastAsia="宋体" w:cs="Times New Roman"/>
                <w:kern w:val="0"/>
                <w:szCs w:val="21"/>
                <w:lang w:bidi="ar"/>
              </w:rPr>
              <w:t>3</w:t>
            </w:r>
          </w:p>
        </w:tc>
        <w:tc>
          <w:tcPr>
            <w:tcW w:w="1054" w:type="pct"/>
            <w:shd w:val="clear" w:color="auto" w:fill="auto"/>
            <w:vAlign w:val="center"/>
          </w:tcPr>
          <w:p w14:paraId="24C70557">
            <w:pPr>
              <w:widowControl/>
              <w:jc w:val="center"/>
              <w:textAlignment w:val="center"/>
              <w:rPr>
                <w:rFonts w:hint="eastAsia" w:ascii="宋体" w:hAnsi="宋体" w:eastAsia="宋体" w:cs="宋体"/>
                <w:szCs w:val="21"/>
              </w:rPr>
            </w:pPr>
            <w:r>
              <w:rPr>
                <w:rFonts w:ascii="Times New Roman" w:hAnsi="Times New Roman" w:eastAsia="宋体" w:cs="Times New Roman"/>
                <w:kern w:val="0"/>
                <w:szCs w:val="21"/>
                <w:lang w:bidi="ar"/>
              </w:rPr>
              <w:t>视觉动态追踪系统</w:t>
            </w:r>
          </w:p>
        </w:tc>
        <w:tc>
          <w:tcPr>
            <w:tcW w:w="429" w:type="pct"/>
            <w:shd w:val="clear" w:color="auto" w:fill="auto"/>
            <w:vAlign w:val="center"/>
          </w:tcPr>
          <w:p w14:paraId="02249B1F">
            <w:pPr>
              <w:widowControl/>
              <w:jc w:val="center"/>
              <w:textAlignment w:val="center"/>
              <w:rPr>
                <w:rFonts w:hint="eastAsia" w:ascii="宋体" w:hAnsi="宋体" w:eastAsia="宋体" w:cs="宋体"/>
                <w:szCs w:val="21"/>
              </w:rPr>
            </w:pPr>
            <w:r>
              <w:rPr>
                <w:rFonts w:ascii="Times New Roman" w:hAnsi="Times New Roman" w:eastAsia="宋体" w:cs="Times New Roman"/>
                <w:kern w:val="0"/>
                <w:szCs w:val="21"/>
                <w:lang w:bidi="ar"/>
              </w:rPr>
              <w:t>套</w:t>
            </w:r>
          </w:p>
        </w:tc>
        <w:tc>
          <w:tcPr>
            <w:tcW w:w="424" w:type="pct"/>
            <w:shd w:val="clear" w:color="auto" w:fill="auto"/>
            <w:vAlign w:val="center"/>
          </w:tcPr>
          <w:p w14:paraId="515FB6CC">
            <w:pPr>
              <w:widowControl/>
              <w:jc w:val="center"/>
              <w:textAlignment w:val="center"/>
              <w:rPr>
                <w:rFonts w:hint="eastAsia" w:ascii="宋体" w:hAnsi="宋体" w:eastAsia="宋体" w:cs="宋体"/>
                <w:szCs w:val="21"/>
              </w:rPr>
            </w:pPr>
            <w:r>
              <w:rPr>
                <w:rFonts w:ascii="Times New Roman" w:hAnsi="Times New Roman" w:eastAsia="宋体" w:cs="Times New Roman"/>
                <w:kern w:val="0"/>
                <w:szCs w:val="21"/>
                <w:lang w:bidi="ar"/>
              </w:rPr>
              <w:t>1</w:t>
            </w:r>
          </w:p>
        </w:tc>
        <w:tc>
          <w:tcPr>
            <w:tcW w:w="707" w:type="pct"/>
            <w:shd w:val="clear" w:color="auto" w:fill="auto"/>
            <w:vAlign w:val="center"/>
          </w:tcPr>
          <w:p w14:paraId="5FF49557">
            <w:pPr>
              <w:widowControl/>
              <w:jc w:val="center"/>
              <w:textAlignment w:val="center"/>
              <w:rPr>
                <w:rFonts w:ascii="Times New Roman" w:hAnsi="Times New Roman" w:cs="Times New Roman"/>
                <w:b/>
                <w:bCs/>
                <w:szCs w:val="21"/>
              </w:rPr>
            </w:pPr>
            <w:r>
              <w:rPr>
                <w:rFonts w:ascii="Times New Roman" w:hAnsi="Times New Roman" w:eastAsia="宋体" w:cs="Times New Roman"/>
                <w:kern w:val="0"/>
                <w:szCs w:val="21"/>
                <w:lang w:bidi="ar"/>
              </w:rPr>
              <w:t>60.00</w:t>
            </w:r>
          </w:p>
        </w:tc>
        <w:tc>
          <w:tcPr>
            <w:tcW w:w="685" w:type="pct"/>
            <w:vMerge w:val="continue"/>
            <w:shd w:val="clear" w:color="auto" w:fill="auto"/>
            <w:vAlign w:val="center"/>
          </w:tcPr>
          <w:p w14:paraId="4512044B">
            <w:pPr>
              <w:jc w:val="center"/>
              <w:rPr>
                <w:rFonts w:hint="eastAsia" w:ascii="宋体" w:hAnsi="宋体" w:eastAsia="宋体" w:cs="宋体"/>
                <w:szCs w:val="21"/>
              </w:rPr>
            </w:pPr>
          </w:p>
        </w:tc>
        <w:tc>
          <w:tcPr>
            <w:tcW w:w="1306" w:type="pct"/>
            <w:shd w:val="clear" w:color="auto" w:fill="auto"/>
            <w:vAlign w:val="center"/>
          </w:tcPr>
          <w:p w14:paraId="5F3B9B58">
            <w:pPr>
              <w:widowControl/>
              <w:jc w:val="left"/>
              <w:textAlignment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包括但不限于：视觉动态追踪系统（1套）、便携式专用主机（1台）。</w:t>
            </w:r>
          </w:p>
        </w:tc>
      </w:tr>
      <w:tr w14:paraId="21DAB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pct"/>
            <w:shd w:val="clear" w:color="auto" w:fill="auto"/>
            <w:vAlign w:val="center"/>
          </w:tcPr>
          <w:p w14:paraId="3E5DC16C">
            <w:pPr>
              <w:widowControl/>
              <w:jc w:val="center"/>
              <w:textAlignment w:val="center"/>
              <w:rPr>
                <w:rFonts w:hint="eastAsia" w:ascii="宋体" w:hAnsi="宋体" w:eastAsia="宋体" w:cs="宋体"/>
                <w:szCs w:val="21"/>
              </w:rPr>
            </w:pPr>
            <w:r>
              <w:rPr>
                <w:rFonts w:ascii="Times New Roman" w:hAnsi="Times New Roman" w:eastAsia="宋体" w:cs="Times New Roman"/>
                <w:kern w:val="0"/>
                <w:szCs w:val="21"/>
                <w:lang w:bidi="ar"/>
              </w:rPr>
              <w:t>4</w:t>
            </w:r>
          </w:p>
        </w:tc>
        <w:tc>
          <w:tcPr>
            <w:tcW w:w="1054" w:type="pct"/>
            <w:shd w:val="clear" w:color="auto" w:fill="auto"/>
            <w:vAlign w:val="center"/>
          </w:tcPr>
          <w:p w14:paraId="2DD21F08">
            <w:pPr>
              <w:widowControl/>
              <w:jc w:val="center"/>
              <w:textAlignment w:val="center"/>
              <w:rPr>
                <w:rFonts w:hint="eastAsia" w:ascii="宋体" w:hAnsi="宋体" w:eastAsia="宋体" w:cs="宋体"/>
                <w:szCs w:val="21"/>
              </w:rPr>
            </w:pPr>
            <w:r>
              <w:rPr>
                <w:rFonts w:ascii="Times New Roman" w:hAnsi="Times New Roman" w:eastAsia="宋体" w:cs="Times New Roman"/>
                <w:kern w:val="0"/>
                <w:szCs w:val="21"/>
                <w:lang w:bidi="ar"/>
              </w:rPr>
              <w:t>遥测式生理信号采集分析系统</w:t>
            </w:r>
          </w:p>
        </w:tc>
        <w:tc>
          <w:tcPr>
            <w:tcW w:w="429" w:type="pct"/>
            <w:shd w:val="clear" w:color="auto" w:fill="auto"/>
            <w:vAlign w:val="center"/>
          </w:tcPr>
          <w:p w14:paraId="70FD44BA">
            <w:pPr>
              <w:widowControl/>
              <w:jc w:val="center"/>
              <w:textAlignment w:val="center"/>
              <w:rPr>
                <w:rFonts w:hint="eastAsia" w:ascii="宋体" w:hAnsi="宋体" w:eastAsia="宋体" w:cs="宋体"/>
                <w:szCs w:val="21"/>
              </w:rPr>
            </w:pPr>
            <w:r>
              <w:rPr>
                <w:rFonts w:ascii="Times New Roman" w:hAnsi="Times New Roman" w:eastAsia="宋体" w:cs="Times New Roman"/>
                <w:kern w:val="0"/>
                <w:szCs w:val="21"/>
                <w:lang w:bidi="ar"/>
              </w:rPr>
              <w:t>套</w:t>
            </w:r>
          </w:p>
        </w:tc>
        <w:tc>
          <w:tcPr>
            <w:tcW w:w="424" w:type="pct"/>
            <w:shd w:val="clear" w:color="auto" w:fill="auto"/>
            <w:vAlign w:val="center"/>
          </w:tcPr>
          <w:p w14:paraId="3F429712">
            <w:pPr>
              <w:widowControl/>
              <w:jc w:val="center"/>
              <w:textAlignment w:val="center"/>
              <w:rPr>
                <w:rFonts w:hint="eastAsia" w:ascii="宋体" w:hAnsi="宋体" w:eastAsia="宋体" w:cs="宋体"/>
                <w:szCs w:val="21"/>
              </w:rPr>
            </w:pPr>
            <w:r>
              <w:rPr>
                <w:rFonts w:ascii="Times New Roman" w:hAnsi="Times New Roman" w:eastAsia="宋体" w:cs="Times New Roman"/>
                <w:kern w:val="0"/>
                <w:szCs w:val="21"/>
                <w:lang w:bidi="ar"/>
              </w:rPr>
              <w:t>1</w:t>
            </w:r>
          </w:p>
        </w:tc>
        <w:tc>
          <w:tcPr>
            <w:tcW w:w="707" w:type="pct"/>
            <w:shd w:val="clear" w:color="auto" w:fill="auto"/>
            <w:vAlign w:val="center"/>
          </w:tcPr>
          <w:p w14:paraId="78AA5EFC">
            <w:pPr>
              <w:widowControl/>
              <w:jc w:val="center"/>
              <w:textAlignment w:val="center"/>
              <w:rPr>
                <w:rFonts w:ascii="Times New Roman" w:hAnsi="Times New Roman" w:cs="Times New Roman"/>
                <w:b/>
                <w:bCs/>
                <w:szCs w:val="21"/>
              </w:rPr>
            </w:pPr>
            <w:r>
              <w:rPr>
                <w:rFonts w:ascii="Times New Roman" w:hAnsi="Times New Roman" w:eastAsia="宋体" w:cs="Times New Roman"/>
                <w:kern w:val="0"/>
                <w:szCs w:val="21"/>
                <w:lang w:bidi="ar"/>
              </w:rPr>
              <w:t>70.00</w:t>
            </w:r>
          </w:p>
        </w:tc>
        <w:tc>
          <w:tcPr>
            <w:tcW w:w="685" w:type="pct"/>
            <w:vMerge w:val="continue"/>
            <w:shd w:val="clear" w:color="auto" w:fill="auto"/>
            <w:vAlign w:val="center"/>
          </w:tcPr>
          <w:p w14:paraId="3B0AD465">
            <w:pPr>
              <w:jc w:val="center"/>
              <w:rPr>
                <w:rFonts w:hint="eastAsia" w:ascii="宋体" w:hAnsi="宋体" w:eastAsia="宋体" w:cs="宋体"/>
                <w:szCs w:val="21"/>
              </w:rPr>
            </w:pPr>
          </w:p>
        </w:tc>
        <w:tc>
          <w:tcPr>
            <w:tcW w:w="1306" w:type="pct"/>
            <w:shd w:val="clear" w:color="auto" w:fill="auto"/>
            <w:vAlign w:val="center"/>
          </w:tcPr>
          <w:p w14:paraId="2983016E">
            <w:pPr>
              <w:jc w:val="center"/>
              <w:rPr>
                <w:rFonts w:hint="eastAsia" w:ascii="宋体" w:hAnsi="宋体" w:eastAsia="宋体" w:cs="宋体"/>
                <w:szCs w:val="21"/>
              </w:rPr>
            </w:pPr>
            <w:r>
              <w:rPr>
                <w:rFonts w:ascii="Times New Roman" w:hAnsi="Times New Roman" w:eastAsia="宋体" w:cs="Times New Roman"/>
                <w:kern w:val="0"/>
                <w:szCs w:val="21"/>
                <w:lang w:bidi="ar"/>
              </w:rPr>
              <w:t>包括但不限于：遥测式生理信号采集分析系统（1套）、专用采集分析主机（1台）。</w:t>
            </w:r>
          </w:p>
        </w:tc>
      </w:tr>
    </w:tbl>
    <w:p w14:paraId="5DD95657">
      <w:pPr>
        <w:adjustRightInd w:val="0"/>
        <w:snapToGrid w:val="0"/>
        <w:spacing w:line="288" w:lineRule="auto"/>
        <w:rPr>
          <w:rFonts w:hint="eastAsia" w:ascii="宋体" w:hAnsi="宋体" w:eastAsia="宋体" w:cs="宋体"/>
          <w:b/>
          <w:bCs/>
          <w:szCs w:val="21"/>
        </w:rPr>
      </w:pPr>
    </w:p>
    <w:p w14:paraId="75D240B0">
      <w:pPr>
        <w:adjustRightInd w:val="0"/>
        <w:snapToGrid w:val="0"/>
        <w:spacing w:line="288" w:lineRule="auto"/>
        <w:rPr>
          <w:rFonts w:hint="eastAsia" w:ascii="宋体" w:hAnsi="宋体" w:eastAsia="宋体" w:cs="Times New Roman"/>
          <w:b/>
          <w:bCs/>
          <w:spacing w:val="-4"/>
          <w:szCs w:val="21"/>
        </w:rPr>
      </w:pPr>
      <w:r>
        <w:rPr>
          <w:rFonts w:hint="eastAsia" w:ascii="宋体" w:hAnsi="宋体" w:eastAsia="宋体" w:cs="Times New Roman"/>
          <w:b/>
          <w:bCs/>
          <w:spacing w:val="-4"/>
          <w:szCs w:val="21"/>
        </w:rPr>
        <w:t>4</w:t>
      </w:r>
      <w:r>
        <w:rPr>
          <w:rFonts w:ascii="宋体" w:hAnsi="宋体" w:eastAsia="宋体" w:cs="Times New Roman"/>
          <w:b/>
          <w:bCs/>
          <w:spacing w:val="-4"/>
          <w:szCs w:val="21"/>
        </w:rPr>
        <w:t>.</w:t>
      </w:r>
      <w:r>
        <w:rPr>
          <w:rFonts w:hint="eastAsia" w:ascii="宋体" w:hAnsi="宋体" w:eastAsia="宋体" w:cs="Times New Roman"/>
          <w:b/>
          <w:bCs/>
          <w:spacing w:val="-4"/>
          <w:szCs w:val="21"/>
        </w:rPr>
        <w:t>需满足的质量、安全、技术规格、物理特性等要求：</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
        <w:gridCol w:w="945"/>
        <w:gridCol w:w="7568"/>
        <w:gridCol w:w="585"/>
      </w:tblGrid>
      <w:tr w14:paraId="60CFE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Align w:val="center"/>
          </w:tcPr>
          <w:p w14:paraId="1E088E29">
            <w:pPr>
              <w:jc w:val="center"/>
              <w:rPr>
                <w:rFonts w:ascii="Times New Roman" w:hAnsi="Times New Roman" w:eastAsia="宋体" w:cs="Times New Roman"/>
                <w:szCs w:val="21"/>
              </w:rPr>
            </w:pPr>
            <w:bookmarkStart w:id="40" w:name="_Hlk179442287"/>
            <w:bookmarkStart w:id="41" w:name="_Hlk179442382"/>
            <w:r>
              <w:rPr>
                <w:rFonts w:ascii="Times New Roman" w:hAnsi="Times New Roman" w:eastAsia="宋体" w:cs="Times New Roman"/>
                <w:b/>
                <w:szCs w:val="21"/>
              </w:rPr>
              <w:t>序号</w:t>
            </w:r>
          </w:p>
        </w:tc>
        <w:tc>
          <w:tcPr>
            <w:tcW w:w="491" w:type="pct"/>
            <w:vAlign w:val="center"/>
          </w:tcPr>
          <w:p w14:paraId="494275DD">
            <w:pPr>
              <w:jc w:val="center"/>
              <w:rPr>
                <w:rFonts w:ascii="Times New Roman" w:hAnsi="Times New Roman" w:eastAsia="宋体" w:cs="Times New Roman"/>
                <w:szCs w:val="21"/>
              </w:rPr>
            </w:pPr>
            <w:r>
              <w:rPr>
                <w:rFonts w:ascii="Times New Roman" w:hAnsi="Times New Roman" w:eastAsia="宋体" w:cs="Times New Roman"/>
                <w:b/>
                <w:szCs w:val="21"/>
              </w:rPr>
              <w:t>货物名称</w:t>
            </w:r>
          </w:p>
        </w:tc>
        <w:tc>
          <w:tcPr>
            <w:tcW w:w="3930" w:type="pct"/>
            <w:vAlign w:val="center"/>
          </w:tcPr>
          <w:p w14:paraId="15B07741">
            <w:pPr>
              <w:ind w:firstLine="422"/>
              <w:jc w:val="center"/>
              <w:rPr>
                <w:rFonts w:ascii="Times New Roman" w:hAnsi="Times New Roman" w:eastAsia="宋体" w:cs="Times New Roman"/>
                <w:szCs w:val="21"/>
              </w:rPr>
            </w:pPr>
            <w:r>
              <w:rPr>
                <w:rFonts w:ascii="Times New Roman" w:hAnsi="Times New Roman" w:eastAsia="宋体" w:cs="Times New Roman"/>
                <w:b/>
                <w:szCs w:val="21"/>
              </w:rPr>
              <w:t>货物的技术参数及具体配置等</w:t>
            </w:r>
          </w:p>
        </w:tc>
        <w:tc>
          <w:tcPr>
            <w:tcW w:w="304" w:type="pct"/>
            <w:vAlign w:val="center"/>
          </w:tcPr>
          <w:p w14:paraId="2DDBB588">
            <w:pPr>
              <w:jc w:val="center"/>
              <w:rPr>
                <w:rFonts w:ascii="Times New Roman" w:hAnsi="Times New Roman" w:eastAsia="宋体" w:cs="Times New Roman"/>
                <w:szCs w:val="21"/>
              </w:rPr>
            </w:pPr>
            <w:r>
              <w:rPr>
                <w:rFonts w:ascii="Times New Roman" w:hAnsi="Times New Roman" w:eastAsia="宋体" w:cs="Times New Roman"/>
                <w:b/>
                <w:szCs w:val="21"/>
              </w:rPr>
              <w:t>数量</w:t>
            </w:r>
          </w:p>
        </w:tc>
      </w:tr>
      <w:tr w14:paraId="39AB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Align w:val="center"/>
          </w:tcPr>
          <w:p w14:paraId="242CC428">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491" w:type="pct"/>
            <w:shd w:val="clear" w:color="auto" w:fill="auto"/>
            <w:vAlign w:val="center"/>
          </w:tcPr>
          <w:p w14:paraId="646E0999">
            <w:pPr>
              <w:jc w:val="center"/>
              <w:rPr>
                <w:rFonts w:ascii="Times New Roman" w:hAnsi="Times New Roman" w:eastAsia="宋体" w:cs="Times New Roman"/>
                <w:szCs w:val="21"/>
              </w:rPr>
            </w:pPr>
            <w:r>
              <w:rPr>
                <w:rFonts w:ascii="Times New Roman" w:hAnsi="Times New Roman" w:eastAsia="宋体" w:cs="Times New Roman"/>
                <w:szCs w:val="21"/>
                <w:lang w:bidi="ar"/>
              </w:rPr>
              <w:t>超模态行为洞察平台</w:t>
            </w:r>
            <w:r>
              <w:rPr>
                <w:rFonts w:ascii="Times New Roman" w:hAnsi="Times New Roman" w:eastAsia="宋体" w:cs="Times New Roman"/>
                <w:b/>
                <w:bCs/>
                <w:szCs w:val="21"/>
                <w:lang w:bidi="ar"/>
              </w:rPr>
              <w:t>（核心产品）</w:t>
            </w:r>
          </w:p>
        </w:tc>
        <w:tc>
          <w:tcPr>
            <w:tcW w:w="3930" w:type="pct"/>
            <w:vAlign w:val="center"/>
          </w:tcPr>
          <w:p w14:paraId="6C730EF7">
            <w:pPr>
              <w:adjustRightInd w:val="0"/>
              <w:ind w:firstLine="420" w:firstLineChars="200"/>
              <w:rPr>
                <w:rFonts w:ascii="Times New Roman" w:hAnsi="Times New Roman" w:eastAsia="宋体" w:cs="Times New Roman"/>
                <w:bCs/>
                <w:szCs w:val="21"/>
              </w:rPr>
            </w:pPr>
            <w:r>
              <w:rPr>
                <w:rFonts w:ascii="Times New Roman" w:hAnsi="Times New Roman" w:eastAsia="宋体" w:cs="Times New Roman"/>
                <w:bCs/>
                <w:szCs w:val="21"/>
              </w:rPr>
              <w:t>功能要求：可以为深度解析和理解复杂人类行为提供一种尖端的综合性技术解决方案，具有但不限于全面行为解析、时空行为统计、多维度行为关联、高效科研管理等功能。</w:t>
            </w:r>
          </w:p>
          <w:p w14:paraId="15121883">
            <w:pPr>
              <w:adjustRightInd w:val="0"/>
              <w:ind w:firstLine="420" w:firstLineChars="200"/>
              <w:rPr>
                <w:rFonts w:ascii="Times New Roman" w:hAnsi="Times New Roman" w:eastAsia="宋体" w:cs="Times New Roman"/>
                <w:bCs/>
                <w:szCs w:val="21"/>
              </w:rPr>
            </w:pPr>
            <w:r>
              <w:rPr>
                <w:rFonts w:ascii="Times New Roman" w:hAnsi="Times New Roman" w:eastAsia="宋体" w:cs="Times New Roman"/>
                <w:bCs/>
                <w:szCs w:val="21"/>
              </w:rPr>
              <w:t>通过硬件的配置：能够提供足够的计算能力和图形处理性能，保障超模态行为洞察平台开展复杂的数据处理和分析，有更强的扩展性和更高的性能，保障数据的安全性、可靠性以及高效访问；能够实时观察和记录和收集实验对象的行为模式；能够确保平台数据在各个设备间高效流通。</w:t>
            </w:r>
          </w:p>
          <w:p w14:paraId="724319F3">
            <w:pPr>
              <w:adjustRightInd w:val="0"/>
              <w:ind w:firstLine="420" w:firstLineChars="200"/>
              <w:rPr>
                <w:rFonts w:ascii="Times New Roman" w:hAnsi="Times New Roman" w:eastAsia="宋体" w:cs="Times New Roman"/>
                <w:bCs/>
                <w:szCs w:val="21"/>
              </w:rPr>
            </w:pPr>
            <w:r>
              <w:rPr>
                <w:rFonts w:ascii="Times New Roman" w:hAnsi="Times New Roman" w:eastAsia="宋体" w:cs="Times New Roman"/>
                <w:bCs/>
                <w:szCs w:val="21"/>
              </w:rPr>
              <w:t>该平台需要集成高端的数据采集、处理与分析功能，通过融合多元化的数据模态，如视频、音频、生理信号监测、眼动追踪、面部表情分析、脑电波（EEG）以及其它行为传感数据，可为研究者提供一个全方位、多层次的行为研究环境。</w:t>
            </w:r>
          </w:p>
          <w:p w14:paraId="1347809B">
            <w:pPr>
              <w:adjustRightInd w:val="0"/>
              <w:ind w:firstLine="420" w:firstLineChars="200"/>
              <w:rPr>
                <w:rFonts w:ascii="Times New Roman" w:hAnsi="Times New Roman" w:eastAsia="宋体" w:cs="Times New Roman"/>
                <w:bCs/>
                <w:szCs w:val="21"/>
              </w:rPr>
            </w:pPr>
            <w:r>
              <w:rPr>
                <w:rFonts w:ascii="Times New Roman" w:hAnsi="Times New Roman" w:eastAsia="宋体" w:cs="Times New Roman"/>
                <w:bCs/>
                <w:szCs w:val="21"/>
              </w:rPr>
              <w:t>具体包括但不限于以下四个模块：</w:t>
            </w:r>
          </w:p>
          <w:p w14:paraId="391D8191">
            <w:pPr>
              <w:adjustRightInd w:val="0"/>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（1）行为编码模块</w:t>
            </w:r>
          </w:p>
          <w:p w14:paraId="3C00678D">
            <w:pPr>
              <w:adjustRightInd w:val="0"/>
              <w:ind w:firstLine="420" w:firstLineChars="200"/>
              <w:rPr>
                <w:rFonts w:ascii="Times New Roman" w:hAnsi="Times New Roman" w:eastAsia="宋体" w:cs="Times New Roman"/>
                <w:szCs w:val="21"/>
              </w:rPr>
            </w:pPr>
            <w:r>
              <w:rPr>
                <w:rFonts w:ascii="Times New Roman" w:hAnsi="Times New Roman" w:eastAsia="宋体" w:cs="Times New Roman"/>
                <w:szCs w:val="21"/>
              </w:rPr>
              <w:t>第一，支持局域网内查看访问数据，可将所有数据进行同步回放。</w:t>
            </w:r>
          </w:p>
          <w:p w14:paraId="769157D3">
            <w:pPr>
              <w:adjustRightInd w:val="0"/>
              <w:ind w:firstLine="420" w:firstLineChars="200"/>
              <w:rPr>
                <w:rFonts w:ascii="Times New Roman" w:hAnsi="Times New Roman" w:eastAsia="宋体" w:cs="Times New Roman"/>
                <w:szCs w:val="21"/>
              </w:rPr>
            </w:pPr>
            <w:r>
              <w:rPr>
                <w:rFonts w:ascii="Times New Roman" w:hAnsi="Times New Roman" w:eastAsia="宋体" w:cs="Times New Roman"/>
                <w:szCs w:val="21"/>
              </w:rPr>
              <w:t>第二，系统应配备可视化界面，通过如事件、时间轴联动展示等展现形式，辅助用户对已标记事件进行查阅和分析。</w:t>
            </w:r>
          </w:p>
          <w:p w14:paraId="40E31E0E">
            <w:pPr>
              <w:adjustRightInd w:val="0"/>
              <w:ind w:firstLine="420" w:firstLineChars="200"/>
              <w:rPr>
                <w:rFonts w:ascii="Times New Roman" w:hAnsi="Times New Roman" w:eastAsia="宋体" w:cs="Times New Roman"/>
                <w:szCs w:val="21"/>
              </w:rPr>
            </w:pPr>
            <w:r>
              <w:rPr>
                <w:rFonts w:ascii="Times New Roman" w:hAnsi="Times New Roman" w:eastAsia="宋体" w:cs="Times New Roman"/>
                <w:szCs w:val="21"/>
              </w:rPr>
              <w:t>第三，系统应支持用户将采集的数据进行分类，根据研究需求自定义新的行为模态类别。</w:t>
            </w:r>
          </w:p>
          <w:p w14:paraId="6404E835">
            <w:pPr>
              <w:adjustRightInd w:val="0"/>
              <w:ind w:firstLine="420" w:firstLineChars="200"/>
              <w:rPr>
                <w:rFonts w:ascii="Times New Roman" w:hAnsi="Times New Roman" w:eastAsia="宋体" w:cs="Times New Roman"/>
                <w:szCs w:val="21"/>
              </w:rPr>
            </w:pPr>
            <w:r>
              <w:rPr>
                <w:rFonts w:ascii="Times New Roman" w:hAnsi="Times New Roman" w:eastAsia="宋体" w:cs="Times New Roman"/>
                <w:szCs w:val="21"/>
              </w:rPr>
              <w:t>第四，系统应具备导入/导出编码结果的能力，可将数据发送到其他行为编码软件或第三方分析软件分析，便于后续的数据管理和分析。</w:t>
            </w:r>
          </w:p>
          <w:p w14:paraId="2B4D3363">
            <w:pPr>
              <w:adjustRightInd w:val="0"/>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（2）生理电导反应模块</w:t>
            </w:r>
          </w:p>
          <w:p w14:paraId="4BB939A7">
            <w:pPr>
              <w:adjustRightInd w:val="0"/>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第一，系统需要集成的生理传感器，用于测量皮肤电导反应（EDA/GSR）、心率、皮肤电阻心电等生理数据。生理传感器具有心率（采样率≥25Hz）、皮电（采样率≥4Hz）、皮温（采样率≥1Hz）、三种加速度（采样率≥50Hz）、温度（采样率≥1Hz）、湿度（采样率≥1Hz）、气压（采样率≥1Hz）等生理、行为和环境多模态数据采集；</w:t>
            </w:r>
          </w:p>
          <w:p w14:paraId="1BE58999">
            <w:pPr>
              <w:adjustRightInd w:val="0"/>
              <w:ind w:firstLine="422" w:firstLineChars="200"/>
              <w:rPr>
                <w:rFonts w:ascii="Times New Roman" w:hAnsi="Times New Roman" w:eastAsia="宋体" w:cs="Times New Roman"/>
                <w:szCs w:val="21"/>
              </w:rPr>
            </w:pPr>
            <w:r>
              <w:rPr>
                <w:rFonts w:ascii="Segoe UI Symbol" w:hAnsi="Segoe UI Symbol" w:eastAsia="宋体" w:cs="Segoe UI Symbol"/>
                <w:b/>
                <w:bCs/>
                <w:szCs w:val="21"/>
                <w:lang w:eastAsia="zh"/>
              </w:rPr>
              <w:t>★</w:t>
            </w:r>
            <w:r>
              <w:rPr>
                <w:rFonts w:ascii="Times New Roman" w:hAnsi="Times New Roman" w:eastAsia="宋体" w:cs="Times New Roman"/>
                <w:szCs w:val="21"/>
              </w:rPr>
              <w:t>第二、EDA皮肤电分析应给出分析后的EDA（SC）、相位皮肤电导响应 (SCR)、强直皮肤电导水平(SCL)的时域分析结果，包括平均值、最大值、最小值、标准差、时域图等；EDA皮肤电分析含SCR反应分析结果，具体有开始时间、峰值时间、上升时间、幅值、半恢复时间等；EDA 皮肤电分含ER-SCR 事件相关分析结果，包括刺激反应个数、反应延时时间、反应幅值、反应水平、平均上升时间等；心率变异性分析含时域指标心搏间期均值(Mean IBI)、N-N间期的标准差（SDNN）、相邻N-N间期之差大于20 ms的心搏数占总间期数的百分数（PNN20）、低频-高频比值（LF/HF）；</w:t>
            </w:r>
          </w:p>
          <w:p w14:paraId="4FDC6276">
            <w:pPr>
              <w:adjustRightInd w:val="0"/>
              <w:ind w:firstLine="420" w:firstLineChars="200"/>
              <w:rPr>
                <w:rFonts w:ascii="Times New Roman" w:hAnsi="Times New Roman" w:eastAsia="宋体" w:cs="Times New Roman"/>
                <w:szCs w:val="21"/>
              </w:rPr>
            </w:pPr>
            <w:r>
              <w:rPr>
                <w:rFonts w:ascii="Times New Roman" w:hAnsi="Times New Roman" w:eastAsia="宋体" w:cs="Times New Roman"/>
                <w:szCs w:val="21"/>
              </w:rPr>
              <w:t>第三，系统应实现生理信号的实时采集与存储，确保数据的完整性和可靠性。</w:t>
            </w:r>
          </w:p>
          <w:p w14:paraId="54BA2554">
            <w:pPr>
              <w:adjustRightInd w:val="0"/>
              <w:ind w:firstLine="420" w:firstLineChars="200"/>
              <w:rPr>
                <w:rFonts w:ascii="Times New Roman" w:hAnsi="Times New Roman" w:eastAsia="宋体" w:cs="Times New Roman"/>
                <w:szCs w:val="21"/>
              </w:rPr>
            </w:pPr>
            <w:r>
              <w:rPr>
                <w:rFonts w:ascii="Times New Roman" w:hAnsi="Times New Roman" w:eastAsia="宋体" w:cs="Times New Roman"/>
                <w:szCs w:val="21"/>
              </w:rPr>
              <w:t>第四，系统应提供可视化工具，如趋势图，以直观展示生理反应的变化。</w:t>
            </w:r>
          </w:p>
          <w:p w14:paraId="0436E6E7">
            <w:pPr>
              <w:adjustRightInd w:val="0"/>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（3）视动采集模块</w:t>
            </w:r>
          </w:p>
          <w:p w14:paraId="4944E829">
            <w:pPr>
              <w:adjustRightInd w:val="0"/>
              <w:ind w:firstLine="422" w:firstLineChars="200"/>
              <w:rPr>
                <w:rFonts w:ascii="Times New Roman" w:hAnsi="Times New Roman" w:eastAsia="宋体" w:cs="Times New Roman"/>
                <w:szCs w:val="21"/>
              </w:rPr>
            </w:pPr>
            <w:r>
              <w:rPr>
                <w:rFonts w:ascii="Segoe UI Symbol" w:hAnsi="Segoe UI Symbol" w:eastAsia="宋体" w:cs="Segoe UI Symbol"/>
                <w:b/>
                <w:bCs/>
                <w:szCs w:val="21"/>
                <w:lang w:eastAsia="zh"/>
              </w:rPr>
              <w:t>★</w:t>
            </w:r>
            <w:r>
              <w:rPr>
                <w:rFonts w:ascii="Times New Roman" w:hAnsi="Times New Roman" w:eastAsia="宋体" w:cs="Times New Roman"/>
                <w:szCs w:val="21"/>
              </w:rPr>
              <w:t>第一，系统应配备基于视频的角膜反射式眼动追踪技术，暗瞳追踪的眼动追踪设备，单传感器双眼采集，能够准确测量视线位置，瞳孔直径和眼睛的位置信息。精确度≤0.19°RMS，采样率≥140Hz，以准确捕捉参与者的视觉行为和动态特征。</w:t>
            </w:r>
          </w:p>
          <w:p w14:paraId="738B483B">
            <w:pPr>
              <w:adjustRightInd w:val="0"/>
              <w:ind w:firstLine="420" w:firstLineChars="200"/>
              <w:rPr>
                <w:rFonts w:ascii="Times New Roman" w:hAnsi="Times New Roman" w:eastAsia="宋体" w:cs="Times New Roman"/>
                <w:szCs w:val="21"/>
              </w:rPr>
            </w:pPr>
            <w:r>
              <w:rPr>
                <w:rFonts w:ascii="Times New Roman" w:hAnsi="Times New Roman" w:eastAsia="宋体" w:cs="Times New Roman"/>
                <w:szCs w:val="21"/>
              </w:rPr>
              <w:t>第二，系统提供眼动注视点位、瞳孔直径、眼跳。以帮助分析受试者的注意力分布及认知负荷。</w:t>
            </w:r>
          </w:p>
          <w:p w14:paraId="415EE962">
            <w:pPr>
              <w:adjustRightInd w:val="0"/>
              <w:ind w:firstLine="420" w:firstLineChars="200"/>
              <w:rPr>
                <w:rFonts w:ascii="Times New Roman" w:hAnsi="Times New Roman" w:eastAsia="宋体" w:cs="Times New Roman"/>
                <w:szCs w:val="21"/>
              </w:rPr>
            </w:pPr>
            <w:r>
              <w:rPr>
                <w:rFonts w:ascii="Times New Roman" w:hAnsi="Times New Roman" w:eastAsia="宋体" w:cs="Times New Roman"/>
                <w:szCs w:val="21"/>
              </w:rPr>
              <w:t>第三，系统应提供可视化工具，如趋势图，以直观展示生理反应的变化。</w:t>
            </w:r>
          </w:p>
          <w:p w14:paraId="712C2872">
            <w:pPr>
              <w:adjustRightInd w:val="0"/>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（4）心理情绪分析模块</w:t>
            </w:r>
          </w:p>
          <w:p w14:paraId="46188112">
            <w:pPr>
              <w:adjustRightInd w:val="0"/>
              <w:ind w:firstLine="422" w:firstLineChars="200"/>
              <w:rPr>
                <w:rFonts w:ascii="Times New Roman" w:hAnsi="Times New Roman" w:eastAsia="宋体" w:cs="Times New Roman"/>
                <w:szCs w:val="21"/>
              </w:rPr>
            </w:pPr>
            <w:r>
              <w:rPr>
                <w:rFonts w:ascii="Segoe UI Symbol" w:hAnsi="Segoe UI Symbol" w:eastAsia="宋体" w:cs="Segoe UI Symbol"/>
                <w:b/>
                <w:bCs/>
                <w:szCs w:val="21"/>
                <w:lang w:eastAsia="zh"/>
              </w:rPr>
              <w:t>★</w:t>
            </w:r>
            <w:r>
              <w:rPr>
                <w:rFonts w:ascii="Times New Roman" w:hAnsi="Times New Roman" w:eastAsia="宋体" w:cs="Times New Roman"/>
                <w:szCs w:val="21"/>
              </w:rPr>
              <w:t>第一，系统应自动进行情绪识别，通过摄像机捕捉被试面部，软件识别建模后分析面部表情（快乐、悲伤、害怕、愤怒、惊讶、厌恶、中性）基本表情，采集的数据支持实时可视化呈现。自动分析至少20个面部行为动作；</w:t>
            </w:r>
          </w:p>
          <w:p w14:paraId="351C597F">
            <w:pPr>
              <w:adjustRightInd w:val="0"/>
              <w:ind w:firstLine="420" w:firstLineChars="200"/>
              <w:rPr>
                <w:rFonts w:ascii="Times New Roman" w:hAnsi="Times New Roman" w:eastAsia="宋体" w:cs="Times New Roman"/>
                <w:szCs w:val="21"/>
              </w:rPr>
            </w:pPr>
            <w:r>
              <w:rPr>
                <w:rFonts w:ascii="Times New Roman" w:hAnsi="Times New Roman" w:eastAsia="宋体" w:cs="Times New Roman"/>
                <w:szCs w:val="21"/>
              </w:rPr>
              <w:t>第二，系统应提供情绪强度和效度的量化指标，以客观评估情绪变化的程度。</w:t>
            </w:r>
          </w:p>
          <w:p w14:paraId="1BA21B54">
            <w:pPr>
              <w:adjustRightInd w:val="0"/>
              <w:ind w:firstLine="420" w:firstLineChars="200"/>
              <w:rPr>
                <w:rFonts w:ascii="Times New Roman" w:hAnsi="Times New Roman" w:eastAsia="宋体" w:cs="Times New Roman"/>
                <w:szCs w:val="21"/>
              </w:rPr>
            </w:pPr>
            <w:r>
              <w:rPr>
                <w:rFonts w:ascii="Times New Roman" w:hAnsi="Times New Roman" w:eastAsia="宋体" w:cs="Times New Roman"/>
                <w:szCs w:val="21"/>
              </w:rPr>
              <w:t>第三，系统应支持将分析结果与行为数据和眼动、生理数据进行关联分析的功能。</w:t>
            </w:r>
          </w:p>
          <w:p w14:paraId="34FF3637">
            <w:pPr>
              <w:adjustRightInd w:val="0"/>
              <w:ind w:firstLine="422" w:firstLineChars="200"/>
              <w:rPr>
                <w:rFonts w:ascii="Times New Roman" w:hAnsi="Times New Roman" w:eastAsia="宋体" w:cs="Times New Roman"/>
                <w:b/>
                <w:szCs w:val="21"/>
              </w:rPr>
            </w:pPr>
            <w:r>
              <w:rPr>
                <w:rFonts w:ascii="Times New Roman" w:hAnsi="Times New Roman" w:eastAsia="宋体" w:cs="Times New Roman"/>
                <w:b/>
                <w:szCs w:val="21"/>
              </w:rPr>
              <w:t>需要配备以下相关组件（包括但不限于）：</w:t>
            </w:r>
          </w:p>
          <w:p w14:paraId="3DCFA782">
            <w:pPr>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（1）专用数据分析主机（3台）</w:t>
            </w:r>
          </w:p>
          <w:p w14:paraId="625A03A9">
            <w:pPr>
              <w:ind w:firstLine="420" w:firstLineChars="200"/>
              <w:rPr>
                <w:rFonts w:ascii="Times New Roman" w:hAnsi="Times New Roman" w:eastAsia="宋体" w:cs="Times New Roman"/>
                <w:szCs w:val="21"/>
              </w:rPr>
            </w:pPr>
            <w:r>
              <w:rPr>
                <w:rFonts w:ascii="Times New Roman" w:hAnsi="Times New Roman" w:eastAsia="宋体" w:cs="Times New Roman"/>
                <w:szCs w:val="21"/>
              </w:rPr>
              <w:t>处理器：配置不低于Intel Alder Lake系列或AMD Ryzen Threadripper系列处理器，至少16核心，以确保高负载下多任务并行处理能力。</w:t>
            </w:r>
          </w:p>
          <w:p w14:paraId="324B57A4">
            <w:pPr>
              <w:ind w:firstLine="420" w:firstLineChars="200"/>
              <w:rPr>
                <w:rFonts w:ascii="Times New Roman" w:hAnsi="Times New Roman" w:eastAsia="宋体" w:cs="Times New Roman"/>
                <w:szCs w:val="21"/>
              </w:rPr>
            </w:pPr>
            <w:r>
              <w:rPr>
                <w:rFonts w:ascii="Times New Roman" w:hAnsi="Times New Roman" w:eastAsia="宋体" w:cs="Times New Roman"/>
                <w:szCs w:val="21"/>
              </w:rPr>
              <w:t>内存：至少64GB ECC DDR4 RAM，保证大数据处理和复杂算法运行的流畅性。</w:t>
            </w:r>
          </w:p>
          <w:p w14:paraId="0F6E01FA">
            <w:pPr>
              <w:ind w:firstLine="420" w:firstLineChars="200"/>
              <w:rPr>
                <w:rFonts w:ascii="Times New Roman" w:hAnsi="Times New Roman" w:eastAsia="宋体" w:cs="Times New Roman"/>
                <w:szCs w:val="21"/>
              </w:rPr>
            </w:pPr>
            <w:r>
              <w:rPr>
                <w:rFonts w:ascii="Times New Roman" w:hAnsi="Times New Roman" w:eastAsia="宋体" w:cs="Times New Roman"/>
                <w:szCs w:val="21"/>
              </w:rPr>
              <w:t>存储：NVMe SSD系统盘，容量不低于1TB，外加至少1TB的高速固态硬盘或RAID阵列，用于存储大量实验数据和快取加速。</w:t>
            </w:r>
          </w:p>
          <w:p w14:paraId="0A4E8DAB">
            <w:pPr>
              <w:ind w:firstLine="420" w:firstLineChars="200"/>
              <w:rPr>
                <w:rFonts w:ascii="Times New Roman" w:hAnsi="Times New Roman" w:eastAsia="宋体" w:cs="Times New Roman"/>
                <w:szCs w:val="21"/>
              </w:rPr>
            </w:pPr>
            <w:r>
              <w:rPr>
                <w:rFonts w:ascii="Times New Roman" w:hAnsi="Times New Roman" w:eastAsia="宋体" w:cs="Times New Roman"/>
                <w:szCs w:val="21"/>
              </w:rPr>
              <w:t>显卡：NVIDIA RTX系列专业显卡，如RTX A4000或以上，支持CUDA并行计算，加速图像处理与机器学习算法的运算速度。</w:t>
            </w:r>
          </w:p>
          <w:p w14:paraId="029D954B">
            <w:pPr>
              <w:ind w:firstLine="420" w:firstLineChars="200"/>
              <w:rPr>
                <w:rFonts w:ascii="Times New Roman" w:hAnsi="Times New Roman" w:eastAsia="宋体" w:cs="Times New Roman"/>
                <w:szCs w:val="21"/>
              </w:rPr>
            </w:pPr>
            <w:r>
              <w:rPr>
                <w:rFonts w:ascii="Times New Roman" w:hAnsi="Times New Roman" w:eastAsia="宋体" w:cs="Times New Roman"/>
                <w:szCs w:val="21"/>
              </w:rPr>
              <w:t>操作系统与软件兼容性：支持正版Windows 10及以上版本、Linux（Ubuntu、CentOS等）或国产操作系统，确保与常用行为分析软件及深度学习框架的兼容性。</w:t>
            </w:r>
          </w:p>
          <w:p w14:paraId="72750C40">
            <w:pPr>
              <w:ind w:firstLine="420" w:firstLineChars="200"/>
              <w:rPr>
                <w:rFonts w:ascii="Times New Roman" w:hAnsi="Times New Roman" w:eastAsia="宋体" w:cs="Times New Roman"/>
                <w:szCs w:val="21"/>
              </w:rPr>
            </w:pPr>
            <w:r>
              <w:rPr>
                <w:rFonts w:ascii="Times New Roman" w:hAnsi="Times New Roman" w:eastAsia="宋体" w:cs="Times New Roman"/>
                <w:szCs w:val="21"/>
              </w:rPr>
              <w:t>显示屏：尺寸≥27寸，分辨率≥1920x1080，高清显示屏，IPS面板，刷新率≥60Hz，至少包含HDMI, DisplayPort，以及USB-C接口以适应不同设备连接。</w:t>
            </w:r>
          </w:p>
          <w:p w14:paraId="0F63E153">
            <w:pPr>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（2）专用采集分析主机（1台）</w:t>
            </w:r>
          </w:p>
          <w:p w14:paraId="05C7F11E">
            <w:pPr>
              <w:ind w:firstLine="420" w:firstLineChars="200"/>
              <w:rPr>
                <w:rFonts w:ascii="Times New Roman" w:hAnsi="Times New Roman" w:eastAsia="宋体" w:cs="Times New Roman"/>
                <w:szCs w:val="21"/>
              </w:rPr>
            </w:pPr>
            <w:r>
              <w:rPr>
                <w:rFonts w:ascii="Times New Roman" w:hAnsi="Times New Roman" w:eastAsia="宋体" w:cs="Times New Roman"/>
                <w:szCs w:val="21"/>
              </w:rPr>
              <w:t>操作系统：支持正版Windows 10及以上版本、Linux（Ubuntu、CentOS等）或国产操作系统。</w:t>
            </w:r>
          </w:p>
          <w:p w14:paraId="6279B5B5">
            <w:pPr>
              <w:ind w:firstLine="420" w:firstLineChars="200"/>
              <w:rPr>
                <w:rFonts w:ascii="Times New Roman" w:hAnsi="Times New Roman" w:eastAsia="宋体" w:cs="Times New Roman"/>
                <w:szCs w:val="21"/>
              </w:rPr>
            </w:pPr>
            <w:r>
              <w:rPr>
                <w:rFonts w:ascii="Times New Roman" w:hAnsi="Times New Roman" w:eastAsia="宋体" w:cs="Times New Roman"/>
                <w:szCs w:val="21"/>
              </w:rPr>
              <w:t>处理器：至少2个Xeon 4208 2.1GHz 及以上型号CPU。</w:t>
            </w:r>
          </w:p>
          <w:p w14:paraId="723CC83A">
            <w:pPr>
              <w:ind w:firstLine="420" w:firstLineChars="200"/>
              <w:rPr>
                <w:rFonts w:ascii="Times New Roman" w:hAnsi="Times New Roman" w:eastAsia="宋体" w:cs="Times New Roman"/>
                <w:szCs w:val="21"/>
              </w:rPr>
            </w:pPr>
            <w:r>
              <w:rPr>
                <w:rFonts w:ascii="Times New Roman" w:hAnsi="Times New Roman" w:eastAsia="宋体" w:cs="Times New Roman"/>
                <w:szCs w:val="21"/>
              </w:rPr>
              <w:t>内存：不低于128GB ECC RAM。</w:t>
            </w:r>
          </w:p>
          <w:p w14:paraId="20DA535B">
            <w:pPr>
              <w:ind w:firstLine="420" w:firstLineChars="200"/>
              <w:rPr>
                <w:rFonts w:ascii="Times New Roman" w:hAnsi="Times New Roman" w:eastAsia="宋体" w:cs="Times New Roman"/>
                <w:szCs w:val="21"/>
              </w:rPr>
            </w:pPr>
            <w:r>
              <w:rPr>
                <w:rFonts w:ascii="Times New Roman" w:hAnsi="Times New Roman" w:eastAsia="宋体" w:cs="Times New Roman"/>
                <w:szCs w:val="21"/>
              </w:rPr>
              <w:t>系统盘：不低于1TB NvMe固态硬盘。</w:t>
            </w:r>
          </w:p>
          <w:p w14:paraId="72BC8E51">
            <w:pPr>
              <w:ind w:firstLine="420" w:firstLineChars="200"/>
              <w:rPr>
                <w:rFonts w:ascii="Times New Roman" w:hAnsi="Times New Roman" w:eastAsia="宋体" w:cs="Times New Roman"/>
                <w:szCs w:val="21"/>
              </w:rPr>
            </w:pPr>
            <w:r>
              <w:rPr>
                <w:rFonts w:ascii="Times New Roman" w:hAnsi="Times New Roman" w:eastAsia="宋体" w:cs="Times New Roman"/>
                <w:szCs w:val="21"/>
              </w:rPr>
              <w:t>存储盘：不低于2TB NvMe固态硬盘。</w:t>
            </w:r>
          </w:p>
          <w:p w14:paraId="46ACA579">
            <w:pPr>
              <w:ind w:firstLine="420" w:firstLineChars="200"/>
              <w:rPr>
                <w:rFonts w:ascii="Times New Roman" w:hAnsi="Times New Roman" w:eastAsia="宋体" w:cs="Times New Roman"/>
                <w:szCs w:val="21"/>
              </w:rPr>
            </w:pPr>
            <w:r>
              <w:rPr>
                <w:rFonts w:ascii="Times New Roman" w:hAnsi="Times New Roman" w:eastAsia="宋体" w:cs="Times New Roman"/>
                <w:szCs w:val="21"/>
              </w:rPr>
              <w:t>嵌入式网卡：至少1 个 1GbE LOM。</w:t>
            </w:r>
          </w:p>
          <w:p w14:paraId="6854EA19">
            <w:pPr>
              <w:ind w:firstLine="420" w:firstLineChars="200"/>
              <w:rPr>
                <w:rFonts w:ascii="Times New Roman" w:hAnsi="Times New Roman" w:eastAsia="宋体" w:cs="Times New Roman"/>
                <w:szCs w:val="21"/>
              </w:rPr>
            </w:pPr>
            <w:r>
              <w:rPr>
                <w:rFonts w:ascii="Times New Roman" w:hAnsi="Times New Roman" w:eastAsia="宋体" w:cs="Times New Roman"/>
                <w:szCs w:val="21"/>
              </w:rPr>
              <w:t>端口：包含至少2个USB2.0、至少2个USB3.0、至少1个iDRAC Direct (Micro-AB USB)、至少1个专用 iDRAC (RJ45)端口、至少1个VGA端口，至少2个以太网端口。</w:t>
            </w:r>
          </w:p>
          <w:p w14:paraId="1CA5A470">
            <w:pPr>
              <w:ind w:firstLine="420" w:firstLineChars="200"/>
              <w:rPr>
                <w:rFonts w:ascii="Times New Roman" w:hAnsi="Times New Roman" w:eastAsia="宋体" w:cs="Times New Roman"/>
                <w:szCs w:val="21"/>
              </w:rPr>
            </w:pPr>
            <w:r>
              <w:rPr>
                <w:rFonts w:ascii="Times New Roman" w:hAnsi="Times New Roman" w:eastAsia="宋体" w:cs="Times New Roman"/>
                <w:szCs w:val="21"/>
              </w:rPr>
              <w:t>显示屏：≥27英寸，分辨率≥1920x1080高清显示屏，</w:t>
            </w:r>
          </w:p>
          <w:p w14:paraId="19A230FC">
            <w:pPr>
              <w:ind w:firstLine="420" w:firstLineChars="200"/>
              <w:rPr>
                <w:rFonts w:ascii="Times New Roman" w:hAnsi="Times New Roman" w:eastAsia="宋体" w:cs="Times New Roman"/>
                <w:szCs w:val="21"/>
              </w:rPr>
            </w:pPr>
            <w:r>
              <w:rPr>
                <w:rFonts w:ascii="Times New Roman" w:hAnsi="Times New Roman" w:eastAsia="宋体" w:cs="Times New Roman"/>
                <w:szCs w:val="21"/>
              </w:rPr>
              <w:t>鼠标：支持有线或蓝牙/2.4GHz连接。</w:t>
            </w:r>
          </w:p>
          <w:p w14:paraId="7E3DF448">
            <w:pPr>
              <w:ind w:firstLine="420" w:firstLineChars="200"/>
              <w:rPr>
                <w:rFonts w:ascii="Times New Roman" w:hAnsi="Times New Roman" w:eastAsia="宋体" w:cs="Times New Roman"/>
                <w:szCs w:val="21"/>
              </w:rPr>
            </w:pPr>
            <w:r>
              <w:rPr>
                <w:rFonts w:ascii="Times New Roman" w:hAnsi="Times New Roman" w:eastAsia="宋体" w:cs="Times New Roman"/>
                <w:szCs w:val="21"/>
              </w:rPr>
              <w:t>键盘：全尺寸104键键盘，支持有线或蓝牙/2.4GHz连接</w:t>
            </w:r>
          </w:p>
          <w:p w14:paraId="29D16BF6">
            <w:pPr>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（3）USB摄像头 （2个）</w:t>
            </w:r>
          </w:p>
          <w:p w14:paraId="6227954E">
            <w:pPr>
              <w:ind w:firstLine="420" w:firstLineChars="200"/>
              <w:rPr>
                <w:rFonts w:ascii="Times New Roman" w:hAnsi="Times New Roman" w:eastAsia="宋体" w:cs="Times New Roman"/>
                <w:szCs w:val="21"/>
              </w:rPr>
            </w:pPr>
            <w:r>
              <w:rPr>
                <w:rFonts w:ascii="Times New Roman" w:hAnsi="Times New Roman" w:eastAsia="宋体" w:cs="Times New Roman"/>
                <w:szCs w:val="21"/>
              </w:rPr>
              <w:t>内置记录镜头视角不小于75°；高清视频分辨率不低于4K；内置音频采集模块，自带麦克风；音频响频范围：100Hz-18 KHz；采用免驱USB接口，支持即插即用。</w:t>
            </w:r>
          </w:p>
          <w:p w14:paraId="2397C27B">
            <w:pPr>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（4）网络交换机（1台）</w:t>
            </w:r>
          </w:p>
          <w:p w14:paraId="100CA6CD">
            <w:pPr>
              <w:ind w:firstLine="420" w:firstLineChars="200"/>
              <w:rPr>
                <w:rFonts w:ascii="Times New Roman" w:hAnsi="Times New Roman" w:eastAsia="宋体" w:cs="Times New Roman"/>
                <w:szCs w:val="21"/>
              </w:rPr>
            </w:pPr>
            <w:r>
              <w:rPr>
                <w:rFonts w:ascii="Times New Roman" w:hAnsi="Times New Roman" w:eastAsia="宋体" w:cs="Times New Roman"/>
                <w:szCs w:val="21"/>
              </w:rPr>
              <w:t>端口配置：至少含24个10/100/1000Mbps自适应电口，以及至少2个10G 信号数据口，实配不少于2个10G SFP+多模光纤接口，支持PoE+（以太网供电）功能，以便为网络摄像头或其他IP终端设备供电。</w:t>
            </w:r>
          </w:p>
        </w:tc>
        <w:tc>
          <w:tcPr>
            <w:tcW w:w="304" w:type="pct"/>
            <w:vAlign w:val="center"/>
          </w:tcPr>
          <w:p w14:paraId="5067D034">
            <w:pPr>
              <w:jc w:val="center"/>
              <w:rPr>
                <w:rFonts w:ascii="Times New Roman" w:hAnsi="Times New Roman" w:eastAsia="宋体" w:cs="Times New Roman"/>
                <w:szCs w:val="21"/>
              </w:rPr>
            </w:pPr>
            <w:r>
              <w:rPr>
                <w:rFonts w:ascii="Times New Roman" w:hAnsi="Times New Roman" w:eastAsia="宋体" w:cs="Times New Roman"/>
                <w:szCs w:val="21"/>
              </w:rPr>
              <w:t>1套</w:t>
            </w:r>
          </w:p>
        </w:tc>
      </w:tr>
      <w:bookmarkEnd w:id="40"/>
      <w:tr w14:paraId="0C55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Align w:val="center"/>
          </w:tcPr>
          <w:p w14:paraId="768BCD31">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491" w:type="pct"/>
            <w:shd w:val="clear" w:color="auto" w:fill="auto"/>
            <w:vAlign w:val="center"/>
          </w:tcPr>
          <w:p w14:paraId="6C4BC191">
            <w:pPr>
              <w:jc w:val="center"/>
              <w:rPr>
                <w:rFonts w:ascii="Times New Roman" w:hAnsi="Times New Roman" w:eastAsia="宋体" w:cs="Times New Roman"/>
                <w:szCs w:val="21"/>
              </w:rPr>
            </w:pPr>
            <w:r>
              <w:rPr>
                <w:rFonts w:ascii="Times New Roman" w:hAnsi="Times New Roman" w:eastAsia="宋体" w:cs="Times New Roman"/>
                <w:szCs w:val="21"/>
                <w:lang w:bidi="ar"/>
              </w:rPr>
              <w:t>便携式行为观察记录分析系统</w:t>
            </w:r>
          </w:p>
        </w:tc>
        <w:tc>
          <w:tcPr>
            <w:tcW w:w="3930" w:type="pct"/>
            <w:vAlign w:val="center"/>
          </w:tcPr>
          <w:p w14:paraId="314DBFC1">
            <w:pPr>
              <w:adjustRightInd w:val="0"/>
              <w:ind w:firstLine="420" w:firstLineChars="200"/>
              <w:rPr>
                <w:rFonts w:ascii="Times New Roman" w:hAnsi="Times New Roman" w:eastAsia="宋体" w:cs="Times New Roman"/>
                <w:szCs w:val="21"/>
                <w:lang w:eastAsia="zh"/>
              </w:rPr>
            </w:pPr>
            <w:r>
              <w:rPr>
                <w:rFonts w:ascii="Times New Roman" w:hAnsi="Times New Roman" w:eastAsia="宋体" w:cs="Times New Roman"/>
                <w:color w:val="000000"/>
                <w:szCs w:val="21"/>
              </w:rPr>
              <w:t>功能要求：可以为专业收集、分析和演示观察数据提供一个综合行为事件记录系统，具有但不限于可扩展性、操作简单等性能</w:t>
            </w:r>
            <w:r>
              <w:rPr>
                <w:rFonts w:ascii="Times New Roman" w:hAnsi="Times New Roman" w:eastAsia="宋体" w:cs="Times New Roman"/>
                <w:color w:val="000000"/>
                <w:szCs w:val="21"/>
                <w:lang w:eastAsia="zh"/>
              </w:rPr>
              <w:t>，可以</w:t>
            </w:r>
            <w:r>
              <w:rPr>
                <w:rFonts w:ascii="Times New Roman" w:hAnsi="Times New Roman" w:eastAsia="宋体" w:cs="Times New Roman"/>
                <w:color w:val="000000"/>
                <w:szCs w:val="21"/>
              </w:rPr>
              <w:t>统计分析被试者的人机交互等各种行为的发生时刻、发生次数和持续时间，并实现对设备或网站操作过程中关键行为步骤的编码、记录和分析。</w:t>
            </w:r>
            <w:r>
              <w:rPr>
                <w:rFonts w:ascii="Times New Roman" w:hAnsi="Times New Roman" w:eastAsia="宋体" w:cs="Times New Roman"/>
                <w:szCs w:val="21"/>
              </w:rPr>
              <w:t>系统需要支持一个研究项目的整个工作流，具体包括实验设置，设计编码方案、数据采集、数据分析和演示，需根据工作流程同步配置</w:t>
            </w:r>
            <w:r>
              <w:rPr>
                <w:rFonts w:ascii="Times New Roman" w:hAnsi="Times New Roman" w:eastAsia="宋体" w:cs="Times New Roman"/>
                <w:szCs w:val="21"/>
                <w:lang w:eastAsia="zh"/>
              </w:rPr>
              <w:t>，</w:t>
            </w:r>
            <w:r>
              <w:rPr>
                <w:rFonts w:ascii="Times New Roman" w:hAnsi="Times New Roman" w:eastAsia="宋体" w:cs="Times New Roman"/>
                <w:szCs w:val="21"/>
              </w:rPr>
              <w:t>实现对多路视频源的高效管理和分析</w:t>
            </w:r>
            <w:r>
              <w:rPr>
                <w:rFonts w:ascii="Times New Roman" w:hAnsi="Times New Roman" w:eastAsia="宋体" w:cs="Times New Roman"/>
                <w:szCs w:val="21"/>
                <w:lang w:eastAsia="zh"/>
              </w:rPr>
              <w:t>。</w:t>
            </w:r>
            <w:r>
              <w:rPr>
                <w:rFonts w:ascii="Times New Roman" w:hAnsi="Times New Roman" w:eastAsia="宋体" w:cs="Times New Roman"/>
                <w:szCs w:val="21"/>
              </w:rPr>
              <w:t>同时，系统需要保障对个人信息的保护，确保在实验或研究过程中符合隐私保护的要求。</w:t>
            </w:r>
          </w:p>
          <w:p w14:paraId="0EC20E22">
            <w:pPr>
              <w:adjustRightInd w:val="0"/>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通过硬件的配置：能够提供动态环境画面稳定记录的功能，保障真实实验场景的数据采集工作正常展开；能够将视频信号转换为数字信号，保障数据的储存与分析；能够处理大量的行为观察数据，支持实时数据处理和分析，可保障便携式行为观察记录分析系统开展实时的场景数据分析；能够确保行为观察记录分析系统和相关设备在运输和移动过程中不受损害。</w:t>
            </w:r>
          </w:p>
          <w:p w14:paraId="45A4D89C">
            <w:pPr>
              <w:adjustRightInd w:val="0"/>
              <w:ind w:firstLine="420" w:firstLineChars="200"/>
              <w:rPr>
                <w:rFonts w:ascii="Times New Roman" w:hAnsi="Times New Roman" w:eastAsia="宋体" w:cs="Times New Roman"/>
                <w:szCs w:val="21"/>
              </w:rPr>
            </w:pPr>
            <w:r>
              <w:rPr>
                <w:rFonts w:ascii="Times New Roman" w:hAnsi="Times New Roman" w:eastAsia="宋体" w:cs="Times New Roman"/>
                <w:szCs w:val="21"/>
              </w:rPr>
              <w:t>具体包括但不限于以下</w:t>
            </w:r>
            <w:r>
              <w:rPr>
                <w:rFonts w:ascii="Times New Roman" w:hAnsi="Times New Roman" w:eastAsia="宋体" w:cs="Times New Roman"/>
                <w:szCs w:val="21"/>
                <w:lang w:eastAsia="zh"/>
              </w:rPr>
              <w:t>功能</w:t>
            </w:r>
            <w:r>
              <w:rPr>
                <w:rFonts w:ascii="Times New Roman" w:hAnsi="Times New Roman" w:eastAsia="宋体" w:cs="Times New Roman"/>
                <w:szCs w:val="21"/>
              </w:rPr>
              <w:t>模块：</w:t>
            </w:r>
          </w:p>
          <w:p w14:paraId="6016C398">
            <w:pPr>
              <w:adjustRightInd w:val="0"/>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（1）视频处理模块</w:t>
            </w:r>
          </w:p>
          <w:p w14:paraId="645A7FC6">
            <w:pPr>
              <w:adjustRightInd w:val="0"/>
              <w:ind w:firstLine="420" w:firstLineChars="200"/>
              <w:rPr>
                <w:rFonts w:ascii="Times New Roman" w:hAnsi="Times New Roman" w:eastAsia="宋体" w:cs="Times New Roman"/>
                <w:szCs w:val="21"/>
              </w:rPr>
            </w:pPr>
            <w:r>
              <w:rPr>
                <w:rFonts w:ascii="Times New Roman" w:hAnsi="Times New Roman" w:eastAsia="宋体" w:cs="Times New Roman"/>
                <w:szCs w:val="21"/>
              </w:rPr>
              <w:t>第一，系统应具备同时播放和独立录制多路视频的能力。</w:t>
            </w:r>
          </w:p>
          <w:p w14:paraId="7EE4BBCC">
            <w:pPr>
              <w:adjustRightInd w:val="0"/>
              <w:ind w:firstLine="420" w:firstLineChars="200"/>
              <w:rPr>
                <w:rFonts w:ascii="Times New Roman" w:hAnsi="Times New Roman" w:eastAsia="宋体" w:cs="Times New Roman"/>
                <w:szCs w:val="21"/>
              </w:rPr>
            </w:pPr>
            <w:r>
              <w:rPr>
                <w:rFonts w:ascii="Times New Roman" w:hAnsi="Times New Roman" w:eastAsia="宋体" w:cs="Times New Roman"/>
                <w:szCs w:val="21"/>
              </w:rPr>
              <w:t>第二，视频回放应支持变速调节，具备倍速播放、精确快进/倒退功能，支持实时和离线观看模式。</w:t>
            </w:r>
          </w:p>
          <w:p w14:paraId="28057E64">
            <w:pPr>
              <w:adjustRightInd w:val="0"/>
              <w:ind w:firstLine="420" w:firstLineChars="200"/>
              <w:rPr>
                <w:rFonts w:ascii="Times New Roman" w:hAnsi="Times New Roman" w:eastAsia="宋体" w:cs="Times New Roman"/>
                <w:szCs w:val="21"/>
              </w:rPr>
            </w:pPr>
            <w:r>
              <w:rPr>
                <w:rFonts w:ascii="Times New Roman" w:hAnsi="Times New Roman" w:eastAsia="宋体" w:cs="Times New Roman"/>
                <w:szCs w:val="21"/>
              </w:rPr>
              <w:t>第三，系统需要兼容多种视频格式，可自动保存并按日期时间排序所有音视频内容。此外，系统还需整合对具有PTZ功能摄像机的远程操控功能，能录制来自摄像机内置或外接麦克风的声音。</w:t>
            </w:r>
          </w:p>
          <w:p w14:paraId="75CE90C6">
            <w:pPr>
              <w:adjustRightInd w:val="0"/>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（2）行为编码模块</w:t>
            </w:r>
          </w:p>
          <w:p w14:paraId="109502F4">
            <w:pPr>
              <w:adjustRightInd w:val="0"/>
              <w:ind w:firstLine="420" w:firstLineChars="200"/>
              <w:rPr>
                <w:rFonts w:ascii="Times New Roman" w:hAnsi="Times New Roman" w:eastAsia="宋体" w:cs="Times New Roman"/>
                <w:szCs w:val="21"/>
              </w:rPr>
            </w:pPr>
            <w:r>
              <w:rPr>
                <w:rFonts w:ascii="Times New Roman" w:hAnsi="Times New Roman" w:eastAsia="宋体" w:cs="Times New Roman"/>
                <w:szCs w:val="21"/>
              </w:rPr>
              <w:t>第一，系统需要支持创建行为编码，以便对视频中被试的行为进行精准注释。</w:t>
            </w:r>
          </w:p>
          <w:p w14:paraId="3F9F0A68">
            <w:pPr>
              <w:adjustRightInd w:val="0"/>
              <w:ind w:firstLine="420" w:firstLineChars="200"/>
              <w:rPr>
                <w:rFonts w:ascii="Times New Roman" w:hAnsi="Times New Roman" w:eastAsia="宋体" w:cs="Times New Roman"/>
                <w:szCs w:val="21"/>
              </w:rPr>
            </w:pPr>
            <w:r>
              <w:rPr>
                <w:rFonts w:ascii="Times New Roman" w:hAnsi="Times New Roman" w:eastAsia="宋体" w:cs="Times New Roman"/>
                <w:szCs w:val="21"/>
              </w:rPr>
              <w:t>第二，数据采样机制需灵活多样，囊括连续采样或瞬时采样或两者混合模式，并借助可视化界面，如事件日志和图形时间轴联动展示，方便对已标记事件进行查阅和分析。</w:t>
            </w:r>
          </w:p>
          <w:p w14:paraId="535F015C">
            <w:pPr>
              <w:adjustRightInd w:val="0"/>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（3）行为统计分析模块</w:t>
            </w:r>
          </w:p>
          <w:p w14:paraId="7EC40E7E">
            <w:pPr>
              <w:adjustRightInd w:val="0"/>
              <w:ind w:firstLine="420" w:firstLineChars="200"/>
              <w:rPr>
                <w:rFonts w:ascii="Times New Roman" w:hAnsi="Times New Roman" w:eastAsia="宋体" w:cs="Times New Roman"/>
                <w:szCs w:val="21"/>
              </w:rPr>
            </w:pPr>
            <w:r>
              <w:rPr>
                <w:rFonts w:ascii="Times New Roman" w:hAnsi="Times New Roman" w:eastAsia="宋体" w:cs="Times New Roman"/>
                <w:szCs w:val="21"/>
              </w:rPr>
              <w:t>系统应当集成行为数据统计与分析功能，针对编码后的数据进行深度统计和解析，计算各项关键指标，如发生次数、持续时间范围（最短、最长、平均）、总时长、标准偏差、标准误差、频率（每分钟发生的次数）、占比以及潜伏期等。</w:t>
            </w:r>
          </w:p>
          <w:p w14:paraId="426D0371">
            <w:pPr>
              <w:adjustRightInd w:val="0"/>
              <w:ind w:firstLine="422" w:firstLineChars="200"/>
              <w:rPr>
                <w:rFonts w:ascii="Times New Roman" w:hAnsi="Times New Roman" w:eastAsia="宋体" w:cs="Times New Roman"/>
                <w:bCs/>
                <w:szCs w:val="21"/>
              </w:rPr>
            </w:pPr>
            <w:r>
              <w:rPr>
                <w:rFonts w:ascii="Times New Roman" w:hAnsi="Times New Roman" w:eastAsia="宋体" w:cs="Times New Roman"/>
                <w:b/>
                <w:szCs w:val="21"/>
              </w:rPr>
              <w:t>需要配备以下相关组件（包括但不限于）：</w:t>
            </w:r>
          </w:p>
          <w:p w14:paraId="6B29CFB4">
            <w:pPr>
              <w:adjustRightInd w:val="0"/>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（1）便携式云台相机（2台）</w:t>
            </w:r>
          </w:p>
          <w:p w14:paraId="3E121B6F">
            <w:pPr>
              <w:adjustRightInd w:val="0"/>
              <w:ind w:firstLine="420" w:firstLineChars="200"/>
              <w:rPr>
                <w:rFonts w:ascii="Times New Roman" w:hAnsi="Times New Roman" w:eastAsia="宋体" w:cs="Times New Roman"/>
                <w:szCs w:val="21"/>
              </w:rPr>
            </w:pPr>
            <w:r>
              <w:rPr>
                <w:rFonts w:ascii="Times New Roman" w:hAnsi="Times New Roman" w:eastAsia="宋体" w:cs="Times New Roman"/>
                <w:szCs w:val="21"/>
              </w:rPr>
              <w:t>第一，便携式云台相机应具备高清照片拍摄与视频录制功能，具备稳定的三轴机械增稳功能，确保在拍摄过程中能够提供平滑无抖动的画面。云台应支持俯仰、横滚和偏航三个维度的稳定控制。设备应具备良好的低光性能，ISO感光度不低于6400，并且能在低至1lux的光照条件下正常工作。</w:t>
            </w:r>
          </w:p>
          <w:p w14:paraId="57B352A8">
            <w:pPr>
              <w:adjustRightInd w:val="0"/>
              <w:ind w:firstLine="420" w:firstLineChars="200"/>
              <w:rPr>
                <w:rFonts w:ascii="Times New Roman" w:hAnsi="Times New Roman" w:eastAsia="宋体" w:cs="Times New Roman"/>
                <w:szCs w:val="21"/>
              </w:rPr>
            </w:pPr>
            <w:r>
              <w:rPr>
                <w:rFonts w:ascii="Times New Roman" w:hAnsi="Times New Roman" w:eastAsia="宋体" w:cs="Times New Roman"/>
                <w:szCs w:val="21"/>
              </w:rPr>
              <w:t>第二，云台相机应具有不少于20小时的续航能力，并且支持快充技术，确保快速恢复电力。</w:t>
            </w:r>
          </w:p>
          <w:p w14:paraId="1576CF00">
            <w:pPr>
              <w:adjustRightInd w:val="0"/>
              <w:ind w:firstLine="420" w:firstLineChars="200"/>
              <w:rPr>
                <w:rFonts w:ascii="Times New Roman" w:hAnsi="Times New Roman" w:eastAsia="宋体" w:cs="Times New Roman"/>
                <w:szCs w:val="21"/>
              </w:rPr>
            </w:pPr>
            <w:r>
              <w:rPr>
                <w:rFonts w:ascii="Times New Roman" w:hAnsi="Times New Roman" w:eastAsia="宋体" w:cs="Times New Roman"/>
                <w:szCs w:val="21"/>
              </w:rPr>
              <w:t>第三，云台相机设计应便于携带，重量不超过1.5公斤，且易于组装拆卸。</w:t>
            </w:r>
          </w:p>
          <w:p w14:paraId="09EFEFEC">
            <w:pPr>
              <w:adjustRightInd w:val="0"/>
              <w:ind w:firstLine="420" w:firstLineChars="200"/>
              <w:rPr>
                <w:rFonts w:ascii="Times New Roman" w:hAnsi="Times New Roman" w:eastAsia="宋体" w:cs="Times New Roman"/>
                <w:szCs w:val="21"/>
              </w:rPr>
            </w:pPr>
            <w:r>
              <w:rPr>
                <w:rFonts w:ascii="Times New Roman" w:hAnsi="Times New Roman" w:eastAsia="宋体" w:cs="Times New Roman"/>
                <w:szCs w:val="21"/>
              </w:rPr>
              <w:t>第四，云台相机应可兼容</w:t>
            </w:r>
            <w:r>
              <w:rPr>
                <w:rFonts w:hint="eastAsia" w:ascii="Times New Roman" w:hAnsi="Times New Roman" w:eastAsia="宋体" w:cs="Times New Roman"/>
                <w:szCs w:val="21"/>
              </w:rPr>
              <w:t>索尼、佳能、尼康、海康威视、大华等品牌的摄像设备</w:t>
            </w:r>
            <w:r>
              <w:rPr>
                <w:rFonts w:ascii="Times New Roman" w:hAnsi="Times New Roman" w:eastAsia="宋体" w:cs="Times New Roman"/>
                <w:szCs w:val="21"/>
              </w:rPr>
              <w:t>，并且提供通用接口适配器。每台云台相机均应配备充电器、备用电池以及便携式充电站，以确保不间断地使用。</w:t>
            </w:r>
          </w:p>
          <w:p w14:paraId="54D3D7B2">
            <w:pPr>
              <w:adjustRightInd w:val="0"/>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（2）数码视频采集设备（1套）</w:t>
            </w:r>
          </w:p>
          <w:p w14:paraId="5E06B2E3">
            <w:pPr>
              <w:adjustRightInd w:val="0"/>
              <w:ind w:firstLine="420" w:firstLineChars="200"/>
              <w:rPr>
                <w:rFonts w:ascii="Times New Roman" w:hAnsi="Times New Roman" w:eastAsia="宋体" w:cs="Times New Roman"/>
                <w:szCs w:val="21"/>
              </w:rPr>
            </w:pPr>
            <w:r>
              <w:rPr>
                <w:rFonts w:ascii="Times New Roman" w:hAnsi="Times New Roman" w:eastAsia="宋体" w:cs="Times New Roman"/>
                <w:szCs w:val="21"/>
              </w:rPr>
              <w:t>第一，数码视频采集设备应具备高清视频录制功能，支持至少4K分辨率（3840×2160像素）的视频录制，并且支持H.264/H.265编码格式。设备应支持同时采集不少于4通路音视频信号，以满足多角度、多视角的录制需求。</w:t>
            </w:r>
          </w:p>
          <w:p w14:paraId="42098588">
            <w:pPr>
              <w:adjustRightInd w:val="0"/>
              <w:ind w:firstLine="420" w:firstLineChars="200"/>
              <w:rPr>
                <w:rFonts w:ascii="Times New Roman" w:hAnsi="Times New Roman" w:eastAsia="宋体" w:cs="Times New Roman"/>
                <w:szCs w:val="21"/>
              </w:rPr>
            </w:pPr>
            <w:r>
              <w:rPr>
                <w:rFonts w:ascii="Times New Roman" w:hAnsi="Times New Roman" w:eastAsia="宋体" w:cs="Times New Roman"/>
                <w:szCs w:val="21"/>
              </w:rPr>
              <w:t>第二，设备应具备良好的低光性能，ISO感光度不低于6400，并且能在低至1lux的光照条件下正常工作。</w:t>
            </w:r>
          </w:p>
          <w:p w14:paraId="02548ECC">
            <w:pPr>
              <w:adjustRightInd w:val="0"/>
              <w:ind w:firstLine="420" w:firstLineChars="200"/>
              <w:rPr>
                <w:rFonts w:ascii="Times New Roman" w:hAnsi="Times New Roman" w:eastAsia="宋体" w:cs="Times New Roman"/>
                <w:szCs w:val="21"/>
              </w:rPr>
            </w:pPr>
            <w:r>
              <w:rPr>
                <w:rFonts w:ascii="Times New Roman" w:hAnsi="Times New Roman" w:eastAsia="宋体" w:cs="Times New Roman"/>
                <w:szCs w:val="21"/>
              </w:rPr>
              <w:t>第三，设备需要支持连续录制至少4小时，并且内置至少128GB的存储空间，支持SDXC卡扩展至1TB以上。录制出来的音视频文件应可以直接由行为观察分析软件打开进行行为分析。</w:t>
            </w:r>
          </w:p>
          <w:p w14:paraId="00F6DA2A">
            <w:pPr>
              <w:adjustRightInd w:val="0"/>
              <w:ind w:firstLine="420" w:firstLineChars="200"/>
              <w:rPr>
                <w:rFonts w:ascii="Times New Roman" w:hAnsi="Times New Roman" w:eastAsia="宋体" w:cs="Times New Roman"/>
                <w:szCs w:val="21"/>
              </w:rPr>
            </w:pPr>
            <w:r>
              <w:rPr>
                <w:rFonts w:ascii="Times New Roman" w:hAnsi="Times New Roman" w:eastAsia="宋体" w:cs="Times New Roman"/>
                <w:szCs w:val="21"/>
              </w:rPr>
              <w:t>第四，设备应配备可变焦镜头，焦距范围应在24mm至70mm之间，支持实时追踪和视频实时眼部对焦功能。</w:t>
            </w:r>
          </w:p>
          <w:p w14:paraId="191C3DA0">
            <w:pPr>
              <w:adjustRightInd w:val="0"/>
              <w:ind w:firstLine="420" w:firstLineChars="200"/>
              <w:rPr>
                <w:rFonts w:ascii="Times New Roman" w:hAnsi="Times New Roman" w:eastAsia="宋体" w:cs="Times New Roman"/>
                <w:szCs w:val="21"/>
              </w:rPr>
            </w:pPr>
            <w:r>
              <w:rPr>
                <w:rFonts w:ascii="Times New Roman" w:hAnsi="Times New Roman" w:eastAsia="宋体" w:cs="Times New Roman"/>
                <w:szCs w:val="21"/>
              </w:rPr>
              <w:t>第五，设备应具有良好的耐用性和防水防尘功能，IP等级应达到IP65标准，适用于各种户外环境。</w:t>
            </w:r>
          </w:p>
          <w:p w14:paraId="6B74EEB8">
            <w:pPr>
              <w:adjustRightInd w:val="0"/>
              <w:ind w:firstLine="420" w:firstLineChars="200"/>
              <w:rPr>
                <w:rFonts w:ascii="Times New Roman" w:hAnsi="Times New Roman" w:eastAsia="宋体" w:cs="Times New Roman"/>
                <w:szCs w:val="21"/>
              </w:rPr>
            </w:pPr>
            <w:r>
              <w:rPr>
                <w:rFonts w:ascii="Times New Roman" w:hAnsi="Times New Roman" w:eastAsia="宋体" w:cs="Times New Roman"/>
                <w:szCs w:val="21"/>
              </w:rPr>
              <w:t>第六，设备应配备直观易用的操作界面，支持触摸屏操作，并且具有实体按键以方便快速设置和调整录制参数。</w:t>
            </w:r>
          </w:p>
          <w:p w14:paraId="7FF7007B">
            <w:pPr>
              <w:adjustRightInd w:val="0"/>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（3）便携式专用主机（1台）</w:t>
            </w:r>
          </w:p>
          <w:p w14:paraId="41DA79D3">
            <w:pPr>
              <w:adjustRightInd w:val="0"/>
              <w:ind w:firstLine="420" w:firstLineChars="200"/>
              <w:rPr>
                <w:rFonts w:ascii="Times New Roman" w:hAnsi="Times New Roman" w:eastAsia="宋体" w:cs="Times New Roman"/>
                <w:szCs w:val="21"/>
              </w:rPr>
            </w:pPr>
            <w:r>
              <w:rPr>
                <w:rFonts w:ascii="Times New Roman" w:hAnsi="Times New Roman" w:eastAsia="宋体" w:cs="Times New Roman"/>
                <w:szCs w:val="21"/>
              </w:rPr>
              <w:t>第一，支持正版Windows 10及以上版本、Linux（Ubuntu、CentOS等）或国产操作系统，处理器Intel i7 13600H及以上，内存≥16G，显卡Nivdia独立显卡3060及以上，屏幕刷新率≥120Hz，分辨率≥2560*1600，显示屏尺寸≥14英寸。</w:t>
            </w:r>
          </w:p>
          <w:p w14:paraId="75807954">
            <w:pPr>
              <w:adjustRightInd w:val="0"/>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（4）便携式防震航空箱（1套）</w:t>
            </w:r>
          </w:p>
          <w:p w14:paraId="5CBB7803">
            <w:pPr>
              <w:adjustRightInd w:val="0"/>
              <w:ind w:firstLine="420" w:firstLineChars="200"/>
              <w:rPr>
                <w:rFonts w:ascii="Times New Roman" w:hAnsi="Times New Roman" w:eastAsia="宋体" w:cs="Times New Roman"/>
                <w:szCs w:val="21"/>
              </w:rPr>
            </w:pPr>
            <w:r>
              <w:rPr>
                <w:rFonts w:ascii="Times New Roman" w:hAnsi="Times New Roman" w:eastAsia="宋体" w:cs="Times New Roman"/>
                <w:szCs w:val="21"/>
              </w:rPr>
              <w:t>第一，便携式防震航空箱应采用高强度聚碳酸酯材料制造，箱体厚度不少于3毫米，确保设备在运输过程中不受损坏。</w:t>
            </w:r>
          </w:p>
          <w:p w14:paraId="1EF7E588">
            <w:pPr>
              <w:adjustRightInd w:val="0"/>
              <w:ind w:firstLine="420" w:firstLineChars="200"/>
              <w:rPr>
                <w:rFonts w:ascii="Times New Roman" w:hAnsi="Times New Roman" w:eastAsia="宋体" w:cs="Times New Roman"/>
                <w:szCs w:val="21"/>
              </w:rPr>
            </w:pPr>
            <w:r>
              <w:rPr>
                <w:rFonts w:ascii="Times New Roman" w:hAnsi="Times New Roman" w:eastAsia="宋体" w:cs="Times New Roman"/>
                <w:szCs w:val="21"/>
              </w:rPr>
              <w:t>第二，箱子应具备良好的密封性能，防护等级不低于IP67，防止水和灰尘进入。</w:t>
            </w:r>
          </w:p>
          <w:p w14:paraId="272D4F1A">
            <w:pPr>
              <w:adjustRightInd w:val="0"/>
              <w:ind w:firstLine="420" w:firstLineChars="200"/>
              <w:rPr>
                <w:rFonts w:ascii="Times New Roman" w:hAnsi="Times New Roman" w:eastAsia="宋体" w:cs="Times New Roman"/>
                <w:szCs w:val="21"/>
              </w:rPr>
            </w:pPr>
            <w:r>
              <w:rPr>
                <w:rFonts w:ascii="Times New Roman" w:hAnsi="Times New Roman" w:eastAsia="宋体" w:cs="Times New Roman"/>
                <w:szCs w:val="21"/>
              </w:rPr>
              <w:t>第三，箱子内部应设计有定制的EVA泡沫隔层，能够根据设备形状定制，固定和保护设备免受冲击。</w:t>
            </w:r>
          </w:p>
          <w:p w14:paraId="104050DF">
            <w:pPr>
              <w:adjustRightInd w:val="0"/>
              <w:ind w:firstLine="420" w:firstLineChars="200"/>
              <w:rPr>
                <w:rFonts w:ascii="Times New Roman" w:hAnsi="Times New Roman" w:eastAsia="宋体" w:cs="Times New Roman"/>
                <w:szCs w:val="21"/>
              </w:rPr>
            </w:pPr>
            <w:r>
              <w:rPr>
                <w:rFonts w:ascii="Times New Roman" w:hAnsi="Times New Roman" w:eastAsia="宋体" w:cs="Times New Roman"/>
                <w:szCs w:val="21"/>
              </w:rPr>
              <w:t>第四，箱子应配备坚固的手柄和可伸缩拉杆，手柄应采用抗压材料，并且拉杆承重能力不少于20公斤。</w:t>
            </w:r>
          </w:p>
          <w:p w14:paraId="0E6B25E0">
            <w:pPr>
              <w:adjustRightInd w:val="0"/>
              <w:ind w:firstLine="420" w:firstLineChars="200"/>
              <w:rPr>
                <w:rFonts w:ascii="Times New Roman" w:hAnsi="Times New Roman" w:eastAsia="宋体" w:cs="Times New Roman"/>
                <w:szCs w:val="21"/>
              </w:rPr>
            </w:pPr>
            <w:r>
              <w:rPr>
                <w:rFonts w:ascii="Times New Roman" w:hAnsi="Times New Roman" w:eastAsia="宋体" w:cs="Times New Roman"/>
                <w:szCs w:val="21"/>
              </w:rPr>
              <w:t>第五，箱子应具有双排滚轮设计，确保在平坦的地面上顺畅移动，并且滚轮应具备耐磨特性。</w:t>
            </w:r>
          </w:p>
          <w:p w14:paraId="3F98B1F4">
            <w:pPr>
              <w:adjustRightInd w:val="0"/>
              <w:ind w:firstLine="420" w:firstLineChars="200"/>
              <w:rPr>
                <w:rFonts w:ascii="Times New Roman" w:hAnsi="Times New Roman" w:eastAsia="宋体" w:cs="Times New Roman"/>
                <w:szCs w:val="21"/>
              </w:rPr>
            </w:pPr>
            <w:r>
              <w:rPr>
                <w:rFonts w:ascii="Times New Roman" w:hAnsi="Times New Roman" w:eastAsia="宋体" w:cs="Times New Roman"/>
                <w:szCs w:val="21"/>
              </w:rPr>
              <w:t>第六，箱子应提供足够的空间，内部空间应满足存放至少1台便携式</w:t>
            </w:r>
            <w:r>
              <w:rPr>
                <w:rFonts w:ascii="Times New Roman" w:hAnsi="Times New Roman" w:eastAsia="宋体" w:cs="Times New Roman"/>
                <w:szCs w:val="21"/>
                <w:lang w:eastAsia="zh"/>
              </w:rPr>
              <w:t>专用主机</w:t>
            </w:r>
            <w:r>
              <w:rPr>
                <w:rFonts w:ascii="Times New Roman" w:hAnsi="Times New Roman" w:eastAsia="宋体" w:cs="Times New Roman"/>
                <w:szCs w:val="21"/>
              </w:rPr>
              <w:t>，至少1台视频采集设备及组件电源等，并且能够轻松打开和关闭，配备高强度锁具。</w:t>
            </w:r>
          </w:p>
        </w:tc>
        <w:tc>
          <w:tcPr>
            <w:tcW w:w="304" w:type="pct"/>
            <w:vAlign w:val="center"/>
          </w:tcPr>
          <w:p w14:paraId="5FEFC497">
            <w:pPr>
              <w:jc w:val="center"/>
              <w:rPr>
                <w:rFonts w:ascii="Times New Roman" w:hAnsi="Times New Roman" w:eastAsia="宋体" w:cs="Times New Roman"/>
                <w:szCs w:val="21"/>
              </w:rPr>
            </w:pPr>
            <w:r>
              <w:rPr>
                <w:rFonts w:ascii="Times New Roman" w:hAnsi="Times New Roman" w:eastAsia="宋体" w:cs="Times New Roman"/>
                <w:szCs w:val="21"/>
              </w:rPr>
              <w:t>1套</w:t>
            </w:r>
          </w:p>
        </w:tc>
      </w:tr>
      <w:tr w14:paraId="3B56F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Align w:val="center"/>
          </w:tcPr>
          <w:p w14:paraId="5168CE50">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491" w:type="pct"/>
            <w:shd w:val="clear" w:color="auto" w:fill="auto"/>
            <w:vAlign w:val="center"/>
          </w:tcPr>
          <w:p w14:paraId="3CBFBC7D">
            <w:pPr>
              <w:jc w:val="center"/>
              <w:rPr>
                <w:rFonts w:ascii="Times New Roman" w:hAnsi="Times New Roman" w:eastAsia="宋体" w:cs="Times New Roman"/>
                <w:szCs w:val="21"/>
              </w:rPr>
            </w:pPr>
            <w:r>
              <w:rPr>
                <w:rFonts w:ascii="Times New Roman" w:hAnsi="Times New Roman" w:eastAsia="宋体" w:cs="Times New Roman"/>
                <w:szCs w:val="21"/>
                <w:lang w:bidi="ar"/>
              </w:rPr>
              <w:t>视觉动态追踪系统</w:t>
            </w:r>
          </w:p>
        </w:tc>
        <w:tc>
          <w:tcPr>
            <w:tcW w:w="3930" w:type="pct"/>
            <w:vAlign w:val="center"/>
          </w:tcPr>
          <w:p w14:paraId="22AED0B1">
            <w:pPr>
              <w:adjustRightInd w:val="0"/>
              <w:ind w:firstLine="420"/>
              <w:rPr>
                <w:rFonts w:ascii="Times New Roman" w:hAnsi="Times New Roman" w:eastAsia="宋体" w:cs="Times New Roman"/>
                <w:bCs/>
                <w:szCs w:val="21"/>
              </w:rPr>
            </w:pPr>
            <w:r>
              <w:rPr>
                <w:rFonts w:ascii="Times New Roman" w:hAnsi="Times New Roman" w:eastAsia="宋体" w:cs="Times New Roman"/>
                <w:bCs/>
                <w:szCs w:val="21"/>
              </w:rPr>
              <w:t>功能要求：可以测量呈现在任何面板上的刺激，如显示器，投影，或真实物体，提供一个对被试的无干扰数据采集方案，具有但不限于便携性、兼容性等性能。</w:t>
            </w:r>
          </w:p>
          <w:p w14:paraId="2788E281">
            <w:pPr>
              <w:adjustRightInd w:val="0"/>
              <w:ind w:firstLine="420"/>
              <w:rPr>
                <w:rFonts w:ascii="Times New Roman" w:hAnsi="Times New Roman" w:eastAsia="宋体" w:cs="Times New Roman"/>
                <w:bCs/>
                <w:szCs w:val="21"/>
              </w:rPr>
            </w:pPr>
            <w:r>
              <w:rPr>
                <w:rFonts w:ascii="Times New Roman" w:hAnsi="Times New Roman" w:eastAsia="宋体" w:cs="Times New Roman"/>
                <w:bCs/>
                <w:szCs w:val="21"/>
              </w:rPr>
              <w:t>通过硬件的配置：能够为数据采集提供计算能力、图像处理能力和移动能力，保障视觉动态追踪系统正常运转。</w:t>
            </w:r>
          </w:p>
          <w:p w14:paraId="49663E49">
            <w:pPr>
              <w:adjustRightInd w:val="0"/>
              <w:ind w:firstLine="420"/>
              <w:rPr>
                <w:rFonts w:ascii="Times New Roman" w:hAnsi="Times New Roman" w:eastAsia="宋体" w:cs="Times New Roman"/>
                <w:bCs/>
                <w:szCs w:val="21"/>
                <w:lang w:eastAsia="zh"/>
              </w:rPr>
            </w:pPr>
            <w:r>
              <w:rPr>
                <w:rFonts w:ascii="Times New Roman" w:hAnsi="Times New Roman" w:eastAsia="宋体" w:cs="Times New Roman"/>
                <w:bCs/>
                <w:szCs w:val="21"/>
              </w:rPr>
              <w:t>具体包括但不限于以下功能模块：</w:t>
            </w:r>
          </w:p>
          <w:p w14:paraId="72706509">
            <w:pPr>
              <w:pStyle w:val="102"/>
              <w:ind w:left="0" w:firstLine="422" w:firstLineChars="200"/>
              <w:rPr>
                <w:b/>
                <w:bCs/>
                <w:sz w:val="21"/>
                <w:szCs w:val="21"/>
              </w:rPr>
            </w:pPr>
            <w:r>
              <w:rPr>
                <w:b/>
                <w:bCs/>
                <w:sz w:val="21"/>
                <w:szCs w:val="21"/>
              </w:rPr>
              <w:t>（1）头部穿戴式模块</w:t>
            </w:r>
          </w:p>
          <w:p w14:paraId="5CE10766">
            <w:pPr>
              <w:pStyle w:val="102"/>
              <w:ind w:left="0" w:firstLine="420" w:firstLineChars="200"/>
              <w:rPr>
                <w:sz w:val="21"/>
                <w:szCs w:val="21"/>
              </w:rPr>
            </w:pPr>
            <w:r>
              <w:rPr>
                <w:sz w:val="21"/>
                <w:szCs w:val="21"/>
              </w:rPr>
              <w:t>第一，系统应采用轻量化眼镜式设计，眼动核心部件集成于镜片中，确保佩戴舒适且不影响被试者的自然行为表现。对称式设计，兼容各类头盔和防护装备，确保在各种环境下都能正常使用。</w:t>
            </w:r>
          </w:p>
          <w:p w14:paraId="3FE5BB15">
            <w:pPr>
              <w:pStyle w:val="102"/>
              <w:ind w:left="0" w:firstLine="422" w:firstLineChars="200"/>
              <w:rPr>
                <w:sz w:val="21"/>
                <w:szCs w:val="21"/>
              </w:rPr>
            </w:pPr>
            <w:r>
              <w:rPr>
                <w:rFonts w:ascii="Segoe UI Symbol" w:hAnsi="Segoe UI Symbol" w:cs="Segoe UI Symbol"/>
                <w:b/>
                <w:bCs/>
                <w:sz w:val="21"/>
                <w:szCs w:val="21"/>
                <w:lang w:eastAsia="zh"/>
              </w:rPr>
              <w:t>★</w:t>
            </w:r>
            <w:r>
              <w:rPr>
                <w:sz w:val="21"/>
                <w:szCs w:val="21"/>
              </w:rPr>
              <w:t>第二，配备场景摄像机，要求分辨率≥1920x1080@30fps，视野范围：≥90°，确保高质量的视频录制效果。</w:t>
            </w:r>
          </w:p>
          <w:p w14:paraId="6B46E519">
            <w:pPr>
              <w:pStyle w:val="102"/>
              <w:ind w:left="0" w:firstLine="420" w:firstLineChars="200"/>
              <w:rPr>
                <w:sz w:val="21"/>
                <w:szCs w:val="21"/>
              </w:rPr>
            </w:pPr>
            <w:r>
              <w:rPr>
                <w:sz w:val="21"/>
                <w:szCs w:val="21"/>
              </w:rPr>
              <w:t>第三，追踪视角范围：水平≥80°，垂直≥60°</w:t>
            </w:r>
          </w:p>
          <w:p w14:paraId="19CFF36F">
            <w:pPr>
              <w:pStyle w:val="102"/>
              <w:ind w:left="0" w:firstLine="420" w:firstLineChars="200"/>
              <w:rPr>
                <w:sz w:val="21"/>
                <w:szCs w:val="21"/>
              </w:rPr>
            </w:pPr>
            <w:r>
              <w:rPr>
                <w:sz w:val="21"/>
                <w:szCs w:val="21"/>
              </w:rPr>
              <w:t>第四，可连接移动记录单元使用，确保设备使用的便捷性。</w:t>
            </w:r>
          </w:p>
          <w:p w14:paraId="59BAACD5">
            <w:pPr>
              <w:pStyle w:val="102"/>
              <w:ind w:left="0" w:firstLine="420" w:firstLineChars="200"/>
              <w:rPr>
                <w:sz w:val="21"/>
                <w:szCs w:val="21"/>
              </w:rPr>
            </w:pPr>
            <w:r>
              <w:rPr>
                <w:sz w:val="21"/>
                <w:szCs w:val="21"/>
              </w:rPr>
              <w:t>第五，失踪后恢复延迟小于1/60s，系统延迟小于11ms，确保数据精度。</w:t>
            </w:r>
          </w:p>
          <w:p w14:paraId="69855A77">
            <w:pPr>
              <w:pStyle w:val="102"/>
              <w:ind w:left="0" w:firstLine="420" w:firstLineChars="200"/>
              <w:rPr>
                <w:sz w:val="21"/>
                <w:szCs w:val="21"/>
              </w:rPr>
            </w:pPr>
            <w:r>
              <w:rPr>
                <w:sz w:val="21"/>
                <w:szCs w:val="21"/>
              </w:rPr>
              <w:t>第六，系统支持实时数据传输，可实现TTL、TCP/IP方式数据同步，确保数据的一致性。</w:t>
            </w:r>
          </w:p>
          <w:p w14:paraId="3BEC876F">
            <w:pPr>
              <w:pStyle w:val="102"/>
              <w:ind w:left="0" w:firstLine="422" w:firstLineChars="200"/>
              <w:rPr>
                <w:sz w:val="21"/>
                <w:szCs w:val="21"/>
              </w:rPr>
            </w:pPr>
            <w:r>
              <w:rPr>
                <w:rFonts w:ascii="Segoe UI Symbol" w:hAnsi="Segoe UI Symbol" w:cs="Segoe UI Symbol"/>
                <w:b/>
                <w:bCs/>
                <w:sz w:val="21"/>
                <w:szCs w:val="21"/>
                <w:lang w:eastAsia="zh"/>
              </w:rPr>
              <w:t>★</w:t>
            </w:r>
            <w:r>
              <w:rPr>
                <w:sz w:val="21"/>
                <w:szCs w:val="21"/>
              </w:rPr>
              <w:t>第七，采样率≥120Hz，确保数据采集的准确性和实时性。</w:t>
            </w:r>
          </w:p>
          <w:p w14:paraId="7C147EFE">
            <w:pPr>
              <w:pStyle w:val="102"/>
              <w:ind w:left="0" w:firstLine="420" w:firstLineChars="200"/>
              <w:rPr>
                <w:rFonts w:hint="eastAsia" w:ascii="宋体" w:hAnsi="宋体" w:cs="宋体"/>
                <w:sz w:val="21"/>
                <w:szCs w:val="21"/>
              </w:rPr>
            </w:pPr>
            <w:r>
              <w:rPr>
                <w:sz w:val="21"/>
                <w:szCs w:val="21"/>
              </w:rPr>
              <w:t>第八，系统采用双眼采集方式，使用暗瞳技术，实现全视域追踪，以获得更全面的眼动</w:t>
            </w:r>
            <w:r>
              <w:rPr>
                <w:rFonts w:hint="eastAsia" w:ascii="宋体" w:hAnsi="宋体" w:cs="宋体"/>
                <w:sz w:val="21"/>
                <w:szCs w:val="21"/>
              </w:rPr>
              <w:t>数据。系统具备使用现实中任意实物进行校准功能，0点、1点和3点可选；含离线校准功能，可对注视点结果进行二次校正。</w:t>
            </w:r>
          </w:p>
          <w:p w14:paraId="3958D607">
            <w:pPr>
              <w:ind w:firstLine="422" w:firstLineChars="200"/>
              <w:rPr>
                <w:rFonts w:hint="eastAsia" w:ascii="宋体" w:hAnsi="宋体" w:eastAsia="宋体" w:cs="宋体"/>
                <w:szCs w:val="21"/>
              </w:rPr>
            </w:pPr>
            <w:r>
              <w:rPr>
                <w:rFonts w:hint="eastAsia" w:ascii="宋体" w:hAnsi="宋体" w:eastAsia="宋体" w:cs="宋体"/>
                <w:b/>
                <w:bCs/>
                <w:szCs w:val="21"/>
                <w:lang w:eastAsia="zh"/>
              </w:rPr>
              <w:t>★</w:t>
            </w:r>
            <w:r>
              <w:rPr>
                <w:rFonts w:hint="eastAsia" w:ascii="宋体" w:hAnsi="宋体" w:eastAsia="宋体" w:cs="宋体"/>
                <w:szCs w:val="21"/>
              </w:rPr>
              <w:t>第九，系统提供快装式视力矫正镜片组，提供200度、300度、400度近视镜片。</w:t>
            </w:r>
          </w:p>
          <w:p w14:paraId="201798D8">
            <w:pPr>
              <w:pStyle w:val="102"/>
              <w:ind w:left="0" w:firstLine="420" w:firstLineChars="200"/>
              <w:rPr>
                <w:rFonts w:hint="eastAsia" w:ascii="宋体" w:hAnsi="宋体" w:cs="宋体"/>
                <w:sz w:val="21"/>
                <w:szCs w:val="21"/>
              </w:rPr>
            </w:pPr>
            <w:r>
              <w:rPr>
                <w:rFonts w:hint="eastAsia" w:ascii="宋体" w:hAnsi="宋体" w:cs="宋体"/>
                <w:sz w:val="21"/>
                <w:szCs w:val="21"/>
              </w:rPr>
              <w:t>第十，</w:t>
            </w:r>
            <w:r>
              <w:rPr>
                <w:sz w:val="21"/>
                <w:szCs w:val="21"/>
              </w:rPr>
              <w:t>采集软件应具备跨平台兼容性，能够</w:t>
            </w:r>
            <w:r>
              <w:rPr>
                <w:rFonts w:hint="eastAsia"/>
                <w:sz w:val="21"/>
                <w:szCs w:val="21"/>
              </w:rPr>
              <w:t>在</w:t>
            </w:r>
            <w:r>
              <w:rPr>
                <w:sz w:val="21"/>
                <w:szCs w:val="21"/>
              </w:rPr>
              <w:t>智能手机（包括但不限于苹果 iOS 系统的 iPhone 系列手机</w:t>
            </w:r>
            <w:r>
              <w:rPr>
                <w:rFonts w:hint="eastAsia"/>
                <w:sz w:val="21"/>
                <w:szCs w:val="21"/>
              </w:rPr>
              <w:t>；</w:t>
            </w:r>
            <w:r>
              <w:rPr>
                <w:sz w:val="21"/>
                <w:szCs w:val="21"/>
              </w:rPr>
              <w:t>安卓系统的华为、小米、三星、OPPO、VIVO 等品牌的机型）、平板电脑（如苹果 iPad 系列；安卓系统的华为 MatePad、小米平板、三星 Galaxy Tab 等品牌的产品，）以及个人电脑（涵盖微软 Windows 操作系统；苹果 Mac OS 系统）上稳定安装与运行，且在各平台上均能保证软件的核心功能完整可用，包括但不限于数据采集、存储、传输以及基本的用户交互操作等，并适配各平台的系统特性和硬件配置，确保运行流畅、无明显卡顿或兼容性问题</w:t>
            </w:r>
            <w:r>
              <w:rPr>
                <w:rFonts w:hint="eastAsia" w:ascii="宋体" w:hAnsi="宋体" w:cs="宋体"/>
                <w:sz w:val="21"/>
                <w:szCs w:val="21"/>
              </w:rPr>
              <w:t>，支持实时查看视线位置，方便现场观察。</w:t>
            </w:r>
          </w:p>
          <w:p w14:paraId="444F6931">
            <w:pPr>
              <w:pStyle w:val="102"/>
              <w:ind w:left="0" w:firstLine="422" w:firstLineChars="200"/>
              <w:rPr>
                <w:b/>
                <w:bCs/>
                <w:sz w:val="21"/>
                <w:szCs w:val="21"/>
              </w:rPr>
            </w:pPr>
            <w:r>
              <w:rPr>
                <w:b/>
                <w:bCs/>
                <w:sz w:val="21"/>
                <w:szCs w:val="21"/>
              </w:rPr>
              <w:t>（2）视觉动态数据分析</w:t>
            </w:r>
          </w:p>
          <w:p w14:paraId="358344A8">
            <w:pPr>
              <w:pStyle w:val="102"/>
              <w:ind w:left="0" w:firstLine="420" w:firstLineChars="200"/>
              <w:rPr>
                <w:sz w:val="21"/>
                <w:szCs w:val="21"/>
              </w:rPr>
            </w:pPr>
            <w:r>
              <w:rPr>
                <w:sz w:val="21"/>
                <w:szCs w:val="21"/>
              </w:rPr>
              <w:t>第一，实验录制之前可以通过“实时眼图”观察被试的眼睛位置是否合适；录制时即可实时查看注视点；每个录制的实验都会和被试信息绑定。</w:t>
            </w:r>
          </w:p>
          <w:p w14:paraId="07EDC24B">
            <w:pPr>
              <w:pStyle w:val="102"/>
              <w:ind w:left="0" w:firstLine="420" w:firstLineChars="200"/>
              <w:rPr>
                <w:sz w:val="21"/>
                <w:szCs w:val="21"/>
              </w:rPr>
            </w:pPr>
            <w:r>
              <w:rPr>
                <w:sz w:val="21"/>
                <w:szCs w:val="21"/>
              </w:rPr>
              <w:t>第二，原始数据格式csv，提供毫秒级时间戳、注视点、瞳孔中心位置、瞳孔直径等20项数据信息。</w:t>
            </w:r>
          </w:p>
          <w:p w14:paraId="474361E1">
            <w:pPr>
              <w:pStyle w:val="102"/>
              <w:ind w:left="0" w:firstLine="420" w:firstLineChars="200"/>
              <w:rPr>
                <w:sz w:val="21"/>
                <w:szCs w:val="21"/>
              </w:rPr>
            </w:pPr>
            <w:r>
              <w:rPr>
                <w:sz w:val="21"/>
                <w:szCs w:val="21"/>
              </w:rPr>
              <w:t>第三，AOI划分：含圆形、方形、不规则形状三种圈定方式；可为AOI命名；具备动态AOI功能，可为视频插帧、减帧，动态AOI可自动根据两帧调节大小与路径。</w:t>
            </w:r>
          </w:p>
          <w:p w14:paraId="7F0EDC23">
            <w:pPr>
              <w:pStyle w:val="102"/>
              <w:ind w:left="0" w:firstLine="420" w:firstLineChars="200"/>
              <w:rPr>
                <w:sz w:val="21"/>
                <w:szCs w:val="21"/>
              </w:rPr>
            </w:pPr>
            <w:r>
              <w:rPr>
                <w:sz w:val="21"/>
                <w:szCs w:val="21"/>
              </w:rPr>
              <w:t>第四，可将录制视频中的注视点汇总到一个感兴趣的平面中；感兴趣平面可以从录制视频中截取或导入照片；可基于映射描点的结果进行轨迹图，热图等可视化展示，及进行AOI划分及统计分析。</w:t>
            </w:r>
          </w:p>
          <w:p w14:paraId="78201E07">
            <w:pPr>
              <w:pStyle w:val="102"/>
              <w:ind w:left="0" w:firstLine="420" w:firstLineChars="200"/>
              <w:rPr>
                <w:sz w:val="21"/>
                <w:szCs w:val="21"/>
              </w:rPr>
            </w:pPr>
            <w:r>
              <w:rPr>
                <w:sz w:val="21"/>
                <w:szCs w:val="21"/>
              </w:rPr>
              <w:t>第五，通过深度学习的智能识别方法，自动识别将视频中的目标位置，并将注视点汇总到一个感兴趣的平面图中；提供自动映射描点的置信度。</w:t>
            </w:r>
          </w:p>
          <w:p w14:paraId="032CE15E">
            <w:pPr>
              <w:pStyle w:val="102"/>
              <w:ind w:left="0" w:firstLine="420" w:firstLineChars="200"/>
              <w:rPr>
                <w:sz w:val="21"/>
                <w:szCs w:val="21"/>
              </w:rPr>
            </w:pPr>
            <w:r>
              <w:rPr>
                <w:sz w:val="21"/>
                <w:szCs w:val="21"/>
              </w:rPr>
              <w:t>第六，可将经典的统计分析指标按AOI以表格及柱状图的形式表示（指标可定制）。</w:t>
            </w:r>
          </w:p>
          <w:p w14:paraId="6BCE7922">
            <w:pPr>
              <w:pStyle w:val="102"/>
              <w:ind w:left="0" w:firstLine="420" w:firstLineChars="200"/>
              <w:rPr>
                <w:sz w:val="21"/>
                <w:szCs w:val="21"/>
              </w:rPr>
            </w:pPr>
            <w:r>
              <w:rPr>
                <w:sz w:val="21"/>
                <w:szCs w:val="21"/>
              </w:rPr>
              <w:t>第七，提供SDK开发包与开发者文档，支持二次开发，支持眼动分析指标定制。</w:t>
            </w:r>
          </w:p>
          <w:p w14:paraId="6B0A1113">
            <w:pPr>
              <w:pStyle w:val="102"/>
              <w:ind w:left="0" w:firstLine="420" w:firstLineChars="200"/>
              <w:rPr>
                <w:sz w:val="21"/>
                <w:szCs w:val="21"/>
              </w:rPr>
            </w:pPr>
            <w:r>
              <w:rPr>
                <w:sz w:val="21"/>
                <w:szCs w:val="21"/>
              </w:rPr>
              <w:t>第八，软件支持对眼动仪设备的多型号、多形式兼容，可扩展支持遥测式眼动仪、VR眼动仪，降低软件学习成本；软件预留接口，可对接脑电等其他设备。</w:t>
            </w:r>
          </w:p>
          <w:p w14:paraId="7C3E0341">
            <w:pPr>
              <w:pStyle w:val="102"/>
              <w:ind w:left="0" w:firstLine="420" w:firstLineChars="200"/>
              <w:rPr>
                <w:sz w:val="21"/>
                <w:szCs w:val="21"/>
              </w:rPr>
            </w:pPr>
            <w:r>
              <w:rPr>
                <w:sz w:val="21"/>
                <w:szCs w:val="21"/>
              </w:rPr>
              <w:t>第九，认知评估模块</w:t>
            </w:r>
          </w:p>
          <w:p w14:paraId="720FD078">
            <w:pPr>
              <w:pStyle w:val="102"/>
              <w:ind w:left="0" w:firstLine="422" w:firstLineChars="200"/>
              <w:rPr>
                <w:sz w:val="21"/>
                <w:szCs w:val="21"/>
              </w:rPr>
            </w:pPr>
            <w:r>
              <w:rPr>
                <w:rFonts w:ascii="Segoe UI Symbol" w:hAnsi="Segoe UI Symbol" w:cs="Segoe UI Symbol"/>
                <w:b/>
                <w:bCs/>
                <w:sz w:val="21"/>
                <w:szCs w:val="21"/>
                <w:lang w:eastAsia="zh"/>
              </w:rPr>
              <w:t>★</w:t>
            </w:r>
            <w:r>
              <w:rPr>
                <w:sz w:val="21"/>
                <w:szCs w:val="21"/>
              </w:rPr>
              <w:t>（1）支持手指运动技能、反应时、注意警觉能力、工作记忆、视觉记忆、执行抑制控制、认知灵活性等多维度的认知能力测量；非言语类测试、基于移动端触屏的交互式任务；支持多移动终端同时在线测试，使用云平台进行多线程数据储存；</w:t>
            </w:r>
          </w:p>
          <w:p w14:paraId="63BD6F2C">
            <w:pPr>
              <w:pStyle w:val="102"/>
              <w:ind w:left="0" w:firstLine="422" w:firstLineChars="200"/>
              <w:rPr>
                <w:sz w:val="21"/>
                <w:szCs w:val="21"/>
              </w:rPr>
            </w:pPr>
            <w:r>
              <w:rPr>
                <w:rFonts w:ascii="Segoe UI Symbol" w:hAnsi="Segoe UI Symbol" w:cs="Segoe UI Symbol"/>
                <w:b/>
                <w:bCs/>
                <w:sz w:val="21"/>
                <w:szCs w:val="21"/>
                <w:lang w:eastAsia="zh"/>
              </w:rPr>
              <w:t>★</w:t>
            </w:r>
            <w:r>
              <w:rPr>
                <w:sz w:val="21"/>
                <w:szCs w:val="21"/>
              </w:rPr>
              <w:t>（2）匹配关联学习时，在屏幕上显示的盒子</w:t>
            </w:r>
            <w:r>
              <w:rPr>
                <w:sz w:val="21"/>
                <w:szCs w:val="21"/>
                <w:lang w:eastAsia="zh"/>
              </w:rPr>
              <w:t>可以</w:t>
            </w:r>
            <w:r>
              <w:rPr>
                <w:sz w:val="21"/>
                <w:szCs w:val="21"/>
              </w:rPr>
              <w:t>以随机的顺序自动打开，展现出若干图案。被试须学习将图案与其在屏幕上的位置联想起来。当所有的盒子被打开之后，每个图案都会显示在屏幕的中央，然后被试必须触摸到图案所在的盒子。如果被试判断错误，则图案会重新显现以提醒被试它们的位置所在；快速视觉信息加工任务是在屏幕中心的盒子里，个位数以100位/分钟的速度出现。被试必须监测到的一系列目标序列，并通过触摸按钮做出响应。</w:t>
            </w:r>
          </w:p>
          <w:p w14:paraId="755ED441">
            <w:pPr>
              <w:pStyle w:val="102"/>
              <w:ind w:left="0" w:firstLine="420" w:firstLineChars="200"/>
              <w:rPr>
                <w:sz w:val="21"/>
                <w:szCs w:val="21"/>
              </w:rPr>
            </w:pPr>
            <w:r>
              <w:rPr>
                <w:sz w:val="21"/>
                <w:szCs w:val="21"/>
              </w:rPr>
              <w:t>第十，脑血氧监测模块：适合特定群体和确保数据准确性</w:t>
            </w:r>
            <w:r>
              <w:rPr>
                <w:rFonts w:hint="eastAsia"/>
                <w:sz w:val="21"/>
                <w:szCs w:val="21"/>
              </w:rPr>
              <w:t>，</w:t>
            </w:r>
            <w:r>
              <w:rPr>
                <w:sz w:val="21"/>
                <w:szCs w:val="21"/>
              </w:rPr>
              <w:t>支持含氧血红蛋白、去氧血红蛋白、总血红蛋白浓度变化、脑氧饱和度，血红蛋白浓度指数THi等数据采集并支持原始数据导出用于fNIRS分析。数据支持通过蓝牙连接至PC端及安卓系统设备，便于用手机/平板等便携设备进行持续监测。光源：双波长，波长分别处于830nm至850nm之间、750nm至770nm之间。fNIRS数据通道数≥2。</w:t>
            </w:r>
          </w:p>
          <w:p w14:paraId="5201C9AF">
            <w:pPr>
              <w:adjustRightInd w:val="0"/>
              <w:ind w:firstLine="422" w:firstLineChars="200"/>
              <w:rPr>
                <w:rFonts w:ascii="Times New Roman" w:hAnsi="Times New Roman" w:eastAsia="宋体" w:cs="Times New Roman"/>
                <w:szCs w:val="21"/>
              </w:rPr>
            </w:pPr>
            <w:r>
              <w:rPr>
                <w:rFonts w:ascii="Times New Roman" w:hAnsi="Times New Roman" w:eastAsia="宋体" w:cs="Times New Roman"/>
                <w:b/>
                <w:szCs w:val="21"/>
              </w:rPr>
              <w:t>需要配备以下相关组件（包括但不限于）：</w:t>
            </w:r>
          </w:p>
          <w:p w14:paraId="29A31305">
            <w:pPr>
              <w:ind w:firstLine="420"/>
              <w:rPr>
                <w:rFonts w:ascii="Times New Roman" w:hAnsi="Times New Roman" w:eastAsia="宋体" w:cs="Times New Roman"/>
                <w:b/>
                <w:bCs/>
                <w:szCs w:val="21"/>
              </w:rPr>
            </w:pPr>
            <w:r>
              <w:rPr>
                <w:rFonts w:ascii="Times New Roman" w:hAnsi="Times New Roman" w:eastAsia="宋体" w:cs="Times New Roman"/>
                <w:b/>
                <w:bCs/>
                <w:szCs w:val="21"/>
              </w:rPr>
              <w:t>（1）便携式专用主机（1台）</w:t>
            </w:r>
          </w:p>
          <w:p w14:paraId="701D757D">
            <w:pPr>
              <w:ind w:firstLine="420"/>
              <w:rPr>
                <w:rFonts w:ascii="Times New Roman" w:hAnsi="Times New Roman" w:eastAsia="宋体" w:cs="Times New Roman"/>
                <w:szCs w:val="21"/>
              </w:rPr>
            </w:pPr>
            <w:r>
              <w:rPr>
                <w:rFonts w:ascii="Times New Roman" w:hAnsi="Times New Roman" w:eastAsia="宋体" w:cs="Times New Roman"/>
                <w:szCs w:val="21"/>
              </w:rPr>
              <w:t>支持正版Windows 10及以上版本、Linux（Ubuntu、CentOS等）或国产操作系统，处理器Intel i7 13600H及以上，内存≥16G，显卡Nivdia独立显卡3060及以上，屏幕刷新率≥120Hz，分辨率≥2560*1600，显示屏尺寸≥14英寸。</w:t>
            </w:r>
          </w:p>
        </w:tc>
        <w:tc>
          <w:tcPr>
            <w:tcW w:w="304" w:type="pct"/>
            <w:vAlign w:val="center"/>
          </w:tcPr>
          <w:p w14:paraId="353131F9">
            <w:pPr>
              <w:jc w:val="center"/>
              <w:rPr>
                <w:rFonts w:ascii="Times New Roman" w:hAnsi="Times New Roman" w:eastAsia="宋体" w:cs="Times New Roman"/>
                <w:szCs w:val="21"/>
              </w:rPr>
            </w:pPr>
            <w:r>
              <w:rPr>
                <w:rFonts w:ascii="Times New Roman" w:hAnsi="Times New Roman" w:eastAsia="宋体" w:cs="Times New Roman"/>
                <w:szCs w:val="21"/>
              </w:rPr>
              <w:t>1套</w:t>
            </w:r>
          </w:p>
        </w:tc>
      </w:tr>
      <w:tr w14:paraId="47719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Align w:val="center"/>
          </w:tcPr>
          <w:p w14:paraId="1254308B">
            <w:pPr>
              <w:jc w:val="center"/>
              <w:rPr>
                <w:rFonts w:ascii="Times New Roman" w:hAnsi="Times New Roman" w:eastAsia="宋体" w:cs="Times New Roman"/>
                <w:szCs w:val="21"/>
              </w:rPr>
            </w:pPr>
            <w:r>
              <w:rPr>
                <w:rFonts w:ascii="Times New Roman" w:hAnsi="Times New Roman" w:eastAsia="宋体" w:cs="Times New Roman"/>
                <w:szCs w:val="21"/>
              </w:rPr>
              <w:t>4</w:t>
            </w:r>
          </w:p>
        </w:tc>
        <w:tc>
          <w:tcPr>
            <w:tcW w:w="491" w:type="pct"/>
            <w:shd w:val="clear" w:color="auto" w:fill="auto"/>
            <w:vAlign w:val="center"/>
          </w:tcPr>
          <w:p w14:paraId="42D6FFC4">
            <w:pPr>
              <w:jc w:val="center"/>
              <w:rPr>
                <w:rFonts w:ascii="Times New Roman" w:hAnsi="Times New Roman" w:eastAsia="宋体" w:cs="Times New Roman"/>
                <w:szCs w:val="21"/>
              </w:rPr>
            </w:pPr>
            <w:r>
              <w:rPr>
                <w:rFonts w:ascii="Times New Roman" w:hAnsi="Times New Roman" w:eastAsia="宋体" w:cs="Times New Roman"/>
                <w:szCs w:val="21"/>
                <w:lang w:bidi="ar"/>
              </w:rPr>
              <w:t>遥测式生理信号采集分析系统</w:t>
            </w:r>
          </w:p>
        </w:tc>
        <w:tc>
          <w:tcPr>
            <w:tcW w:w="3930" w:type="pct"/>
            <w:vAlign w:val="center"/>
          </w:tcPr>
          <w:p w14:paraId="4D1ECFAE">
            <w:pPr>
              <w:adjustRightInd w:val="0"/>
              <w:ind w:firstLine="420"/>
              <w:rPr>
                <w:rFonts w:ascii="Times New Roman" w:hAnsi="Times New Roman" w:eastAsia="宋体" w:cs="Times New Roman"/>
                <w:spacing w:val="4"/>
                <w:szCs w:val="21"/>
                <w:shd w:val="clear" w:color="auto" w:fill="FFFFFF"/>
              </w:rPr>
            </w:pPr>
            <w:r>
              <w:rPr>
                <w:rFonts w:ascii="Times New Roman" w:hAnsi="Times New Roman" w:eastAsia="宋体" w:cs="Times New Roman"/>
                <w:spacing w:val="4"/>
                <w:szCs w:val="21"/>
                <w:shd w:val="clear" w:color="auto" w:fill="FFFFFF"/>
              </w:rPr>
              <w:t>功能要求：可以支持采集并分析感知觉、注意、工作记忆、决策过程、社会认知、情绪与认知等各种心理过程及其脑机制，具有但不限于数据采集、数据分析、数据网络储存等功能。</w:t>
            </w:r>
          </w:p>
          <w:p w14:paraId="32121902">
            <w:pPr>
              <w:adjustRightInd w:val="0"/>
              <w:ind w:firstLine="420"/>
              <w:rPr>
                <w:rFonts w:ascii="Times New Roman" w:hAnsi="Times New Roman" w:eastAsia="宋体" w:cs="Times New Roman"/>
                <w:spacing w:val="4"/>
                <w:szCs w:val="21"/>
                <w:shd w:val="clear" w:color="auto" w:fill="FFFFFF"/>
              </w:rPr>
            </w:pPr>
            <w:r>
              <w:rPr>
                <w:rFonts w:ascii="Times New Roman" w:hAnsi="Times New Roman" w:eastAsia="宋体" w:cs="Times New Roman"/>
                <w:spacing w:val="4"/>
                <w:szCs w:val="21"/>
                <w:shd w:val="clear" w:color="auto" w:fill="FFFFFF"/>
              </w:rPr>
              <w:t>通过硬件的配置：能够提供必要的计算能力、图形处理能力、系统兼容性、可扩展性、专业软件支持、数据安全性、长期稳定运行和复杂计算支持，确保遥测式生理信号采集分析系统正常运转。</w:t>
            </w:r>
          </w:p>
          <w:p w14:paraId="7B56308C">
            <w:pPr>
              <w:adjustRightInd w:val="0"/>
              <w:ind w:firstLine="420"/>
              <w:rPr>
                <w:rFonts w:ascii="Times New Roman" w:hAnsi="Times New Roman" w:eastAsia="宋体" w:cs="Times New Roman"/>
                <w:spacing w:val="4"/>
                <w:szCs w:val="21"/>
                <w:shd w:val="clear" w:color="auto" w:fill="FFFFFF"/>
              </w:rPr>
            </w:pPr>
            <w:r>
              <w:rPr>
                <w:rFonts w:ascii="Times New Roman" w:hAnsi="Times New Roman" w:eastAsia="宋体" w:cs="Times New Roman"/>
                <w:spacing w:val="4"/>
                <w:szCs w:val="21"/>
                <w:shd w:val="clear" w:color="auto" w:fill="FFFFFF"/>
              </w:rPr>
              <w:t>具体包括但不限于以下功能模块：</w:t>
            </w:r>
          </w:p>
          <w:p w14:paraId="34916E5C">
            <w:pPr>
              <w:adjustRightInd w:val="0"/>
              <w:ind w:firstLine="420"/>
              <w:rPr>
                <w:rFonts w:ascii="Times New Roman" w:hAnsi="Times New Roman" w:eastAsia="宋体" w:cs="Times New Roman"/>
                <w:b/>
                <w:bCs/>
                <w:spacing w:val="4"/>
                <w:szCs w:val="21"/>
                <w:shd w:val="clear" w:color="auto" w:fill="FFFFFF"/>
                <w:lang w:eastAsia="zh"/>
              </w:rPr>
            </w:pPr>
            <w:r>
              <w:rPr>
                <w:rFonts w:ascii="Times New Roman" w:hAnsi="Times New Roman" w:eastAsia="宋体" w:cs="Times New Roman"/>
                <w:b/>
                <w:bCs/>
                <w:spacing w:val="4"/>
                <w:szCs w:val="21"/>
                <w:shd w:val="clear" w:color="auto" w:fill="FFFFFF"/>
                <w:lang w:eastAsia="zh"/>
              </w:rPr>
              <w:t>（1）生理信号采集分析系统主机</w:t>
            </w:r>
          </w:p>
          <w:p w14:paraId="4A4390DE">
            <w:pPr>
              <w:adjustRightInd w:val="0"/>
              <w:ind w:firstLine="420"/>
              <w:rPr>
                <w:rFonts w:ascii="Times New Roman" w:hAnsi="Times New Roman" w:eastAsia="宋体" w:cs="Times New Roman"/>
                <w:spacing w:val="4"/>
                <w:szCs w:val="21"/>
                <w:shd w:val="clear" w:color="auto" w:fill="FFFFFF"/>
                <w:lang w:eastAsia="zh"/>
              </w:rPr>
            </w:pPr>
            <w:r>
              <w:rPr>
                <w:rFonts w:ascii="Times New Roman" w:hAnsi="Times New Roman" w:eastAsia="宋体" w:cs="Times New Roman"/>
                <w:spacing w:val="4"/>
                <w:szCs w:val="21"/>
                <w:shd w:val="clear" w:color="auto" w:fill="FFFFFF"/>
                <w:lang w:eastAsia="zh"/>
              </w:rPr>
              <w:t>生理信号采集分析系统主机是整个系统的中心设备，用于连接各种生物传感器，实现对人体多导生理信号的同步采集。首先，系统应支持多种生理信号的采集，包括肌电图（EMG）、心电图（ECG）、呼吸信号、皮肤电响应（GSR）等。其次，主机应内置高分辨率ADC（模数转换器），可以将采集到的模拟信号转换为数字信号，以确保数据的高精度和稳定性。再次，系统应支持在线监测、存储并分析生理信号，可以实现参数提取、统计分析等功能。此外，主机应具备数据同步功能，可以与行为观察分析系统、面部表情系统实时同步采集。</w:t>
            </w:r>
          </w:p>
          <w:p w14:paraId="1D197F80">
            <w:pPr>
              <w:adjustRightInd w:val="0"/>
              <w:ind w:firstLine="420"/>
              <w:rPr>
                <w:rFonts w:ascii="Times New Roman" w:hAnsi="Times New Roman" w:eastAsia="宋体" w:cs="Times New Roman"/>
                <w:b/>
                <w:bCs/>
                <w:spacing w:val="4"/>
                <w:szCs w:val="21"/>
                <w:shd w:val="clear" w:color="auto" w:fill="FFFFFF"/>
                <w:lang w:eastAsia="zh"/>
              </w:rPr>
            </w:pPr>
            <w:r>
              <w:rPr>
                <w:rFonts w:ascii="Times New Roman" w:hAnsi="Times New Roman" w:eastAsia="宋体" w:cs="Times New Roman"/>
                <w:spacing w:val="4"/>
                <w:szCs w:val="21"/>
                <w:shd w:val="clear" w:color="auto" w:fill="FFFFFF"/>
                <w:lang w:eastAsia="zh"/>
              </w:rPr>
              <w:t>▲</w:t>
            </w:r>
            <w:r>
              <w:rPr>
                <w:rFonts w:ascii="Times New Roman" w:hAnsi="Times New Roman" w:eastAsia="宋体" w:cs="Times New Roman"/>
                <w:b/>
                <w:bCs/>
                <w:spacing w:val="4"/>
                <w:szCs w:val="21"/>
                <w:shd w:val="clear" w:color="auto" w:fill="FFFFFF"/>
                <w:lang w:eastAsia="zh"/>
              </w:rPr>
              <w:t>分析系统主机</w:t>
            </w:r>
            <w:r>
              <w:rPr>
                <w:rFonts w:ascii="Times New Roman" w:hAnsi="Times New Roman" w:eastAsia="宋体" w:cs="Times New Roman"/>
                <w:spacing w:val="4"/>
                <w:szCs w:val="21"/>
                <w:shd w:val="clear" w:color="auto" w:fill="FFFFFF"/>
                <w:lang w:eastAsia="zh"/>
              </w:rPr>
              <w:t>要求至少16个通道用于模拟信号输入和至少2个通道用于模拟信号输出，拥有不低于16位的A/D分辨率，采样率：≥400KHZ，主机系统可扩展到64通道 ，适合多种应用场景与精准操作。主机与各种放大器采用直接插拔方式连接，无需连接电缆。可以根据实验需求选配不同放大器，功能可后续扩展；</w:t>
            </w:r>
          </w:p>
          <w:p w14:paraId="763D05B9">
            <w:pPr>
              <w:adjustRightInd w:val="0"/>
              <w:ind w:firstLine="420"/>
              <w:rPr>
                <w:rFonts w:ascii="Times New Roman" w:hAnsi="Times New Roman" w:eastAsia="宋体" w:cs="Times New Roman"/>
                <w:b/>
                <w:bCs/>
                <w:spacing w:val="4"/>
                <w:szCs w:val="21"/>
                <w:shd w:val="clear" w:color="auto" w:fill="FFFFFF"/>
                <w:lang w:eastAsia="zh"/>
              </w:rPr>
            </w:pPr>
            <w:r>
              <w:rPr>
                <w:rFonts w:ascii="Times New Roman" w:hAnsi="Times New Roman" w:eastAsia="宋体" w:cs="Times New Roman"/>
                <w:b/>
                <w:bCs/>
                <w:spacing w:val="4"/>
                <w:szCs w:val="21"/>
                <w:shd w:val="clear" w:color="auto" w:fill="FFFFFF"/>
                <w:lang w:eastAsia="zh"/>
              </w:rPr>
              <w:t>（2）无线双通道肌电采集通道</w:t>
            </w:r>
          </w:p>
          <w:p w14:paraId="1E117B34">
            <w:pPr>
              <w:adjustRightInd w:val="0"/>
              <w:ind w:firstLine="420"/>
              <w:rPr>
                <w:rFonts w:ascii="Times New Roman" w:hAnsi="Times New Roman" w:eastAsia="宋体" w:cs="Times New Roman"/>
                <w:spacing w:val="4"/>
                <w:szCs w:val="21"/>
                <w:shd w:val="clear" w:color="auto" w:fill="FFFFFF"/>
                <w:lang w:eastAsia="zh"/>
              </w:rPr>
            </w:pPr>
            <w:r>
              <w:rPr>
                <w:rFonts w:ascii="Times New Roman" w:hAnsi="Times New Roman" w:eastAsia="宋体" w:cs="Times New Roman"/>
                <w:spacing w:val="4"/>
                <w:szCs w:val="21"/>
                <w:shd w:val="clear" w:color="auto" w:fill="FFFFFF"/>
                <w:lang w:eastAsia="zh"/>
              </w:rPr>
              <w:t>无线双通道肌电采集通道用于采集肌肉活动产生的电信号（EMG），该采集通道应支持至少两个通道的同步采集，确保可以同时记录不同部位的肌电信号。采集通道应采用无线设计，减轻被试者的负担，并且不会影响其自然行为表现。采集通道还应具备高灵敏度和抗干扰能力，从而确保数据的质量。采集通道应支持实时数据传输，并且内置3.5mm TTL同步接口，可实现TTL、TCP/IP和NTP方式的数据同步（包含但不限于）。</w:t>
            </w:r>
          </w:p>
          <w:p w14:paraId="1FB02A12">
            <w:pPr>
              <w:adjustRightInd w:val="0"/>
              <w:ind w:firstLine="420"/>
              <w:rPr>
                <w:rFonts w:ascii="Times New Roman" w:hAnsi="Times New Roman" w:eastAsia="宋体" w:cs="Times New Roman"/>
                <w:b/>
                <w:bCs/>
                <w:spacing w:val="4"/>
                <w:szCs w:val="21"/>
                <w:shd w:val="clear" w:color="auto" w:fill="FFFFFF"/>
                <w:lang w:eastAsia="zh"/>
              </w:rPr>
            </w:pPr>
            <w:r>
              <w:rPr>
                <w:rFonts w:ascii="Times New Roman" w:hAnsi="Times New Roman" w:eastAsia="宋体" w:cs="Times New Roman"/>
                <w:b/>
                <w:bCs/>
                <w:spacing w:val="4"/>
                <w:szCs w:val="21"/>
                <w:shd w:val="clear" w:color="auto" w:fill="FFFFFF"/>
                <w:lang w:eastAsia="zh"/>
              </w:rPr>
              <w:t>（3）无线呼吸与心电采集通道</w:t>
            </w:r>
          </w:p>
          <w:p w14:paraId="444AC683">
            <w:pPr>
              <w:adjustRightInd w:val="0"/>
              <w:ind w:firstLine="420"/>
              <w:rPr>
                <w:rFonts w:ascii="Times New Roman" w:hAnsi="Times New Roman" w:eastAsia="宋体" w:cs="Times New Roman"/>
                <w:spacing w:val="4"/>
                <w:szCs w:val="21"/>
                <w:shd w:val="clear" w:color="auto" w:fill="FFFFFF"/>
                <w:lang w:eastAsia="zh"/>
              </w:rPr>
            </w:pPr>
            <w:r>
              <w:rPr>
                <w:rFonts w:ascii="Times New Roman" w:hAnsi="Times New Roman" w:eastAsia="宋体" w:cs="Times New Roman"/>
                <w:spacing w:val="4"/>
                <w:szCs w:val="21"/>
                <w:shd w:val="clear" w:color="auto" w:fill="FFFFFF"/>
                <w:lang w:eastAsia="zh"/>
              </w:rPr>
              <w:t>无线呼吸与心电采集通道用于同步采集呼吸信号和心电图（ECG），该采集通道应支持同时记录呼吸频率和心脏活动，为研究提供全面的生理指标。采集通道应采用无线设计，便于在不同场景下进行测试。采集通道应具备高精度和稳定性，确保数据的可靠性和一致性。采集通道应支持实时数据传输，内置3.5mm TTL同步接口，可实现TTL、TCP/IP和NTP方式的数据同步（包含但不限于）。</w:t>
            </w:r>
          </w:p>
          <w:p w14:paraId="03AE5E7E">
            <w:pPr>
              <w:adjustRightInd w:val="0"/>
              <w:ind w:firstLine="420"/>
              <w:rPr>
                <w:rFonts w:ascii="Times New Roman" w:hAnsi="Times New Roman" w:eastAsia="宋体" w:cs="Times New Roman"/>
                <w:b/>
                <w:bCs/>
                <w:spacing w:val="4"/>
                <w:szCs w:val="21"/>
                <w:shd w:val="clear" w:color="auto" w:fill="FFFFFF"/>
                <w:lang w:eastAsia="zh"/>
              </w:rPr>
            </w:pPr>
            <w:r>
              <w:rPr>
                <w:rFonts w:ascii="Times New Roman" w:hAnsi="Times New Roman" w:eastAsia="宋体" w:cs="Times New Roman"/>
                <w:b/>
                <w:bCs/>
                <w:spacing w:val="4"/>
                <w:szCs w:val="21"/>
                <w:shd w:val="clear" w:color="auto" w:fill="FFFFFF"/>
                <w:lang w:eastAsia="zh"/>
              </w:rPr>
              <w:t>（4）无线脉搏与皮电采集通道</w:t>
            </w:r>
          </w:p>
          <w:p w14:paraId="536BC583">
            <w:pPr>
              <w:adjustRightInd w:val="0"/>
              <w:ind w:firstLine="420"/>
              <w:rPr>
                <w:rFonts w:ascii="Times New Roman" w:hAnsi="Times New Roman" w:eastAsia="宋体" w:cs="Times New Roman"/>
                <w:spacing w:val="4"/>
                <w:szCs w:val="21"/>
                <w:shd w:val="clear" w:color="auto" w:fill="FFFFFF"/>
                <w:lang w:eastAsia="zh"/>
              </w:rPr>
            </w:pPr>
            <w:r>
              <w:rPr>
                <w:rFonts w:ascii="Times New Roman" w:hAnsi="Times New Roman" w:eastAsia="宋体" w:cs="Times New Roman"/>
                <w:spacing w:val="4"/>
                <w:szCs w:val="21"/>
                <w:shd w:val="clear" w:color="auto" w:fill="FFFFFF"/>
                <w:lang w:eastAsia="zh"/>
              </w:rPr>
              <w:t>无线脉搏与皮电采集通道用于同步采集脉搏信号和皮肤电响应（GSR），该采集通道应支持两个通道的同步采集，确保可以同时记录脉搏和皮肤电活动。采集通道应采用无线设计，方便在各种环境中使用。采集通道应具备高灵敏度和抗干扰能力，确保数据的准确性和稳定性。采集通道应支持实时数据传输，并且内置3.5mm TTL同步接口，可实现TTL、TCP/IP和NTP方式的数据同步（包含但不限于）。</w:t>
            </w:r>
          </w:p>
          <w:p w14:paraId="68852634">
            <w:pPr>
              <w:adjustRightInd w:val="0"/>
              <w:ind w:firstLine="420"/>
              <w:rPr>
                <w:rFonts w:ascii="Times New Roman" w:hAnsi="Times New Roman" w:eastAsia="宋体" w:cs="Times New Roman"/>
                <w:b/>
                <w:bCs/>
                <w:spacing w:val="4"/>
                <w:szCs w:val="21"/>
                <w:shd w:val="clear" w:color="auto" w:fill="FFFFFF"/>
              </w:rPr>
            </w:pPr>
            <w:r>
              <w:rPr>
                <w:rFonts w:ascii="Times New Roman" w:hAnsi="Times New Roman" w:eastAsia="宋体" w:cs="Times New Roman"/>
                <w:b/>
                <w:bCs/>
                <w:spacing w:val="4"/>
                <w:szCs w:val="21"/>
                <w:shd w:val="clear" w:color="auto" w:fill="FFFFFF"/>
                <w:lang w:eastAsia="zh"/>
              </w:rPr>
              <w:t>（5）生理信号采集分析</w:t>
            </w:r>
          </w:p>
          <w:p w14:paraId="57177D25">
            <w:pPr>
              <w:adjustRightInd w:val="0"/>
              <w:ind w:firstLine="420"/>
              <w:rPr>
                <w:rFonts w:ascii="Times New Roman" w:hAnsi="Times New Roman" w:eastAsia="宋体" w:cs="Times New Roman"/>
                <w:spacing w:val="4"/>
                <w:szCs w:val="21"/>
                <w:shd w:val="clear" w:color="auto" w:fill="FFFFFF"/>
                <w:lang w:eastAsia="zh"/>
              </w:rPr>
            </w:pPr>
            <w:r>
              <w:rPr>
                <w:rFonts w:ascii="Times New Roman" w:hAnsi="Times New Roman" w:eastAsia="宋体" w:cs="Times New Roman"/>
                <w:spacing w:val="4"/>
                <w:szCs w:val="21"/>
                <w:shd w:val="clear" w:color="auto" w:fill="FFFFFF"/>
                <w:lang w:eastAsia="zh"/>
              </w:rPr>
              <w:t>生理信号采集分析软件是用于处理和分析采集到的生理信号的专业软件，软件应支持多种生理信号的实时监测，并且可以在线存储生理信号数据。软件应具备强大的分析工具，支持参数提取、统计分析等功能，包括计算dp/dt（时间变化率）、最大值、最小值、平均值、峰值、心率、斜率、微分、积分、指数运算、对数运算、傅立叶变换、面积、偏差、标准差、绝对值、三角函数、曲线平滑、直方图等复杂运算。软件应支持至少60个通道显示，可选择外触发或内触发，以适应不同的实验设计需求。软件应支持输出多种文件格式，可将数据结果导出进行进一步的统计计算。</w:t>
            </w:r>
          </w:p>
          <w:p w14:paraId="3B28CFA1">
            <w:pPr>
              <w:adjustRightInd w:val="0"/>
              <w:ind w:firstLine="420"/>
              <w:rPr>
                <w:rFonts w:ascii="Times New Roman" w:hAnsi="Times New Roman" w:eastAsia="宋体" w:cs="Times New Roman"/>
                <w:b/>
                <w:bCs/>
                <w:spacing w:val="4"/>
                <w:szCs w:val="21"/>
                <w:shd w:val="clear" w:color="auto" w:fill="FFFFFF"/>
                <w:lang w:eastAsia="zh"/>
              </w:rPr>
            </w:pPr>
            <w:r>
              <w:rPr>
                <w:rFonts w:ascii="Times New Roman" w:hAnsi="Times New Roman" w:eastAsia="宋体" w:cs="Times New Roman"/>
                <w:b/>
                <w:bCs/>
                <w:spacing w:val="4"/>
                <w:szCs w:val="21"/>
                <w:shd w:val="clear" w:color="auto" w:fill="FFFFFF"/>
                <w:lang w:eastAsia="zh"/>
              </w:rPr>
              <w:t>（6）同步脑电模块</w:t>
            </w:r>
          </w:p>
          <w:p w14:paraId="27B22F81">
            <w:pPr>
              <w:adjustRightInd w:val="0"/>
              <w:ind w:firstLine="420"/>
              <w:rPr>
                <w:rFonts w:ascii="Times New Roman" w:hAnsi="Times New Roman" w:eastAsia="宋体" w:cs="Times New Roman"/>
                <w:spacing w:val="4"/>
                <w:szCs w:val="21"/>
                <w:shd w:val="clear" w:color="auto" w:fill="FFFFFF"/>
                <w:lang w:eastAsia="zh"/>
              </w:rPr>
            </w:pPr>
            <w:r>
              <w:rPr>
                <w:rFonts w:ascii="Times New Roman" w:hAnsi="Times New Roman" w:eastAsia="宋体" w:cs="Times New Roman"/>
                <w:spacing w:val="4"/>
                <w:szCs w:val="21"/>
                <w:shd w:val="clear" w:color="auto" w:fill="FFFFFF"/>
                <w:lang w:eastAsia="zh"/>
              </w:rPr>
              <w:t>▲1)脑电导联数≥32，双极导联数≥4，采样率≥4000Hz，最高升级通道≥128；</w:t>
            </w:r>
          </w:p>
          <w:p w14:paraId="79D51D6F">
            <w:pPr>
              <w:adjustRightInd w:val="0"/>
              <w:ind w:firstLine="420"/>
              <w:rPr>
                <w:rFonts w:ascii="Times New Roman" w:hAnsi="Times New Roman" w:eastAsia="宋体" w:cs="Times New Roman"/>
                <w:spacing w:val="4"/>
                <w:szCs w:val="21"/>
                <w:shd w:val="clear" w:color="auto" w:fill="FFFFFF"/>
                <w:lang w:eastAsia="zh"/>
              </w:rPr>
            </w:pPr>
            <w:r>
              <w:rPr>
                <w:rFonts w:ascii="Times New Roman" w:hAnsi="Times New Roman" w:eastAsia="宋体" w:cs="Times New Roman"/>
                <w:spacing w:val="4"/>
                <w:szCs w:val="21"/>
                <w:shd w:val="clear" w:color="auto" w:fill="FFFFFF"/>
                <w:lang w:eastAsia="zh"/>
              </w:rPr>
              <w:t>2)输入噪声≤2 μVpp；</w:t>
            </w:r>
          </w:p>
          <w:p w14:paraId="7FD726A7">
            <w:pPr>
              <w:adjustRightInd w:val="0"/>
              <w:ind w:firstLine="420"/>
              <w:rPr>
                <w:rFonts w:ascii="Times New Roman" w:hAnsi="Times New Roman" w:eastAsia="宋体" w:cs="Times New Roman"/>
                <w:spacing w:val="4"/>
                <w:szCs w:val="21"/>
                <w:shd w:val="clear" w:color="auto" w:fill="FFFFFF"/>
                <w:lang w:eastAsia="zh"/>
              </w:rPr>
            </w:pPr>
            <w:r>
              <w:rPr>
                <w:rFonts w:ascii="Segoe UI Symbol" w:hAnsi="Segoe UI Symbol" w:eastAsia="宋体" w:cs="Segoe UI Symbol"/>
                <w:spacing w:val="4"/>
                <w:szCs w:val="21"/>
                <w:shd w:val="clear" w:color="auto" w:fill="FFFFFF"/>
                <w:lang w:eastAsia="zh"/>
              </w:rPr>
              <w:t>★</w:t>
            </w:r>
            <w:r>
              <w:rPr>
                <w:rFonts w:ascii="Times New Roman" w:hAnsi="Times New Roman" w:eastAsia="宋体" w:cs="Times New Roman"/>
                <w:spacing w:val="4"/>
                <w:szCs w:val="21"/>
                <w:shd w:val="clear" w:color="auto" w:fill="FFFFFF"/>
                <w:lang w:eastAsia="zh"/>
              </w:rPr>
              <w:t>3)最大输入范围≥3000mVpp；</w:t>
            </w:r>
          </w:p>
          <w:p w14:paraId="7BF2D444">
            <w:pPr>
              <w:adjustRightInd w:val="0"/>
              <w:ind w:firstLine="420"/>
              <w:rPr>
                <w:rFonts w:ascii="Times New Roman" w:hAnsi="Times New Roman" w:eastAsia="宋体" w:cs="Times New Roman"/>
                <w:spacing w:val="4"/>
                <w:szCs w:val="21"/>
                <w:shd w:val="clear" w:color="auto" w:fill="FFFFFF"/>
                <w:lang w:eastAsia="zh"/>
              </w:rPr>
            </w:pPr>
            <w:r>
              <w:rPr>
                <w:rFonts w:ascii="Times New Roman" w:hAnsi="Times New Roman" w:eastAsia="宋体" w:cs="Times New Roman"/>
                <w:spacing w:val="4"/>
                <w:szCs w:val="21"/>
                <w:shd w:val="clear" w:color="auto" w:fill="FFFFFF"/>
                <w:lang w:eastAsia="zh"/>
              </w:rPr>
              <w:t>4)共模抑制比≥100dB；</w:t>
            </w:r>
          </w:p>
          <w:p w14:paraId="2DC641CB">
            <w:pPr>
              <w:adjustRightInd w:val="0"/>
              <w:ind w:firstLine="420"/>
              <w:rPr>
                <w:rFonts w:ascii="Times New Roman" w:hAnsi="Times New Roman" w:eastAsia="宋体" w:cs="Times New Roman"/>
                <w:spacing w:val="4"/>
                <w:szCs w:val="21"/>
                <w:shd w:val="clear" w:color="auto" w:fill="FFFFFF"/>
                <w:lang w:eastAsia="zh"/>
              </w:rPr>
            </w:pPr>
            <w:r>
              <w:rPr>
                <w:rFonts w:ascii="Times New Roman" w:hAnsi="Times New Roman" w:eastAsia="宋体" w:cs="Times New Roman"/>
                <w:spacing w:val="4"/>
                <w:szCs w:val="21"/>
                <w:shd w:val="clear" w:color="auto" w:fill="FFFFFF"/>
                <w:lang w:eastAsia="zh"/>
              </w:rPr>
              <w:t>5)A/D转换≥24bit；</w:t>
            </w:r>
          </w:p>
          <w:p w14:paraId="29D6E3C9">
            <w:pPr>
              <w:adjustRightInd w:val="0"/>
              <w:ind w:firstLine="420"/>
              <w:rPr>
                <w:rFonts w:ascii="Times New Roman" w:hAnsi="Times New Roman" w:eastAsia="宋体" w:cs="Times New Roman"/>
                <w:spacing w:val="4"/>
                <w:szCs w:val="21"/>
                <w:shd w:val="clear" w:color="auto" w:fill="FFFFFF"/>
                <w:lang w:eastAsia="zh"/>
              </w:rPr>
            </w:pPr>
            <w:r>
              <w:rPr>
                <w:rFonts w:ascii="Times New Roman" w:hAnsi="Times New Roman" w:eastAsia="宋体" w:cs="Times New Roman"/>
                <w:spacing w:val="4"/>
                <w:szCs w:val="21"/>
                <w:shd w:val="clear" w:color="auto" w:fill="FFFFFF"/>
                <w:lang w:eastAsia="zh"/>
              </w:rPr>
              <w:t>6)数据传输兼容wifi、有线模式、支持SD卡存储脑电数据；</w:t>
            </w:r>
          </w:p>
          <w:p w14:paraId="33ED6419">
            <w:pPr>
              <w:adjustRightInd w:val="0"/>
              <w:ind w:firstLine="420"/>
              <w:rPr>
                <w:rFonts w:ascii="Times New Roman" w:hAnsi="Times New Roman" w:eastAsia="宋体" w:cs="Times New Roman"/>
                <w:spacing w:val="4"/>
                <w:szCs w:val="21"/>
                <w:shd w:val="clear" w:color="auto" w:fill="FFFFFF"/>
                <w:lang w:eastAsia="zh"/>
              </w:rPr>
            </w:pPr>
            <w:r>
              <w:rPr>
                <w:rFonts w:ascii="Times New Roman" w:hAnsi="Times New Roman" w:eastAsia="宋体" w:cs="Times New Roman"/>
                <w:spacing w:val="4"/>
                <w:szCs w:val="21"/>
                <w:shd w:val="clear" w:color="auto" w:fill="FFFFFF"/>
                <w:lang w:eastAsia="zh"/>
              </w:rPr>
              <w:t>7)可具备wifi 2.4GHz和5GHz两个频段；</w:t>
            </w:r>
          </w:p>
          <w:p w14:paraId="3525D0E6">
            <w:pPr>
              <w:adjustRightInd w:val="0"/>
              <w:ind w:firstLine="420"/>
              <w:rPr>
                <w:rFonts w:ascii="Times New Roman" w:hAnsi="Times New Roman" w:eastAsia="宋体" w:cs="Times New Roman"/>
                <w:spacing w:val="4"/>
                <w:szCs w:val="21"/>
                <w:shd w:val="clear" w:color="auto" w:fill="FFFFFF"/>
                <w:lang w:eastAsia="zh"/>
              </w:rPr>
            </w:pPr>
            <w:r>
              <w:rPr>
                <w:rFonts w:ascii="Segoe UI Symbol" w:hAnsi="Segoe UI Symbol" w:eastAsia="宋体" w:cs="Segoe UI Symbol"/>
                <w:spacing w:val="4"/>
                <w:szCs w:val="21"/>
                <w:shd w:val="clear" w:color="auto" w:fill="FFFFFF"/>
                <w:lang w:eastAsia="zh"/>
              </w:rPr>
              <w:t>★</w:t>
            </w:r>
            <w:r>
              <w:rPr>
                <w:rFonts w:ascii="Times New Roman" w:hAnsi="Times New Roman" w:eastAsia="宋体" w:cs="Times New Roman"/>
                <w:spacing w:val="4"/>
                <w:szCs w:val="21"/>
                <w:shd w:val="clear" w:color="auto" w:fill="FFFFFF"/>
                <w:lang w:eastAsia="zh"/>
              </w:rPr>
              <w:t>8)放大器（含电池和底座）总重量≤800g，便于携带。底座采用可拆卸式设计，可在同一底座上更换同系列的64通道和128通道放大器；放大器面板具有电极状态照明显示技术，可在电极插入时放大器面板自发光来进行状态指示，电极孔数≥72个，具有独立放大器开关。续航时间≥72小时；</w:t>
            </w:r>
          </w:p>
          <w:p w14:paraId="06CBDBC7">
            <w:pPr>
              <w:adjustRightInd w:val="0"/>
              <w:ind w:firstLine="420"/>
              <w:rPr>
                <w:rFonts w:ascii="Times New Roman" w:hAnsi="Times New Roman" w:eastAsia="宋体" w:cs="Times New Roman"/>
                <w:spacing w:val="4"/>
                <w:szCs w:val="21"/>
                <w:shd w:val="clear" w:color="auto" w:fill="FFFFFF"/>
                <w:lang w:eastAsia="zh"/>
              </w:rPr>
            </w:pPr>
            <w:r>
              <w:rPr>
                <w:rFonts w:ascii="Times New Roman" w:hAnsi="Times New Roman" w:eastAsia="宋体" w:cs="Times New Roman"/>
                <w:spacing w:val="4"/>
                <w:szCs w:val="21"/>
                <w:shd w:val="clear" w:color="auto" w:fill="FFFFFF"/>
                <w:lang w:eastAsia="zh"/>
              </w:rPr>
              <w:t>9)配有双肩包和腰包两种携带配件；</w:t>
            </w:r>
          </w:p>
          <w:p w14:paraId="55BB1B10">
            <w:pPr>
              <w:adjustRightInd w:val="0"/>
              <w:ind w:firstLine="420"/>
              <w:rPr>
                <w:rFonts w:ascii="Times New Roman" w:hAnsi="Times New Roman" w:eastAsia="宋体" w:cs="Times New Roman"/>
                <w:spacing w:val="4"/>
                <w:szCs w:val="21"/>
                <w:shd w:val="clear" w:color="auto" w:fill="FFFFFF"/>
                <w:lang w:eastAsia="zh"/>
              </w:rPr>
            </w:pPr>
            <w:r>
              <w:rPr>
                <w:rFonts w:ascii="Segoe UI Symbol" w:hAnsi="Segoe UI Symbol" w:eastAsia="宋体" w:cs="Segoe UI Symbol"/>
                <w:b/>
                <w:bCs/>
                <w:spacing w:val="4"/>
                <w:szCs w:val="21"/>
                <w:shd w:val="clear" w:color="auto" w:fill="FFFFFF"/>
                <w:lang w:eastAsia="zh"/>
              </w:rPr>
              <w:t>★</w:t>
            </w:r>
            <w:r>
              <w:rPr>
                <w:rFonts w:ascii="Times New Roman" w:hAnsi="Times New Roman" w:eastAsia="宋体" w:cs="Times New Roman"/>
                <w:b/>
                <w:bCs/>
                <w:spacing w:val="4"/>
                <w:szCs w:val="21"/>
                <w:shd w:val="clear" w:color="auto" w:fill="FFFFFF"/>
                <w:lang w:eastAsia="zh"/>
              </w:rPr>
              <w:t>10)采集软件支持数据连续或分段采集，同一套采集软件可同时采集至少4人脑电数据（须提供软件截图）</w:t>
            </w:r>
            <w:r>
              <w:rPr>
                <w:rFonts w:ascii="Times New Roman" w:hAnsi="Times New Roman" w:eastAsia="宋体" w:cs="Times New Roman"/>
                <w:spacing w:val="4"/>
                <w:szCs w:val="21"/>
                <w:shd w:val="clear" w:color="auto" w:fill="FFFFFF"/>
                <w:lang w:eastAsia="zh"/>
              </w:rPr>
              <w:t>，时间轴同步精度≤1ms，实现多人脑电超扫描同步实验。</w:t>
            </w:r>
          </w:p>
          <w:p w14:paraId="060A1061">
            <w:pPr>
              <w:adjustRightInd w:val="0"/>
              <w:ind w:firstLine="420"/>
              <w:rPr>
                <w:rFonts w:ascii="Times New Roman" w:hAnsi="Times New Roman" w:eastAsia="宋体" w:cs="Times New Roman"/>
                <w:spacing w:val="4"/>
                <w:szCs w:val="21"/>
                <w:shd w:val="clear" w:color="auto" w:fill="FFFFFF"/>
                <w:lang w:eastAsia="zh"/>
              </w:rPr>
            </w:pPr>
            <w:r>
              <w:rPr>
                <w:rFonts w:ascii="Times New Roman" w:hAnsi="Times New Roman" w:eastAsia="宋体" w:cs="Times New Roman"/>
                <w:spacing w:val="4"/>
                <w:szCs w:val="21"/>
                <w:shd w:val="clear" w:color="auto" w:fill="FFFFFF"/>
                <w:lang w:eastAsia="zh"/>
              </w:rPr>
              <w:t>11)放大器、刺激生成系统、脑电采集（包括输入阻抗测试）等均由系统自动校准；</w:t>
            </w:r>
          </w:p>
          <w:p w14:paraId="4B230B5D">
            <w:pPr>
              <w:adjustRightInd w:val="0"/>
              <w:ind w:firstLine="420"/>
              <w:rPr>
                <w:rFonts w:ascii="Times New Roman" w:hAnsi="Times New Roman" w:eastAsia="宋体" w:cs="Times New Roman"/>
                <w:spacing w:val="4"/>
                <w:szCs w:val="21"/>
                <w:shd w:val="clear" w:color="auto" w:fill="FFFFFF"/>
                <w:lang w:eastAsia="zh"/>
              </w:rPr>
            </w:pPr>
            <w:r>
              <w:rPr>
                <w:rFonts w:ascii="Times New Roman" w:hAnsi="Times New Roman" w:eastAsia="宋体" w:cs="Times New Roman"/>
                <w:spacing w:val="4"/>
                <w:szCs w:val="21"/>
                <w:shd w:val="clear" w:color="auto" w:fill="FFFFFF"/>
                <w:lang w:eastAsia="zh"/>
              </w:rPr>
              <w:t>12)在数据采集过程中所有事件均自动检测并记录，反应代码和刺激代码可以有效分离；</w:t>
            </w:r>
          </w:p>
          <w:p w14:paraId="1A77DC7C">
            <w:pPr>
              <w:adjustRightInd w:val="0"/>
              <w:ind w:firstLine="420"/>
              <w:rPr>
                <w:rFonts w:ascii="Times New Roman" w:hAnsi="Times New Roman" w:eastAsia="宋体" w:cs="Times New Roman"/>
                <w:spacing w:val="4"/>
                <w:szCs w:val="21"/>
                <w:shd w:val="clear" w:color="auto" w:fill="FFFFFF"/>
                <w:lang w:eastAsia="zh"/>
              </w:rPr>
            </w:pPr>
            <w:r>
              <w:rPr>
                <w:rFonts w:ascii="Times New Roman" w:hAnsi="Times New Roman" w:eastAsia="宋体" w:cs="Times New Roman"/>
                <w:spacing w:val="4"/>
                <w:szCs w:val="21"/>
                <w:shd w:val="clear" w:color="auto" w:fill="FFFFFF"/>
                <w:lang w:eastAsia="zh"/>
              </w:rPr>
              <w:t>13)可以在线进行脑电阻抗检测及数据分析；滤波（从傅里叶变换到小波变换）、数据重组、叠加平均等功能；</w:t>
            </w:r>
          </w:p>
          <w:p w14:paraId="03523188">
            <w:pPr>
              <w:adjustRightInd w:val="0"/>
              <w:ind w:firstLine="420"/>
              <w:rPr>
                <w:rFonts w:ascii="Times New Roman" w:hAnsi="Times New Roman" w:eastAsia="宋体" w:cs="Times New Roman"/>
                <w:spacing w:val="4"/>
                <w:szCs w:val="21"/>
                <w:shd w:val="clear" w:color="auto" w:fill="FFFFFF"/>
                <w:lang w:eastAsia="zh"/>
              </w:rPr>
            </w:pPr>
            <w:r>
              <w:rPr>
                <w:rFonts w:ascii="Times New Roman" w:hAnsi="Times New Roman" w:eastAsia="宋体" w:cs="Times New Roman"/>
                <w:spacing w:val="4"/>
                <w:szCs w:val="21"/>
                <w:shd w:val="clear" w:color="auto" w:fill="FFFFFF"/>
                <w:lang w:eastAsia="zh"/>
              </w:rPr>
              <w:t>14)支持2D和3D脑电地形图（时域及频域特征）；</w:t>
            </w:r>
          </w:p>
          <w:p w14:paraId="0342CF87">
            <w:pPr>
              <w:adjustRightInd w:val="0"/>
              <w:ind w:firstLine="420"/>
              <w:rPr>
                <w:rFonts w:ascii="Times New Roman" w:hAnsi="Times New Roman" w:eastAsia="宋体" w:cs="Times New Roman"/>
                <w:spacing w:val="4"/>
                <w:szCs w:val="21"/>
                <w:shd w:val="clear" w:color="auto" w:fill="FFFFFF"/>
                <w:lang w:eastAsia="zh"/>
              </w:rPr>
            </w:pPr>
            <w:r>
              <w:rPr>
                <w:rFonts w:ascii="Times New Roman" w:hAnsi="Times New Roman" w:eastAsia="宋体" w:cs="Times New Roman"/>
                <w:spacing w:val="4"/>
                <w:szCs w:val="21"/>
                <w:shd w:val="clear" w:color="auto" w:fill="FFFFFF"/>
                <w:lang w:eastAsia="zh"/>
              </w:rPr>
              <w:t>15)根据实验要求，进行数据滤波、去除眼电干扰及伪迹剃除；</w:t>
            </w:r>
          </w:p>
          <w:p w14:paraId="35202C76">
            <w:pPr>
              <w:adjustRightInd w:val="0"/>
              <w:ind w:firstLine="420"/>
              <w:rPr>
                <w:rFonts w:ascii="Times New Roman" w:hAnsi="Times New Roman" w:eastAsia="宋体" w:cs="Times New Roman"/>
                <w:spacing w:val="4"/>
                <w:szCs w:val="21"/>
                <w:shd w:val="clear" w:color="auto" w:fill="FFFFFF"/>
                <w:lang w:eastAsia="zh"/>
              </w:rPr>
            </w:pPr>
            <w:r>
              <w:rPr>
                <w:rFonts w:ascii="Times New Roman" w:hAnsi="Times New Roman" w:eastAsia="宋体" w:cs="Times New Roman"/>
                <w:spacing w:val="4"/>
                <w:szCs w:val="21"/>
                <w:shd w:val="clear" w:color="auto" w:fill="FFFFFF"/>
                <w:lang w:eastAsia="zh"/>
              </w:rPr>
              <w:t>16)可进行事件相关的脑电位、同步分析；支持ASCII码数据格式导出，便于第三方软件分析。支持一键批处理。</w:t>
            </w:r>
          </w:p>
          <w:p w14:paraId="2E56811B">
            <w:pPr>
              <w:adjustRightInd w:val="0"/>
              <w:ind w:firstLine="420"/>
              <w:rPr>
                <w:rFonts w:ascii="Times New Roman" w:hAnsi="Times New Roman" w:eastAsia="宋体" w:cs="Times New Roman"/>
                <w:spacing w:val="4"/>
                <w:szCs w:val="21"/>
                <w:shd w:val="clear" w:color="auto" w:fill="FFFFFF"/>
                <w:lang w:eastAsia="zh"/>
              </w:rPr>
            </w:pPr>
            <w:r>
              <w:rPr>
                <w:rFonts w:ascii="Segoe UI Symbol" w:hAnsi="Segoe UI Symbol" w:eastAsia="宋体" w:cs="Segoe UI Symbol"/>
                <w:spacing w:val="4"/>
                <w:szCs w:val="21"/>
                <w:shd w:val="clear" w:color="auto" w:fill="FFFFFF"/>
                <w:lang w:eastAsia="zh"/>
              </w:rPr>
              <w:t>★</w:t>
            </w:r>
            <w:r>
              <w:rPr>
                <w:rFonts w:ascii="Times New Roman" w:hAnsi="Times New Roman" w:eastAsia="宋体" w:cs="Times New Roman"/>
                <w:spacing w:val="4"/>
                <w:szCs w:val="21"/>
                <w:shd w:val="clear" w:color="auto" w:fill="FFFFFF"/>
                <w:lang w:eastAsia="zh"/>
              </w:rPr>
              <w:t xml:space="preserve">17)生理信号分析：可设置生理信号显示的幅值比例，比例范围为“0.01-3600倍”；可根据不同实验需要选择从1到10至少十种刺激信号标记mark进行分段；可直接读取*.m21和*.erp格式数据。    </w:t>
            </w:r>
          </w:p>
          <w:p w14:paraId="47A3BDA1">
            <w:pPr>
              <w:adjustRightInd w:val="0"/>
              <w:ind w:firstLine="420"/>
              <w:rPr>
                <w:rFonts w:ascii="Times New Roman" w:hAnsi="Times New Roman" w:eastAsia="宋体" w:cs="Times New Roman"/>
                <w:spacing w:val="4"/>
                <w:szCs w:val="21"/>
                <w:shd w:val="clear" w:color="auto" w:fill="FFFFFF"/>
              </w:rPr>
            </w:pPr>
            <w:r>
              <w:rPr>
                <w:rFonts w:ascii="Segoe UI Symbol" w:hAnsi="Segoe UI Symbol" w:eastAsia="宋体" w:cs="Segoe UI Symbol"/>
                <w:spacing w:val="4"/>
                <w:szCs w:val="21"/>
                <w:shd w:val="clear" w:color="auto" w:fill="FFFFFF"/>
                <w:lang w:eastAsia="zh"/>
              </w:rPr>
              <w:t>★</w:t>
            </w:r>
            <w:r>
              <w:rPr>
                <w:rFonts w:ascii="Times New Roman" w:hAnsi="Times New Roman" w:eastAsia="宋体" w:cs="Times New Roman"/>
                <w:spacing w:val="4"/>
                <w:szCs w:val="21"/>
                <w:shd w:val="clear" w:color="auto" w:fill="FFFFFF"/>
                <w:lang w:eastAsia="zh"/>
              </w:rPr>
              <w:t>18）调控模块：总通道数：≥4，支持4x1环形高精度刺激模式；软件支持同时连接4个调控模块；可实现直流电刺激用于神经调控；输出过程可显示刺激时间及电流、剩余时间、实时电流、电量；参数设置缓升缓降设置最大值不超过60秒，每档递增值不大于5秒，最小不超过10秒；输出电流范围不小于0</w:t>
            </w:r>
            <w:r>
              <w:rPr>
                <w:rFonts w:ascii="Times New Roman" w:hAnsi="Times New Roman" w:eastAsia="宋体" w:cs="Times New Roman"/>
                <w:spacing w:val="4"/>
                <w:szCs w:val="21"/>
                <w:shd w:val="clear" w:color="auto" w:fill="FFFFFF"/>
              </w:rPr>
              <w:t>-</w:t>
            </w:r>
            <w:r>
              <w:rPr>
                <w:rFonts w:ascii="Times New Roman" w:hAnsi="Times New Roman" w:eastAsia="宋体" w:cs="Times New Roman"/>
                <w:spacing w:val="4"/>
                <w:szCs w:val="21"/>
                <w:shd w:val="clear" w:color="auto" w:fill="FFFFFF"/>
                <w:lang w:eastAsia="zh"/>
              </w:rPr>
              <w:t>2mA，每档递增值不大于0.1mA，有真刺激和假刺激的选项。</w:t>
            </w:r>
          </w:p>
          <w:p w14:paraId="6FAE94A4">
            <w:pPr>
              <w:adjustRightInd w:val="0"/>
              <w:ind w:firstLine="422" w:firstLineChars="200"/>
              <w:rPr>
                <w:rFonts w:ascii="Times New Roman" w:hAnsi="Times New Roman" w:eastAsia="宋体" w:cs="Times New Roman"/>
                <w:szCs w:val="21"/>
              </w:rPr>
            </w:pPr>
            <w:r>
              <w:rPr>
                <w:rFonts w:ascii="Times New Roman" w:hAnsi="Times New Roman" w:eastAsia="宋体" w:cs="Times New Roman"/>
                <w:b/>
                <w:szCs w:val="21"/>
              </w:rPr>
              <w:t>需要配备以下相关组件（包括但不限于）：</w:t>
            </w:r>
          </w:p>
          <w:p w14:paraId="1789388A">
            <w:pPr>
              <w:adjustRightInd w:val="0"/>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（1）专用采集分析主机（1台）</w:t>
            </w:r>
          </w:p>
          <w:p w14:paraId="064ABB69">
            <w:pPr>
              <w:adjustRightInd w:val="0"/>
              <w:ind w:firstLine="420" w:firstLineChars="200"/>
              <w:rPr>
                <w:rFonts w:ascii="Times New Roman" w:hAnsi="Times New Roman" w:eastAsia="宋体" w:cs="Times New Roman"/>
                <w:szCs w:val="21"/>
              </w:rPr>
            </w:pPr>
            <w:r>
              <w:rPr>
                <w:rFonts w:ascii="Times New Roman" w:hAnsi="Times New Roman" w:eastAsia="宋体" w:cs="Times New Roman"/>
                <w:szCs w:val="21"/>
              </w:rPr>
              <w:t>处理器：配置不低于Intel Alder Lake系列或AMD Ryzen Threadripper系列处理器，至少16核心，以确保高负载下多任务并行处理能力。</w:t>
            </w:r>
          </w:p>
          <w:p w14:paraId="7C04643D">
            <w:pPr>
              <w:adjustRightInd w:val="0"/>
              <w:ind w:firstLine="420" w:firstLineChars="200"/>
              <w:rPr>
                <w:rFonts w:ascii="Times New Roman" w:hAnsi="Times New Roman" w:eastAsia="宋体" w:cs="Times New Roman"/>
                <w:szCs w:val="21"/>
              </w:rPr>
            </w:pPr>
            <w:r>
              <w:rPr>
                <w:rFonts w:ascii="Times New Roman" w:hAnsi="Times New Roman" w:eastAsia="宋体" w:cs="Times New Roman"/>
                <w:szCs w:val="21"/>
              </w:rPr>
              <w:t>内存：至少64GB ECC DDR4 RAM，保证大数据处理和复杂算法运行的流畅性。</w:t>
            </w:r>
          </w:p>
          <w:p w14:paraId="4F8661BC">
            <w:pPr>
              <w:adjustRightInd w:val="0"/>
              <w:ind w:firstLine="420" w:firstLineChars="200"/>
              <w:rPr>
                <w:rFonts w:ascii="Times New Roman" w:hAnsi="Times New Roman" w:eastAsia="宋体" w:cs="Times New Roman"/>
                <w:szCs w:val="21"/>
              </w:rPr>
            </w:pPr>
            <w:r>
              <w:rPr>
                <w:rFonts w:ascii="Times New Roman" w:hAnsi="Times New Roman" w:eastAsia="宋体" w:cs="Times New Roman"/>
                <w:szCs w:val="21"/>
              </w:rPr>
              <w:t>存储：NVMe SSD系统盘，容量不低于1TB，外加至少1TB的高速固态硬盘或RAID阵列，用于存储大量实验数据和快取加速。</w:t>
            </w:r>
          </w:p>
          <w:p w14:paraId="71604096">
            <w:pPr>
              <w:adjustRightInd w:val="0"/>
              <w:ind w:firstLine="420" w:firstLineChars="200"/>
              <w:rPr>
                <w:rFonts w:ascii="Times New Roman" w:hAnsi="Times New Roman" w:eastAsia="宋体" w:cs="Times New Roman"/>
                <w:szCs w:val="21"/>
              </w:rPr>
            </w:pPr>
            <w:r>
              <w:rPr>
                <w:rFonts w:ascii="Times New Roman" w:hAnsi="Times New Roman" w:eastAsia="宋体" w:cs="Times New Roman"/>
                <w:szCs w:val="21"/>
              </w:rPr>
              <w:t>显卡：NVIDIA RTX系列专业显卡，如RTX A4000或以上，支持CUDA并行计算，加速图像处理与机器学习算法的运算速度。</w:t>
            </w:r>
          </w:p>
          <w:p w14:paraId="149AABC9">
            <w:pPr>
              <w:adjustRightInd w:val="0"/>
              <w:ind w:firstLine="420" w:firstLineChars="200"/>
              <w:rPr>
                <w:rFonts w:ascii="Times New Roman" w:hAnsi="Times New Roman" w:eastAsia="宋体" w:cs="Times New Roman"/>
                <w:szCs w:val="21"/>
              </w:rPr>
            </w:pPr>
            <w:r>
              <w:rPr>
                <w:rFonts w:ascii="Times New Roman" w:hAnsi="Times New Roman" w:eastAsia="宋体" w:cs="Times New Roman"/>
                <w:szCs w:val="21"/>
              </w:rPr>
              <w:t>网络交换机端口配置：至少含8个10/100/1000Mbps自适应电口，以及至少2个10G SFP+光口，支持PoE+（以太网供电）功能，以便为网络摄像头或其他IP终端设备供电。</w:t>
            </w:r>
          </w:p>
          <w:p w14:paraId="0CBD0A13">
            <w:pPr>
              <w:adjustRightInd w:val="0"/>
              <w:ind w:firstLine="420" w:firstLineChars="200"/>
              <w:rPr>
                <w:rFonts w:ascii="Times New Roman" w:hAnsi="Times New Roman" w:eastAsia="宋体" w:cs="Times New Roman"/>
                <w:szCs w:val="21"/>
              </w:rPr>
            </w:pPr>
            <w:r>
              <w:rPr>
                <w:rFonts w:ascii="Times New Roman" w:hAnsi="Times New Roman" w:eastAsia="宋体" w:cs="Times New Roman"/>
                <w:szCs w:val="21"/>
              </w:rPr>
              <w:t>操作系统与软件兼容性：支持正版Windows 10及以上版本、Linux（Ubuntu、CentOS等）或国产操作系统，确保与常用行为分析软件及深度学习框架（TensorFlow、PyTorch）的兼容性。显示屏：尺寸≥27寸，分辨率≥1920x1080高清显示屏，IPS面板，刷新率≥60Hz，至少包含HDMI, DisplayPort，以及USB-C接口以适应不同设备连接。</w:t>
            </w:r>
          </w:p>
        </w:tc>
        <w:tc>
          <w:tcPr>
            <w:tcW w:w="304" w:type="pct"/>
            <w:vAlign w:val="center"/>
          </w:tcPr>
          <w:p w14:paraId="4B383C64">
            <w:pPr>
              <w:jc w:val="center"/>
              <w:rPr>
                <w:rFonts w:ascii="Times New Roman" w:hAnsi="Times New Roman" w:eastAsia="宋体" w:cs="Times New Roman"/>
                <w:szCs w:val="21"/>
              </w:rPr>
            </w:pPr>
            <w:r>
              <w:rPr>
                <w:rFonts w:ascii="Times New Roman" w:hAnsi="Times New Roman" w:eastAsia="宋体" w:cs="Times New Roman"/>
                <w:szCs w:val="21"/>
              </w:rPr>
              <w:t>1套</w:t>
            </w:r>
          </w:p>
        </w:tc>
      </w:tr>
      <w:bookmarkEnd w:id="41"/>
    </w:tbl>
    <w:p w14:paraId="6BFCED96">
      <w:pPr>
        <w:adjustRightInd w:val="0"/>
        <w:snapToGrid w:val="0"/>
        <w:spacing w:line="288" w:lineRule="auto"/>
        <w:rPr>
          <w:rFonts w:hint="eastAsia" w:ascii="宋体" w:hAnsi="宋体" w:eastAsia="宋体" w:cs="Times New Roman"/>
          <w:b/>
          <w:bCs/>
          <w:szCs w:val="21"/>
        </w:rPr>
      </w:pPr>
    </w:p>
    <w:p w14:paraId="61338169">
      <w:pPr>
        <w:widowControl/>
        <w:adjustRightInd w:val="0"/>
        <w:snapToGrid w:val="0"/>
        <w:spacing w:line="288" w:lineRule="auto"/>
        <w:jc w:val="left"/>
        <w:rPr>
          <w:rFonts w:hint="eastAsia" w:ascii="宋体" w:hAnsi="宋体" w:eastAsia="宋体" w:cs="Times New Roman"/>
          <w:szCs w:val="21"/>
        </w:rPr>
      </w:pPr>
    </w:p>
    <w:p w14:paraId="0FF884F8">
      <w:pPr>
        <w:widowControl/>
        <w:adjustRightInd w:val="0"/>
        <w:snapToGrid w:val="0"/>
        <w:spacing w:line="288" w:lineRule="auto"/>
        <w:jc w:val="left"/>
        <w:rPr>
          <w:rFonts w:hint="eastAsia" w:ascii="宋体" w:hAnsi="宋体" w:eastAsia="宋体" w:cs="Times New Roman"/>
          <w:szCs w:val="21"/>
        </w:rPr>
      </w:pPr>
      <w:r>
        <w:rPr>
          <w:rFonts w:ascii="宋体" w:hAnsi="宋体" w:eastAsia="宋体" w:cs="Times New Roman"/>
          <w:szCs w:val="21"/>
        </w:rPr>
        <w:br w:type="page"/>
      </w:r>
    </w:p>
    <w:p w14:paraId="4C11E02E">
      <w:pPr>
        <w:adjustRightInd w:val="0"/>
        <w:snapToGrid w:val="0"/>
        <w:spacing w:line="288" w:lineRule="auto"/>
        <w:jc w:val="center"/>
        <w:outlineLvl w:val="0"/>
        <w:rPr>
          <w:rFonts w:hint="eastAsia" w:ascii="宋体" w:hAnsi="宋体" w:eastAsia="宋体" w:cs="Times New Roman"/>
          <w:sz w:val="32"/>
          <w:szCs w:val="32"/>
        </w:rPr>
      </w:pPr>
      <w:r>
        <w:rPr>
          <w:rFonts w:hint="eastAsia" w:ascii="宋体" w:hAnsi="宋体" w:eastAsia="宋体" w:cs="Times New Roman"/>
          <w:b/>
          <w:sz w:val="32"/>
          <w:szCs w:val="32"/>
        </w:rPr>
        <w:t>第三章  投标人须知</w:t>
      </w:r>
    </w:p>
    <w:p w14:paraId="64D2267E">
      <w:pPr>
        <w:adjustRightInd w:val="0"/>
        <w:snapToGrid w:val="0"/>
        <w:spacing w:line="288" w:lineRule="auto"/>
        <w:ind w:left="238"/>
        <w:jc w:val="center"/>
        <w:outlineLvl w:val="1"/>
        <w:rPr>
          <w:rFonts w:hint="eastAsia" w:ascii="宋体" w:hAnsi="宋体" w:eastAsia="宋体" w:cs="Times New Roman"/>
          <w:b/>
          <w:szCs w:val="21"/>
        </w:rPr>
      </w:pPr>
      <w:r>
        <w:rPr>
          <w:rFonts w:hint="eastAsia" w:ascii="宋体" w:hAnsi="宋体" w:eastAsia="宋体" w:cs="Times New Roman"/>
          <w:b/>
          <w:szCs w:val="21"/>
        </w:rPr>
        <w:t>投标人</w:t>
      </w:r>
      <w:r>
        <w:rPr>
          <w:rFonts w:ascii="宋体" w:hAnsi="宋体" w:eastAsia="宋体" w:cs="Times New Roman"/>
          <w:b/>
          <w:szCs w:val="21"/>
        </w:rPr>
        <w:t>须知</w:t>
      </w:r>
      <w:r>
        <w:rPr>
          <w:rFonts w:hint="eastAsia" w:ascii="宋体" w:hAnsi="宋体" w:eastAsia="宋体" w:cs="Times New Roman"/>
          <w:b/>
          <w:szCs w:val="21"/>
        </w:rPr>
        <w:t>前附表</w:t>
      </w:r>
    </w:p>
    <w:tbl>
      <w:tblPr>
        <w:tblStyle w:val="2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01"/>
        <w:gridCol w:w="6663"/>
      </w:tblGrid>
      <w:tr w14:paraId="08E6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6D1B8B2F">
            <w:pPr>
              <w:adjustRightInd w:val="0"/>
              <w:snapToGrid w:val="0"/>
              <w:spacing w:line="288" w:lineRule="auto"/>
              <w:jc w:val="center"/>
              <w:rPr>
                <w:rFonts w:hint="eastAsia" w:ascii="宋体" w:hAnsi="宋体" w:eastAsia="宋体"/>
                <w:b/>
                <w:bCs/>
                <w:szCs w:val="21"/>
              </w:rPr>
            </w:pPr>
            <w:r>
              <w:rPr>
                <w:rFonts w:hint="eastAsia" w:ascii="宋体" w:hAnsi="宋体" w:eastAsia="宋体"/>
                <w:b/>
                <w:bCs/>
                <w:szCs w:val="21"/>
              </w:rPr>
              <w:t>条款号</w:t>
            </w:r>
          </w:p>
        </w:tc>
        <w:tc>
          <w:tcPr>
            <w:tcW w:w="1701" w:type="dxa"/>
            <w:vAlign w:val="center"/>
          </w:tcPr>
          <w:p w14:paraId="54B77AFD">
            <w:pPr>
              <w:adjustRightInd w:val="0"/>
              <w:snapToGrid w:val="0"/>
              <w:spacing w:line="288" w:lineRule="auto"/>
              <w:jc w:val="center"/>
              <w:rPr>
                <w:rFonts w:hint="eastAsia" w:ascii="宋体" w:hAnsi="宋体" w:eastAsia="宋体"/>
                <w:b/>
                <w:bCs/>
                <w:szCs w:val="21"/>
              </w:rPr>
            </w:pPr>
            <w:r>
              <w:rPr>
                <w:rFonts w:hint="eastAsia" w:ascii="宋体" w:hAnsi="宋体" w:eastAsia="宋体"/>
                <w:b/>
                <w:bCs/>
                <w:szCs w:val="21"/>
              </w:rPr>
              <w:t>内容</w:t>
            </w:r>
          </w:p>
        </w:tc>
        <w:tc>
          <w:tcPr>
            <w:tcW w:w="6663" w:type="dxa"/>
            <w:vAlign w:val="center"/>
          </w:tcPr>
          <w:p w14:paraId="1DF631ED">
            <w:pPr>
              <w:adjustRightInd w:val="0"/>
              <w:snapToGrid w:val="0"/>
              <w:spacing w:line="288" w:lineRule="auto"/>
              <w:jc w:val="center"/>
              <w:rPr>
                <w:rFonts w:hint="eastAsia" w:ascii="宋体" w:hAnsi="宋体" w:eastAsia="宋体"/>
                <w:b/>
                <w:bCs/>
                <w:szCs w:val="21"/>
              </w:rPr>
            </w:pPr>
            <w:r>
              <w:rPr>
                <w:rFonts w:hint="eastAsia" w:ascii="宋体" w:hAnsi="宋体" w:eastAsia="宋体"/>
                <w:b/>
                <w:bCs/>
                <w:szCs w:val="21"/>
              </w:rPr>
              <w:t>说明与要求</w:t>
            </w:r>
          </w:p>
        </w:tc>
      </w:tr>
      <w:tr w14:paraId="30D9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7BC5E783">
            <w:pPr>
              <w:adjustRightInd w:val="0"/>
              <w:snapToGrid w:val="0"/>
              <w:spacing w:line="288" w:lineRule="auto"/>
              <w:jc w:val="center"/>
              <w:rPr>
                <w:rFonts w:hint="eastAsia" w:ascii="宋体" w:hAnsi="宋体" w:eastAsia="宋体"/>
                <w:szCs w:val="21"/>
              </w:rPr>
            </w:pPr>
            <w:r>
              <w:rPr>
                <w:rFonts w:hint="eastAsia" w:ascii="宋体" w:hAnsi="宋体" w:eastAsia="宋体"/>
                <w:szCs w:val="21"/>
              </w:rPr>
              <w:t>（一）</w:t>
            </w:r>
          </w:p>
        </w:tc>
        <w:tc>
          <w:tcPr>
            <w:tcW w:w="1701" w:type="dxa"/>
            <w:vAlign w:val="center"/>
          </w:tcPr>
          <w:p w14:paraId="724F7496">
            <w:pPr>
              <w:adjustRightInd w:val="0"/>
              <w:snapToGrid w:val="0"/>
              <w:spacing w:line="288" w:lineRule="auto"/>
              <w:jc w:val="center"/>
              <w:rPr>
                <w:rFonts w:hint="eastAsia" w:ascii="宋体" w:hAnsi="宋体" w:eastAsia="宋体"/>
                <w:szCs w:val="21"/>
              </w:rPr>
            </w:pPr>
            <w:r>
              <w:rPr>
                <w:rFonts w:hint="eastAsia" w:ascii="宋体" w:hAnsi="宋体" w:eastAsia="宋体"/>
                <w:szCs w:val="21"/>
              </w:rPr>
              <w:t>适用范围</w:t>
            </w:r>
          </w:p>
        </w:tc>
        <w:tc>
          <w:tcPr>
            <w:tcW w:w="6663" w:type="dxa"/>
            <w:vAlign w:val="center"/>
          </w:tcPr>
          <w:p w14:paraId="6D38A330">
            <w:pPr>
              <w:adjustRightInd w:val="0"/>
              <w:snapToGrid w:val="0"/>
              <w:spacing w:line="288" w:lineRule="auto"/>
              <w:rPr>
                <w:rFonts w:hint="eastAsia" w:ascii="宋体" w:hAnsi="宋体" w:eastAsia="宋体"/>
                <w:szCs w:val="21"/>
              </w:rPr>
            </w:pPr>
            <w:r>
              <w:rPr>
                <w:rFonts w:hint="eastAsia" w:ascii="宋体" w:hAnsi="宋体" w:eastAsia="宋体"/>
                <w:szCs w:val="21"/>
              </w:rPr>
              <w:t>本招标文件适用于浙江工商大学未来营养健康与共同富裕计算设备更新-共同富裕计算设备（第一批）的招标、评标、定标、验收、合同履约、付款等（法律、法规另有规定的，从其规定）。</w:t>
            </w:r>
          </w:p>
        </w:tc>
      </w:tr>
      <w:tr w14:paraId="20326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1DC44205">
            <w:pPr>
              <w:adjustRightInd w:val="0"/>
              <w:snapToGrid w:val="0"/>
              <w:spacing w:line="288" w:lineRule="auto"/>
              <w:jc w:val="center"/>
              <w:rPr>
                <w:rFonts w:hint="eastAsia" w:ascii="宋体" w:hAnsi="宋体" w:eastAsia="宋体"/>
                <w:szCs w:val="21"/>
              </w:rPr>
            </w:pPr>
            <w:r>
              <w:rPr>
                <w:rFonts w:hint="eastAsia" w:ascii="宋体" w:hAnsi="宋体" w:eastAsia="宋体"/>
                <w:szCs w:val="21"/>
              </w:rPr>
              <w:t>（二）</w:t>
            </w:r>
          </w:p>
        </w:tc>
        <w:tc>
          <w:tcPr>
            <w:tcW w:w="1701" w:type="dxa"/>
            <w:vAlign w:val="center"/>
          </w:tcPr>
          <w:p w14:paraId="0D257B02">
            <w:pPr>
              <w:adjustRightInd w:val="0"/>
              <w:snapToGrid w:val="0"/>
              <w:spacing w:line="288" w:lineRule="auto"/>
              <w:jc w:val="center"/>
              <w:rPr>
                <w:rFonts w:hint="eastAsia" w:ascii="宋体" w:hAnsi="宋体" w:eastAsia="宋体"/>
                <w:szCs w:val="21"/>
              </w:rPr>
            </w:pPr>
            <w:r>
              <w:rPr>
                <w:rFonts w:hint="eastAsia" w:ascii="宋体" w:hAnsi="宋体" w:eastAsia="宋体"/>
                <w:szCs w:val="21"/>
              </w:rPr>
              <w:t>招标方式</w:t>
            </w:r>
          </w:p>
        </w:tc>
        <w:tc>
          <w:tcPr>
            <w:tcW w:w="6663" w:type="dxa"/>
            <w:vAlign w:val="center"/>
          </w:tcPr>
          <w:p w14:paraId="71ECB040">
            <w:pPr>
              <w:adjustRightInd w:val="0"/>
              <w:snapToGrid w:val="0"/>
              <w:spacing w:line="288" w:lineRule="auto"/>
              <w:rPr>
                <w:rFonts w:hint="eastAsia" w:ascii="宋体" w:hAnsi="宋体" w:eastAsia="宋体"/>
                <w:szCs w:val="21"/>
              </w:rPr>
            </w:pPr>
            <w:r>
              <w:rPr>
                <w:rFonts w:hint="eastAsia" w:ascii="宋体" w:hAnsi="宋体" w:eastAsia="宋体"/>
                <w:szCs w:val="21"/>
              </w:rPr>
              <w:t>本次招标采用公开招标（线上电子招投标）方式进行。</w:t>
            </w:r>
          </w:p>
        </w:tc>
      </w:tr>
      <w:tr w14:paraId="338D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49A94B2C">
            <w:pPr>
              <w:adjustRightInd w:val="0"/>
              <w:snapToGrid w:val="0"/>
              <w:spacing w:line="288" w:lineRule="auto"/>
              <w:jc w:val="center"/>
              <w:rPr>
                <w:rFonts w:hint="eastAsia" w:ascii="宋体" w:hAnsi="宋体" w:eastAsia="宋体"/>
                <w:szCs w:val="21"/>
              </w:rPr>
            </w:pPr>
            <w:r>
              <w:rPr>
                <w:rFonts w:hint="eastAsia" w:ascii="宋体" w:hAnsi="宋体" w:eastAsia="宋体"/>
                <w:szCs w:val="21"/>
              </w:rPr>
              <w:t>（三）</w:t>
            </w:r>
          </w:p>
        </w:tc>
        <w:tc>
          <w:tcPr>
            <w:tcW w:w="1701" w:type="dxa"/>
            <w:vAlign w:val="center"/>
          </w:tcPr>
          <w:p w14:paraId="7EB5AA73">
            <w:pPr>
              <w:adjustRightInd w:val="0"/>
              <w:snapToGrid w:val="0"/>
              <w:spacing w:line="288" w:lineRule="auto"/>
              <w:jc w:val="center"/>
              <w:rPr>
                <w:rFonts w:hint="eastAsia" w:ascii="宋体" w:hAnsi="宋体" w:eastAsia="宋体"/>
                <w:szCs w:val="21"/>
              </w:rPr>
            </w:pPr>
            <w:r>
              <w:rPr>
                <w:rFonts w:hint="eastAsia" w:ascii="宋体" w:hAnsi="宋体" w:eastAsia="宋体"/>
                <w:szCs w:val="21"/>
              </w:rPr>
              <w:t>投标委托</w:t>
            </w:r>
          </w:p>
        </w:tc>
        <w:tc>
          <w:tcPr>
            <w:tcW w:w="6663" w:type="dxa"/>
            <w:vAlign w:val="center"/>
          </w:tcPr>
          <w:p w14:paraId="1A590B52">
            <w:pPr>
              <w:adjustRightInd w:val="0"/>
              <w:snapToGrid w:val="0"/>
              <w:spacing w:line="288" w:lineRule="auto"/>
              <w:rPr>
                <w:rFonts w:hint="eastAsia" w:ascii="宋体" w:hAnsi="宋体" w:eastAsia="宋体"/>
                <w:szCs w:val="21"/>
              </w:rPr>
            </w:pPr>
            <w:r>
              <w:rPr>
                <w:rFonts w:hint="eastAsia" w:ascii="宋体" w:hAnsi="宋体" w:eastAsia="宋体"/>
                <w:szCs w:val="21"/>
              </w:rPr>
              <w:t>▲1</w:t>
            </w:r>
            <w:r>
              <w:rPr>
                <w:rFonts w:ascii="宋体" w:hAnsi="宋体" w:eastAsia="宋体"/>
                <w:szCs w:val="21"/>
              </w:rPr>
              <w:t>.投标人代表是法定代表人</w:t>
            </w:r>
            <w:r>
              <w:rPr>
                <w:rFonts w:hint="eastAsia" w:ascii="宋体" w:hAnsi="宋体" w:eastAsia="宋体"/>
                <w:szCs w:val="21"/>
              </w:rPr>
              <w:t>（单位负责人、自然人本人）的，须提供本人身份证明。</w:t>
            </w:r>
          </w:p>
          <w:p w14:paraId="651400E9">
            <w:pPr>
              <w:adjustRightInd w:val="0"/>
              <w:snapToGrid w:val="0"/>
              <w:spacing w:line="288" w:lineRule="auto"/>
              <w:rPr>
                <w:rFonts w:hint="eastAsia" w:ascii="宋体" w:hAnsi="宋体" w:eastAsia="宋体"/>
                <w:szCs w:val="21"/>
              </w:rPr>
            </w:pPr>
            <w:r>
              <w:rPr>
                <w:rFonts w:hint="eastAsia" w:ascii="宋体" w:hAnsi="宋体" w:eastAsia="宋体"/>
                <w:szCs w:val="21"/>
              </w:rPr>
              <w:t>▲</w:t>
            </w:r>
            <w:r>
              <w:rPr>
                <w:rFonts w:ascii="宋体" w:hAnsi="宋体" w:eastAsia="宋体"/>
                <w:szCs w:val="21"/>
              </w:rPr>
              <w:t>2</w:t>
            </w:r>
            <w:r>
              <w:rPr>
                <w:rFonts w:hint="eastAsia" w:ascii="宋体" w:hAnsi="宋体" w:eastAsia="宋体"/>
                <w:szCs w:val="21"/>
              </w:rPr>
              <w:t>.</w:t>
            </w:r>
            <w:r>
              <w:rPr>
                <w:rFonts w:ascii="宋体" w:hAnsi="宋体" w:eastAsia="宋体"/>
                <w:szCs w:val="21"/>
              </w:rPr>
              <w:t>投标人代表不是法定代表人</w:t>
            </w:r>
            <w:r>
              <w:rPr>
                <w:rFonts w:hint="eastAsia" w:ascii="宋体" w:hAnsi="宋体" w:eastAsia="宋体"/>
                <w:szCs w:val="21"/>
              </w:rPr>
              <w:t>（单位负责人、自然人本人）的</w:t>
            </w:r>
            <w:r>
              <w:rPr>
                <w:rFonts w:ascii="宋体" w:hAnsi="宋体" w:eastAsia="宋体"/>
                <w:szCs w:val="21"/>
              </w:rPr>
              <w:t>，须提供</w:t>
            </w:r>
            <w:r>
              <w:rPr>
                <w:rFonts w:ascii="宋体" w:hAnsi="宋体" w:eastAsia="宋体"/>
                <w:bCs/>
                <w:szCs w:val="21"/>
              </w:rPr>
              <w:t>授权</w:t>
            </w:r>
            <w:r>
              <w:rPr>
                <w:rFonts w:hint="eastAsia" w:ascii="宋体" w:hAnsi="宋体" w:eastAsia="宋体"/>
                <w:bCs/>
                <w:szCs w:val="21"/>
              </w:rPr>
              <w:t>委托</w:t>
            </w:r>
            <w:r>
              <w:rPr>
                <w:rFonts w:ascii="宋体" w:hAnsi="宋体" w:eastAsia="宋体"/>
                <w:bCs/>
                <w:szCs w:val="21"/>
              </w:rPr>
              <w:t>书</w:t>
            </w:r>
            <w:r>
              <w:rPr>
                <w:rFonts w:hint="eastAsia" w:ascii="宋体" w:hAnsi="宋体" w:eastAsia="宋体"/>
                <w:szCs w:val="21"/>
              </w:rPr>
              <w:t>（格式详见招标文件第六章）和授权代表社保缴纳证明（2024年6月（含）</w:t>
            </w:r>
            <w:r>
              <w:rPr>
                <w:rFonts w:ascii="宋体" w:hAnsi="宋体" w:eastAsia="宋体"/>
                <w:szCs w:val="21"/>
              </w:rPr>
              <w:t>以后任意一月）</w:t>
            </w:r>
            <w:r>
              <w:rPr>
                <w:rFonts w:hint="eastAsia" w:ascii="宋体" w:hAnsi="宋体" w:eastAsia="宋体"/>
                <w:szCs w:val="21"/>
              </w:rPr>
              <w:t>；</w:t>
            </w:r>
          </w:p>
          <w:p w14:paraId="4B73C65B">
            <w:pPr>
              <w:adjustRightInd w:val="0"/>
              <w:snapToGrid w:val="0"/>
              <w:spacing w:line="288" w:lineRule="auto"/>
              <w:rPr>
                <w:rFonts w:hint="eastAsia" w:ascii="宋体" w:hAnsi="宋体" w:eastAsia="宋体"/>
                <w:szCs w:val="21"/>
              </w:rPr>
            </w:pPr>
            <w:r>
              <w:rPr>
                <w:rFonts w:hint="eastAsia" w:ascii="宋体" w:hAnsi="宋体" w:eastAsia="宋体"/>
                <w:szCs w:val="21"/>
              </w:rPr>
              <w:t>▲</w:t>
            </w:r>
            <w:r>
              <w:rPr>
                <w:rFonts w:ascii="宋体" w:hAnsi="宋体" w:eastAsia="宋体"/>
                <w:szCs w:val="21"/>
              </w:rPr>
              <w:t>3.</w:t>
            </w:r>
            <w:r>
              <w:rPr>
                <w:rFonts w:hint="eastAsia" w:ascii="宋体" w:hAnsi="宋体" w:eastAsia="宋体"/>
                <w:szCs w:val="21"/>
              </w:rPr>
              <w:t>投标人委派不在本单位缴纳社保的人员作为授权代表的，应当在投标文件中，说明具体原因、授权代表缴纳社保的单位，并附列该授权代表缴纳社保清单。</w:t>
            </w:r>
          </w:p>
        </w:tc>
      </w:tr>
      <w:tr w14:paraId="110C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552DB580">
            <w:pPr>
              <w:adjustRightInd w:val="0"/>
              <w:snapToGrid w:val="0"/>
              <w:spacing w:line="288" w:lineRule="auto"/>
              <w:jc w:val="center"/>
              <w:rPr>
                <w:rFonts w:hint="eastAsia" w:ascii="宋体" w:hAnsi="宋体" w:eastAsia="宋体"/>
                <w:szCs w:val="21"/>
              </w:rPr>
            </w:pPr>
            <w:r>
              <w:rPr>
                <w:rFonts w:hint="eastAsia" w:ascii="宋体" w:hAnsi="宋体" w:eastAsia="宋体"/>
                <w:szCs w:val="21"/>
              </w:rPr>
              <w:t>（四）</w:t>
            </w:r>
          </w:p>
        </w:tc>
        <w:tc>
          <w:tcPr>
            <w:tcW w:w="1701" w:type="dxa"/>
            <w:vAlign w:val="center"/>
          </w:tcPr>
          <w:p w14:paraId="5598C717">
            <w:pPr>
              <w:adjustRightInd w:val="0"/>
              <w:snapToGrid w:val="0"/>
              <w:spacing w:line="288" w:lineRule="auto"/>
              <w:jc w:val="center"/>
              <w:rPr>
                <w:rFonts w:hint="eastAsia" w:ascii="宋体" w:hAnsi="宋体" w:eastAsia="宋体"/>
                <w:szCs w:val="21"/>
              </w:rPr>
            </w:pPr>
            <w:r>
              <w:rPr>
                <w:rFonts w:hint="eastAsia" w:ascii="宋体" w:hAnsi="宋体" w:eastAsia="宋体"/>
                <w:szCs w:val="21"/>
              </w:rPr>
              <w:t>投标费用</w:t>
            </w:r>
          </w:p>
        </w:tc>
        <w:tc>
          <w:tcPr>
            <w:tcW w:w="6663" w:type="dxa"/>
            <w:vAlign w:val="center"/>
          </w:tcPr>
          <w:p w14:paraId="611AA428">
            <w:pPr>
              <w:adjustRightInd w:val="0"/>
              <w:snapToGrid w:val="0"/>
              <w:spacing w:line="288" w:lineRule="auto"/>
              <w:rPr>
                <w:rFonts w:hint="eastAsia" w:ascii="宋体" w:hAnsi="宋体" w:eastAsia="宋体"/>
                <w:szCs w:val="21"/>
              </w:rPr>
            </w:pPr>
            <w:r>
              <w:rPr>
                <w:rFonts w:hint="eastAsia" w:ascii="宋体" w:hAnsi="宋体" w:eastAsia="宋体"/>
                <w:szCs w:val="21"/>
              </w:rPr>
              <w:t>1.不论投标结果如何，投标人均应自行承担所有与投标有关的全部费用；</w:t>
            </w:r>
          </w:p>
          <w:p w14:paraId="56187476">
            <w:pPr>
              <w:adjustRightInd w:val="0"/>
              <w:snapToGrid w:val="0"/>
              <w:spacing w:line="288" w:lineRule="auto"/>
              <w:rPr>
                <w:rFonts w:hint="eastAsia" w:ascii="宋体" w:hAnsi="宋体" w:eastAsia="宋体"/>
                <w:szCs w:val="21"/>
              </w:rPr>
            </w:pPr>
            <w:r>
              <w:rPr>
                <w:rFonts w:hint="eastAsia" w:ascii="宋体" w:hAnsi="宋体" w:eastAsia="宋体"/>
                <w:szCs w:val="21"/>
              </w:rPr>
              <w:t>2.中标人在中标通知书发出之日起七个工作日内，向采购代理机构交纳代理服务费；</w:t>
            </w:r>
          </w:p>
          <w:p w14:paraId="0338BC38">
            <w:pPr>
              <w:adjustRightInd w:val="0"/>
              <w:snapToGrid w:val="0"/>
              <w:spacing w:line="288" w:lineRule="auto"/>
              <w:rPr>
                <w:rFonts w:hint="eastAsia" w:ascii="宋体" w:hAnsi="宋体" w:eastAsia="宋体"/>
                <w:szCs w:val="21"/>
              </w:rPr>
            </w:pPr>
            <w:r>
              <w:rPr>
                <w:rFonts w:hint="eastAsia" w:ascii="宋体" w:hAnsi="宋体" w:eastAsia="宋体"/>
                <w:szCs w:val="21"/>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14:paraId="329972A8">
            <w:pPr>
              <w:adjustRightInd w:val="0"/>
              <w:snapToGrid w:val="0"/>
              <w:spacing w:line="288" w:lineRule="auto"/>
              <w:rPr>
                <w:rFonts w:hint="eastAsia" w:ascii="宋体" w:hAnsi="宋体" w:eastAsia="宋体"/>
                <w:szCs w:val="21"/>
              </w:rPr>
            </w:pPr>
            <w:r>
              <w:rPr>
                <w:rFonts w:hint="eastAsia" w:ascii="宋体" w:hAnsi="宋体" w:eastAsia="宋体"/>
                <w:szCs w:val="21"/>
              </w:rPr>
              <w:t>4</w:t>
            </w:r>
            <w:r>
              <w:rPr>
                <w:rFonts w:ascii="宋体" w:hAnsi="宋体" w:eastAsia="宋体"/>
                <w:szCs w:val="21"/>
              </w:rPr>
              <w:t>.</w:t>
            </w:r>
            <w:r>
              <w:rPr>
                <w:rFonts w:hint="eastAsia" w:ascii="宋体" w:hAnsi="宋体" w:eastAsia="宋体"/>
                <w:szCs w:val="21"/>
              </w:rPr>
              <w:t>收费标准（差额累进）：</w:t>
            </w:r>
          </w:p>
          <w:tbl>
            <w:tblPr>
              <w:tblStyle w:val="2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51"/>
              <w:gridCol w:w="3070"/>
            </w:tblGrid>
            <w:tr w14:paraId="57B6BF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43D0675B">
                  <w:pPr>
                    <w:adjustRightInd w:val="0"/>
                    <w:snapToGrid w:val="0"/>
                    <w:spacing w:line="288" w:lineRule="auto"/>
                    <w:jc w:val="center"/>
                    <w:rPr>
                      <w:rFonts w:hint="eastAsia" w:ascii="宋体" w:hAnsi="宋体" w:eastAsia="宋体"/>
                      <w:szCs w:val="21"/>
                    </w:rPr>
                  </w:pPr>
                  <w:r>
                    <w:rPr>
                      <w:rFonts w:hint="eastAsia" w:ascii="宋体" w:hAnsi="宋体" w:eastAsia="宋体"/>
                      <w:szCs w:val="21"/>
                    </w:rPr>
                    <w:t>中标金额（万元）</w:t>
                  </w:r>
                </w:p>
              </w:tc>
              <w:tc>
                <w:tcPr>
                  <w:tcW w:w="3070" w:type="dxa"/>
                  <w:tcMar>
                    <w:top w:w="0" w:type="dxa"/>
                    <w:left w:w="108" w:type="dxa"/>
                    <w:bottom w:w="0" w:type="dxa"/>
                    <w:right w:w="108" w:type="dxa"/>
                  </w:tcMar>
                  <w:vAlign w:val="center"/>
                </w:tcPr>
                <w:p w14:paraId="2D19F41D">
                  <w:pPr>
                    <w:adjustRightInd w:val="0"/>
                    <w:snapToGrid w:val="0"/>
                    <w:spacing w:line="288" w:lineRule="auto"/>
                    <w:jc w:val="center"/>
                    <w:rPr>
                      <w:rFonts w:hint="eastAsia" w:ascii="宋体" w:hAnsi="宋体" w:eastAsia="宋体"/>
                      <w:szCs w:val="21"/>
                    </w:rPr>
                  </w:pPr>
                  <w:r>
                    <w:rPr>
                      <w:rFonts w:hint="eastAsia" w:ascii="宋体" w:hAnsi="宋体" w:eastAsia="宋体"/>
                      <w:szCs w:val="21"/>
                    </w:rPr>
                    <w:t>收费标准（费率，%）</w:t>
                  </w:r>
                </w:p>
              </w:tc>
            </w:tr>
            <w:tr w14:paraId="16F14C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18CFDAA4">
                  <w:pPr>
                    <w:widowControl/>
                    <w:jc w:val="center"/>
                    <w:textAlignment w:val="center"/>
                    <w:rPr>
                      <w:rFonts w:hint="eastAsia" w:ascii="宋体" w:hAnsi="宋体" w:eastAsia="宋体"/>
                      <w:szCs w:val="21"/>
                    </w:rPr>
                  </w:pPr>
                  <w:r>
                    <w:rPr>
                      <w:rFonts w:hint="eastAsia" w:ascii="宋体" w:hAnsi="宋体" w:eastAsia="宋体" w:cs="宋体"/>
                      <w:kern w:val="0"/>
                      <w:szCs w:val="21"/>
                      <w:lang w:bidi="ar"/>
                    </w:rPr>
                    <w:t>100以下</w:t>
                  </w:r>
                </w:p>
              </w:tc>
              <w:tc>
                <w:tcPr>
                  <w:tcW w:w="3070" w:type="dxa"/>
                  <w:tcMar>
                    <w:top w:w="0" w:type="dxa"/>
                    <w:left w:w="108" w:type="dxa"/>
                    <w:bottom w:w="0" w:type="dxa"/>
                    <w:right w:w="108" w:type="dxa"/>
                  </w:tcMar>
                  <w:vAlign w:val="center"/>
                </w:tcPr>
                <w:p w14:paraId="79038424">
                  <w:pPr>
                    <w:widowControl/>
                    <w:jc w:val="center"/>
                    <w:textAlignment w:val="center"/>
                    <w:rPr>
                      <w:rFonts w:hint="eastAsia" w:ascii="宋体" w:hAnsi="宋体" w:eastAsia="宋体"/>
                      <w:szCs w:val="21"/>
                    </w:rPr>
                  </w:pPr>
                  <w:r>
                    <w:rPr>
                      <w:rFonts w:hint="eastAsia" w:ascii="宋体" w:hAnsi="宋体" w:eastAsia="宋体" w:cs="宋体"/>
                      <w:kern w:val="0"/>
                      <w:szCs w:val="21"/>
                      <w:lang w:bidi="ar"/>
                    </w:rPr>
                    <w:t>1.05%</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（不足2000元按2000元计）</w:t>
                  </w:r>
                </w:p>
              </w:tc>
            </w:tr>
            <w:tr w14:paraId="7C281B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421526D6">
                  <w:pPr>
                    <w:widowControl/>
                    <w:jc w:val="center"/>
                    <w:textAlignment w:val="center"/>
                    <w:rPr>
                      <w:rFonts w:hint="eastAsia" w:ascii="宋体" w:hAnsi="宋体" w:eastAsia="宋体"/>
                      <w:szCs w:val="21"/>
                    </w:rPr>
                  </w:pPr>
                  <w:r>
                    <w:rPr>
                      <w:rFonts w:hint="eastAsia" w:ascii="宋体" w:hAnsi="宋体" w:eastAsia="宋体" w:cs="宋体"/>
                      <w:kern w:val="0"/>
                      <w:szCs w:val="21"/>
                      <w:lang w:bidi="ar"/>
                    </w:rPr>
                    <w:t>100-200</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（超过200万按200万计算）</w:t>
                  </w:r>
                </w:p>
              </w:tc>
              <w:tc>
                <w:tcPr>
                  <w:tcW w:w="3070" w:type="dxa"/>
                  <w:tcMar>
                    <w:top w:w="0" w:type="dxa"/>
                    <w:left w:w="108" w:type="dxa"/>
                    <w:bottom w:w="0" w:type="dxa"/>
                    <w:right w:w="108" w:type="dxa"/>
                  </w:tcMar>
                  <w:vAlign w:val="center"/>
                </w:tcPr>
                <w:p w14:paraId="407FA6A0">
                  <w:pPr>
                    <w:widowControl/>
                    <w:jc w:val="center"/>
                    <w:textAlignment w:val="center"/>
                    <w:rPr>
                      <w:rFonts w:hint="eastAsia" w:ascii="宋体" w:hAnsi="宋体" w:eastAsia="宋体"/>
                      <w:szCs w:val="21"/>
                    </w:rPr>
                  </w:pPr>
                  <w:r>
                    <w:rPr>
                      <w:rFonts w:hint="eastAsia" w:ascii="宋体" w:hAnsi="宋体" w:eastAsia="宋体" w:cs="宋体"/>
                      <w:kern w:val="0"/>
                      <w:szCs w:val="21"/>
                      <w:lang w:bidi="ar"/>
                    </w:rPr>
                    <w:t>0.77%</w:t>
                  </w:r>
                </w:p>
              </w:tc>
            </w:tr>
          </w:tbl>
          <w:p w14:paraId="29B49D87">
            <w:pPr>
              <w:adjustRightInd w:val="0"/>
              <w:snapToGrid w:val="0"/>
              <w:spacing w:line="288" w:lineRule="auto"/>
              <w:rPr>
                <w:rFonts w:hint="eastAsia" w:ascii="宋体" w:hAnsi="宋体" w:eastAsia="宋体"/>
                <w:szCs w:val="21"/>
              </w:rPr>
            </w:pPr>
          </w:p>
        </w:tc>
      </w:tr>
      <w:tr w14:paraId="07B17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1470EBFD">
            <w:pPr>
              <w:adjustRightInd w:val="0"/>
              <w:snapToGrid w:val="0"/>
              <w:spacing w:line="288" w:lineRule="auto"/>
              <w:jc w:val="center"/>
              <w:rPr>
                <w:rFonts w:hint="eastAsia" w:ascii="宋体" w:hAnsi="宋体" w:eastAsia="宋体"/>
                <w:szCs w:val="21"/>
              </w:rPr>
            </w:pPr>
            <w:r>
              <w:rPr>
                <w:rFonts w:hint="eastAsia" w:ascii="宋体" w:hAnsi="宋体" w:eastAsia="宋体"/>
                <w:szCs w:val="21"/>
              </w:rPr>
              <w:t>（五）</w:t>
            </w:r>
          </w:p>
        </w:tc>
        <w:tc>
          <w:tcPr>
            <w:tcW w:w="1701" w:type="dxa"/>
            <w:vAlign w:val="center"/>
          </w:tcPr>
          <w:p w14:paraId="4B1A109E">
            <w:pPr>
              <w:adjustRightInd w:val="0"/>
              <w:snapToGrid w:val="0"/>
              <w:spacing w:line="288" w:lineRule="auto"/>
              <w:ind w:right="-105" w:rightChars="-50"/>
              <w:jc w:val="center"/>
              <w:rPr>
                <w:rFonts w:hint="eastAsia" w:ascii="宋体" w:hAnsi="宋体" w:eastAsia="宋体"/>
                <w:szCs w:val="21"/>
              </w:rPr>
            </w:pPr>
            <w:r>
              <w:rPr>
                <w:rFonts w:hint="eastAsia" w:ascii="宋体" w:hAnsi="宋体" w:eastAsia="宋体" w:cs="Times New Roman"/>
                <w:spacing w:val="-6"/>
                <w:szCs w:val="21"/>
              </w:rPr>
              <w:t>投标保证金（元）</w:t>
            </w:r>
          </w:p>
        </w:tc>
        <w:tc>
          <w:tcPr>
            <w:tcW w:w="6663" w:type="dxa"/>
            <w:vAlign w:val="center"/>
          </w:tcPr>
          <w:p w14:paraId="41FC50B8">
            <w:pPr>
              <w:adjustRightInd w:val="0"/>
              <w:snapToGrid w:val="0"/>
              <w:spacing w:line="288" w:lineRule="auto"/>
              <w:rPr>
                <w:rFonts w:hint="eastAsia" w:ascii="宋体" w:hAnsi="宋体" w:eastAsia="宋体"/>
                <w:szCs w:val="21"/>
              </w:rPr>
            </w:pPr>
            <w:r>
              <w:rPr>
                <w:rFonts w:hint="eastAsia" w:ascii="宋体" w:hAnsi="宋体" w:eastAsia="宋体" w:cs="Times New Roman"/>
                <w:spacing w:val="-6"/>
                <w:szCs w:val="21"/>
              </w:rPr>
              <w:t>无。</w:t>
            </w:r>
          </w:p>
        </w:tc>
      </w:tr>
      <w:tr w14:paraId="71BEC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3EF21848">
            <w:pPr>
              <w:adjustRightInd w:val="0"/>
              <w:snapToGrid w:val="0"/>
              <w:spacing w:line="288" w:lineRule="auto"/>
              <w:jc w:val="center"/>
              <w:rPr>
                <w:rFonts w:hint="eastAsia" w:ascii="宋体" w:hAnsi="宋体" w:eastAsia="宋体"/>
                <w:szCs w:val="21"/>
              </w:rPr>
            </w:pPr>
            <w:r>
              <w:rPr>
                <w:rFonts w:hint="eastAsia" w:ascii="宋体" w:hAnsi="宋体" w:eastAsia="宋体"/>
                <w:szCs w:val="21"/>
              </w:rPr>
              <w:t>（六）</w:t>
            </w:r>
          </w:p>
        </w:tc>
        <w:tc>
          <w:tcPr>
            <w:tcW w:w="1701" w:type="dxa"/>
            <w:vAlign w:val="center"/>
          </w:tcPr>
          <w:p w14:paraId="689A5626">
            <w:pPr>
              <w:adjustRightInd w:val="0"/>
              <w:snapToGrid w:val="0"/>
              <w:spacing w:line="288" w:lineRule="auto"/>
              <w:jc w:val="center"/>
              <w:rPr>
                <w:rFonts w:hint="eastAsia" w:ascii="宋体" w:hAnsi="宋体" w:eastAsia="宋体"/>
                <w:szCs w:val="21"/>
              </w:rPr>
            </w:pPr>
            <w:r>
              <w:rPr>
                <w:rFonts w:hint="eastAsia" w:ascii="宋体" w:hAnsi="宋体" w:eastAsia="宋体"/>
                <w:szCs w:val="21"/>
              </w:rPr>
              <w:t>联合体投标</w:t>
            </w:r>
          </w:p>
        </w:tc>
        <w:tc>
          <w:tcPr>
            <w:tcW w:w="6663" w:type="dxa"/>
            <w:vAlign w:val="center"/>
          </w:tcPr>
          <w:p w14:paraId="03E7E166">
            <w:pPr>
              <w:adjustRightInd w:val="0"/>
              <w:snapToGrid w:val="0"/>
              <w:spacing w:line="288" w:lineRule="auto"/>
              <w:rPr>
                <w:rFonts w:hint="eastAsia" w:ascii="宋体" w:hAnsi="宋体" w:eastAsia="宋体"/>
                <w:szCs w:val="21"/>
              </w:rPr>
            </w:pPr>
            <w:r>
              <w:rPr>
                <w:rFonts w:hint="eastAsia" w:ascii="宋体" w:hAnsi="宋体" w:eastAsia="宋体"/>
                <w:szCs w:val="21"/>
              </w:rPr>
              <w:t>本项目（是）接受联合体投标。</w:t>
            </w:r>
          </w:p>
        </w:tc>
      </w:tr>
      <w:tr w14:paraId="72587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3EFCCFC4">
            <w:pPr>
              <w:adjustRightInd w:val="0"/>
              <w:snapToGrid w:val="0"/>
              <w:spacing w:line="288" w:lineRule="auto"/>
              <w:jc w:val="center"/>
              <w:rPr>
                <w:rFonts w:hint="eastAsia" w:ascii="宋体" w:hAnsi="宋体" w:eastAsia="宋体"/>
                <w:szCs w:val="21"/>
              </w:rPr>
            </w:pPr>
            <w:r>
              <w:rPr>
                <w:rFonts w:hint="eastAsia" w:ascii="宋体" w:hAnsi="宋体" w:eastAsia="宋体"/>
                <w:szCs w:val="21"/>
              </w:rPr>
              <w:t>（七）</w:t>
            </w:r>
          </w:p>
        </w:tc>
        <w:tc>
          <w:tcPr>
            <w:tcW w:w="1701" w:type="dxa"/>
            <w:vAlign w:val="center"/>
          </w:tcPr>
          <w:p w14:paraId="03BB6441">
            <w:pPr>
              <w:adjustRightInd w:val="0"/>
              <w:snapToGrid w:val="0"/>
              <w:spacing w:line="288" w:lineRule="auto"/>
              <w:jc w:val="center"/>
              <w:rPr>
                <w:rFonts w:hint="eastAsia" w:ascii="宋体" w:hAnsi="宋体" w:eastAsia="宋体"/>
                <w:szCs w:val="21"/>
              </w:rPr>
            </w:pPr>
            <w:r>
              <w:rPr>
                <w:rFonts w:hint="eastAsia" w:ascii="宋体" w:hAnsi="宋体" w:eastAsia="宋体"/>
                <w:szCs w:val="21"/>
              </w:rPr>
              <w:t>转包与分包</w:t>
            </w:r>
          </w:p>
        </w:tc>
        <w:tc>
          <w:tcPr>
            <w:tcW w:w="6663" w:type="dxa"/>
            <w:vAlign w:val="center"/>
          </w:tcPr>
          <w:p w14:paraId="4701C11E">
            <w:pPr>
              <w:adjustRightInd w:val="0"/>
              <w:snapToGrid w:val="0"/>
              <w:spacing w:line="288" w:lineRule="auto"/>
              <w:rPr>
                <w:rFonts w:hint="eastAsia" w:ascii="宋体" w:hAnsi="宋体" w:eastAsia="宋体"/>
                <w:szCs w:val="21"/>
              </w:rPr>
            </w:pPr>
            <w:r>
              <w:rPr>
                <w:rFonts w:hint="eastAsia" w:ascii="宋体" w:hAnsi="宋体" w:eastAsia="宋体"/>
                <w:szCs w:val="21"/>
              </w:rPr>
              <w:t>1</w:t>
            </w:r>
            <w:r>
              <w:rPr>
                <w:rFonts w:ascii="宋体" w:hAnsi="宋体" w:eastAsia="宋体"/>
                <w:szCs w:val="21"/>
              </w:rPr>
              <w:t>.</w:t>
            </w:r>
            <w:r>
              <w:rPr>
                <w:rFonts w:hint="eastAsia" w:ascii="宋体" w:hAnsi="宋体" w:eastAsia="宋体"/>
                <w:szCs w:val="21"/>
              </w:rPr>
              <w:t>本项目不允许转包；</w:t>
            </w:r>
          </w:p>
          <w:p w14:paraId="295A7BE2">
            <w:pPr>
              <w:adjustRightInd w:val="0"/>
              <w:snapToGrid w:val="0"/>
              <w:spacing w:line="288" w:lineRule="auto"/>
              <w:rPr>
                <w:rFonts w:hint="eastAsia" w:ascii="宋体" w:hAnsi="宋体" w:eastAsia="宋体"/>
                <w:szCs w:val="21"/>
              </w:rPr>
            </w:pPr>
            <w:r>
              <w:rPr>
                <w:rFonts w:ascii="宋体" w:hAnsi="宋体" w:eastAsia="宋体"/>
                <w:szCs w:val="21"/>
              </w:rPr>
              <w:t>2.</w:t>
            </w:r>
            <w:r>
              <w:rPr>
                <w:rFonts w:hint="eastAsia" w:ascii="宋体" w:hAnsi="宋体" w:eastAsia="宋体"/>
                <w:szCs w:val="21"/>
              </w:rPr>
              <w:t>本项目</w:t>
            </w:r>
            <w:r>
              <w:rPr>
                <w:rFonts w:hint="eastAsia" w:ascii="宋体" w:hAnsi="宋体" w:eastAsia="宋体"/>
                <w:b/>
                <w:bCs/>
                <w:szCs w:val="21"/>
                <w:u w:val="single"/>
              </w:rPr>
              <w:t>允许</w:t>
            </w:r>
            <w:r>
              <w:rPr>
                <w:rFonts w:hint="eastAsia" w:ascii="宋体" w:hAnsi="宋体" w:eastAsia="宋体"/>
                <w:szCs w:val="21"/>
              </w:rPr>
              <w:t>分包，</w:t>
            </w:r>
            <w:r>
              <w:rPr>
                <w:rFonts w:ascii="宋体" w:hAnsi="宋体" w:eastAsia="宋体"/>
                <w:szCs w:val="21"/>
              </w:rPr>
              <w:t>可以分包履行的（非主体、非关键性的工作）具体内容、金额或者比例：</w:t>
            </w:r>
            <w:r>
              <w:rPr>
                <w:rFonts w:ascii="宋体" w:hAnsi="宋体" w:eastAsia="宋体"/>
                <w:szCs w:val="21"/>
                <w:u w:val="single"/>
              </w:rPr>
              <w:t xml:space="preserve"> </w:t>
            </w:r>
            <w:r>
              <w:rPr>
                <w:rFonts w:hint="eastAsia" w:ascii="宋体" w:hAnsi="宋体" w:eastAsia="宋体"/>
                <w:szCs w:val="21"/>
                <w:u w:val="single"/>
              </w:rPr>
              <w:t>设备运输</w:t>
            </w:r>
            <w:r>
              <w:rPr>
                <w:rFonts w:ascii="宋体" w:hAnsi="宋体" w:eastAsia="宋体"/>
                <w:szCs w:val="21"/>
                <w:u w:val="single"/>
              </w:rPr>
              <w:t xml:space="preserve"> 。</w:t>
            </w:r>
          </w:p>
          <w:p w14:paraId="0F4F5ABB">
            <w:pPr>
              <w:adjustRightInd w:val="0"/>
              <w:snapToGrid w:val="0"/>
              <w:spacing w:line="288" w:lineRule="auto"/>
              <w:rPr>
                <w:rFonts w:hint="eastAsia" w:ascii="宋体" w:hAnsi="宋体" w:eastAsia="宋体" w:cs="Times New Roman"/>
                <w:spacing w:val="-6"/>
                <w:szCs w:val="21"/>
              </w:rPr>
            </w:pPr>
            <w:r>
              <w:rPr>
                <w:rFonts w:hint="eastAsia" w:ascii="宋体" w:hAnsi="宋体" w:eastAsia="宋体"/>
                <w:szCs w:val="21"/>
              </w:rPr>
              <w:t>说明：投标人根据招标文件的规定和采购项目的实际情况，拟在中标后将中标项目的非主体、非关键性工作分包的，应当在投标文件中载明分包承担主体，分包承担主体应当具备相应资质条件且不得再次分包。</w:t>
            </w:r>
          </w:p>
        </w:tc>
      </w:tr>
      <w:tr w14:paraId="14450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4625E0EB">
            <w:pPr>
              <w:adjustRightInd w:val="0"/>
              <w:snapToGrid w:val="0"/>
              <w:spacing w:line="288" w:lineRule="auto"/>
              <w:jc w:val="center"/>
              <w:rPr>
                <w:rFonts w:hint="eastAsia" w:ascii="宋体" w:hAnsi="宋体" w:eastAsia="宋体"/>
                <w:szCs w:val="21"/>
              </w:rPr>
            </w:pPr>
            <w:r>
              <w:rPr>
                <w:rFonts w:hint="eastAsia" w:ascii="宋体" w:hAnsi="宋体" w:eastAsia="宋体"/>
                <w:szCs w:val="21"/>
              </w:rPr>
              <w:t>（八）</w:t>
            </w:r>
          </w:p>
        </w:tc>
        <w:tc>
          <w:tcPr>
            <w:tcW w:w="1701" w:type="dxa"/>
            <w:vAlign w:val="center"/>
          </w:tcPr>
          <w:p w14:paraId="36327568">
            <w:pPr>
              <w:adjustRightInd w:val="0"/>
              <w:snapToGrid w:val="0"/>
              <w:spacing w:line="288" w:lineRule="auto"/>
              <w:jc w:val="center"/>
              <w:rPr>
                <w:rFonts w:hint="eastAsia" w:ascii="宋体" w:hAnsi="宋体" w:eastAsia="宋体"/>
                <w:szCs w:val="21"/>
              </w:rPr>
            </w:pPr>
            <w:r>
              <w:rPr>
                <w:rFonts w:hint="eastAsia" w:ascii="宋体" w:hAnsi="宋体" w:eastAsia="宋体"/>
                <w:b/>
                <w:bCs/>
                <w:szCs w:val="21"/>
              </w:rPr>
              <w:t>信用记录</w:t>
            </w:r>
          </w:p>
        </w:tc>
        <w:tc>
          <w:tcPr>
            <w:tcW w:w="6663" w:type="dxa"/>
            <w:vAlign w:val="center"/>
          </w:tcPr>
          <w:p w14:paraId="48CEEF0C">
            <w:pPr>
              <w:adjustRightInd w:val="0"/>
              <w:snapToGrid w:val="0"/>
              <w:spacing w:line="288" w:lineRule="auto"/>
              <w:rPr>
                <w:rFonts w:hint="eastAsia" w:ascii="宋体" w:hAnsi="宋体" w:eastAsia="宋体"/>
                <w:szCs w:val="21"/>
              </w:rPr>
            </w:pPr>
            <w:r>
              <w:rPr>
                <w:rFonts w:hint="eastAsia" w:ascii="宋体" w:hAnsi="宋体" w:eastAsia="宋体"/>
                <w:bCs/>
                <w:szCs w:val="21"/>
              </w:rPr>
              <w:t>根据财库[2016]125号《关于在政府采购活动中查询及使用信用记录有关问题的通知》要求，采购代理机构会对投标人信用记录进行查询并甄别。信用</w:t>
            </w:r>
            <w:r>
              <w:rPr>
                <w:rFonts w:hint="eastAsia" w:ascii="宋体" w:hAnsi="宋体" w:eastAsia="宋体"/>
                <w:szCs w:val="21"/>
              </w:rPr>
              <w:t>信息查询的截止时点：投标截止时间；</w:t>
            </w:r>
          </w:p>
          <w:p w14:paraId="45B57826">
            <w:pPr>
              <w:adjustRightInd w:val="0"/>
              <w:snapToGrid w:val="0"/>
              <w:spacing w:line="288" w:lineRule="auto"/>
              <w:rPr>
                <w:rFonts w:hint="eastAsia" w:ascii="宋体" w:hAnsi="宋体" w:eastAsia="宋体"/>
                <w:szCs w:val="21"/>
              </w:rPr>
            </w:pPr>
            <w:r>
              <w:rPr>
                <w:rFonts w:hint="eastAsia" w:ascii="宋体" w:hAnsi="宋体" w:eastAsia="宋体"/>
                <w:szCs w:val="21"/>
              </w:rPr>
              <w:t>（</w:t>
            </w:r>
            <w:r>
              <w:rPr>
                <w:rFonts w:ascii="宋体" w:hAnsi="宋体" w:eastAsia="宋体"/>
                <w:szCs w:val="21"/>
              </w:rPr>
              <w:t>1</w:t>
            </w:r>
            <w:r>
              <w:rPr>
                <w:rFonts w:hint="eastAsia" w:ascii="宋体" w:hAnsi="宋体" w:eastAsia="宋体"/>
                <w:szCs w:val="21"/>
              </w:rPr>
              <w:t>）查询渠道：“信用中国”（www.creditchina.gov.cn）、“中国政府采购网”（www.ccgp.gov.cn）；</w:t>
            </w:r>
          </w:p>
          <w:p w14:paraId="5DCF2D02">
            <w:pPr>
              <w:adjustRightInd w:val="0"/>
              <w:snapToGrid w:val="0"/>
              <w:spacing w:line="288" w:lineRule="auto"/>
              <w:rPr>
                <w:rFonts w:hint="eastAsia" w:ascii="宋体" w:hAnsi="宋体" w:eastAsia="宋体"/>
                <w:szCs w:val="21"/>
              </w:rPr>
            </w:pPr>
            <w:r>
              <w:rPr>
                <w:rFonts w:hint="eastAsia" w:ascii="宋体" w:hAnsi="宋体" w:eastAsia="宋体"/>
                <w:szCs w:val="21"/>
              </w:rPr>
              <w:t>（</w:t>
            </w:r>
            <w:r>
              <w:rPr>
                <w:rFonts w:ascii="宋体" w:hAnsi="宋体" w:eastAsia="宋体"/>
                <w:szCs w:val="21"/>
              </w:rPr>
              <w:t>2</w:t>
            </w:r>
            <w:r>
              <w:rPr>
                <w:rFonts w:hint="eastAsia" w:ascii="宋体" w:hAnsi="宋体" w:eastAsia="宋体"/>
                <w:szCs w:val="21"/>
              </w:rPr>
              <w:t>）信用信息查询记录和证据留存具体方式：采购代理机构经办人和监督人员将查询网页打印、签名与其他采购文件一并保存；</w:t>
            </w:r>
          </w:p>
          <w:p w14:paraId="6FFE9272">
            <w:pPr>
              <w:adjustRightInd w:val="0"/>
              <w:snapToGrid w:val="0"/>
              <w:spacing w:line="288" w:lineRule="auto"/>
              <w:rPr>
                <w:rFonts w:hint="eastAsia" w:ascii="宋体" w:hAnsi="宋体" w:eastAsia="宋体"/>
                <w:szCs w:val="21"/>
              </w:rPr>
            </w:pPr>
            <w:r>
              <w:rPr>
                <w:rFonts w:hint="eastAsia" w:ascii="宋体" w:hAnsi="宋体" w:eastAsia="宋体"/>
                <w:szCs w:val="21"/>
              </w:rPr>
              <w:t>（</w:t>
            </w:r>
            <w:r>
              <w:rPr>
                <w:rFonts w:ascii="宋体" w:hAnsi="宋体" w:eastAsia="宋体"/>
                <w:szCs w:val="21"/>
              </w:rPr>
              <w:t>3</w:t>
            </w:r>
            <w:r>
              <w:rPr>
                <w:rFonts w:hint="eastAsia" w:ascii="宋体" w:hAnsi="宋体" w:eastAsia="宋体"/>
                <w:bCs/>
                <w:szCs w:val="21"/>
              </w:rPr>
              <w:t>）信用信息的使用规则：投标人被列入失信被执行人、重大税收违法案件当事人名单、政府采购严重违法失信行为记录名单的，拒绝其参与政府采购活动。</w:t>
            </w:r>
          </w:p>
        </w:tc>
      </w:tr>
      <w:tr w14:paraId="5C04F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3853FF52">
            <w:pPr>
              <w:adjustRightInd w:val="0"/>
              <w:snapToGrid w:val="0"/>
              <w:spacing w:line="288" w:lineRule="auto"/>
              <w:jc w:val="center"/>
              <w:rPr>
                <w:rFonts w:hint="eastAsia" w:ascii="宋体" w:hAnsi="宋体" w:eastAsia="宋体"/>
                <w:szCs w:val="21"/>
              </w:rPr>
            </w:pPr>
            <w:r>
              <w:rPr>
                <w:rFonts w:hint="eastAsia" w:ascii="宋体" w:hAnsi="宋体" w:eastAsia="宋体"/>
                <w:szCs w:val="21"/>
              </w:rPr>
              <w:t>（九）</w:t>
            </w:r>
          </w:p>
        </w:tc>
        <w:tc>
          <w:tcPr>
            <w:tcW w:w="1701" w:type="dxa"/>
            <w:vAlign w:val="center"/>
          </w:tcPr>
          <w:p w14:paraId="0976B446">
            <w:pPr>
              <w:adjustRightInd w:val="0"/>
              <w:snapToGrid w:val="0"/>
              <w:spacing w:line="288" w:lineRule="auto"/>
              <w:jc w:val="center"/>
              <w:rPr>
                <w:rFonts w:hint="eastAsia" w:ascii="宋体" w:hAnsi="宋体" w:eastAsia="宋体"/>
                <w:szCs w:val="21"/>
              </w:rPr>
            </w:pPr>
            <w:r>
              <w:rPr>
                <w:rFonts w:hint="eastAsia" w:ascii="宋体" w:hAnsi="宋体" w:eastAsia="宋体"/>
                <w:szCs w:val="21"/>
              </w:rPr>
              <w:t>资格审查要求的资格证明材料</w:t>
            </w:r>
          </w:p>
        </w:tc>
        <w:tc>
          <w:tcPr>
            <w:tcW w:w="6663" w:type="dxa"/>
            <w:vAlign w:val="center"/>
          </w:tcPr>
          <w:p w14:paraId="29EE9FD9">
            <w:pPr>
              <w:adjustRightInd w:val="0"/>
              <w:snapToGrid w:val="0"/>
              <w:spacing w:line="288" w:lineRule="auto"/>
              <w:rPr>
                <w:rFonts w:hint="eastAsia" w:ascii="宋体" w:hAnsi="宋体" w:eastAsia="宋体" w:cs="Times New Roman"/>
                <w:b/>
                <w:spacing w:val="-6"/>
                <w:szCs w:val="21"/>
              </w:rPr>
            </w:pPr>
            <w:r>
              <w:rPr>
                <w:rFonts w:hint="eastAsia" w:ascii="宋体" w:hAnsi="宋体" w:eastAsia="宋体" w:cs="Times New Roman"/>
                <w:b/>
                <w:spacing w:val="-6"/>
                <w:szCs w:val="21"/>
              </w:rPr>
              <w:t>资格审查要求的资格证明材料（均需加盖公章）</w:t>
            </w:r>
          </w:p>
          <w:p w14:paraId="42770712">
            <w:pPr>
              <w:adjustRightInd w:val="0"/>
              <w:snapToGrid w:val="0"/>
              <w:spacing w:line="288" w:lineRule="auto"/>
              <w:rPr>
                <w:rFonts w:hint="eastAsia" w:ascii="宋体" w:hAnsi="宋体" w:eastAsia="宋体"/>
                <w:bCs/>
                <w:szCs w:val="21"/>
              </w:rPr>
            </w:pPr>
            <w:r>
              <w:rPr>
                <w:rFonts w:hint="eastAsia" w:ascii="宋体" w:hAnsi="宋体" w:eastAsia="宋体"/>
                <w:szCs w:val="21"/>
              </w:rPr>
              <w:t>（</w:t>
            </w:r>
            <w:r>
              <w:rPr>
                <w:rFonts w:hint="eastAsia" w:ascii="宋体" w:hAnsi="宋体" w:eastAsia="宋体"/>
                <w:bCs/>
                <w:szCs w:val="21"/>
              </w:rPr>
              <w:t>1）有效的法人或者其他组织的营业执照等证明文件，自然人的身份证明</w:t>
            </w:r>
          </w:p>
          <w:p w14:paraId="6B572311">
            <w:pPr>
              <w:adjustRightInd w:val="0"/>
              <w:snapToGrid w:val="0"/>
              <w:spacing w:line="288" w:lineRule="auto"/>
              <w:rPr>
                <w:rFonts w:hint="eastAsia" w:ascii="宋体" w:hAnsi="宋体" w:eastAsia="宋体"/>
                <w:bCs/>
                <w:szCs w:val="21"/>
              </w:rPr>
            </w:pPr>
            <w:r>
              <w:rPr>
                <w:rFonts w:hint="eastAsia" w:ascii="宋体" w:hAnsi="宋体" w:eastAsia="宋体"/>
                <w:szCs w:val="21"/>
              </w:rPr>
              <w:t>（</w:t>
            </w:r>
            <w:r>
              <w:rPr>
                <w:rFonts w:hint="eastAsia" w:ascii="宋体" w:hAnsi="宋体" w:eastAsia="宋体"/>
                <w:bCs/>
                <w:szCs w:val="21"/>
              </w:rPr>
              <w:t>2）符合参加政府采购活动应当具备的一般条件的承诺函</w:t>
            </w:r>
          </w:p>
          <w:p w14:paraId="08E921BD">
            <w:pPr>
              <w:adjustRightInd w:val="0"/>
              <w:snapToGrid w:val="0"/>
              <w:spacing w:line="288" w:lineRule="auto"/>
              <w:rPr>
                <w:rFonts w:hint="eastAsia" w:ascii="宋体" w:hAnsi="宋体" w:eastAsia="宋体"/>
                <w:bCs/>
                <w:szCs w:val="21"/>
              </w:rPr>
            </w:pPr>
            <w:r>
              <w:rPr>
                <w:rFonts w:hint="eastAsia" w:ascii="宋体" w:hAnsi="宋体" w:eastAsia="宋体"/>
                <w:bCs/>
                <w:szCs w:val="21"/>
              </w:rPr>
              <w:t>（</w:t>
            </w:r>
            <w:r>
              <w:rPr>
                <w:rFonts w:ascii="宋体" w:hAnsi="宋体" w:eastAsia="宋体"/>
                <w:bCs/>
                <w:szCs w:val="21"/>
              </w:rPr>
              <w:t>3</w:t>
            </w:r>
            <w:r>
              <w:rPr>
                <w:rFonts w:hint="eastAsia" w:ascii="宋体" w:hAnsi="宋体" w:eastAsia="宋体"/>
                <w:bCs/>
                <w:szCs w:val="21"/>
              </w:rPr>
              <w:t>）</w:t>
            </w:r>
            <w:r>
              <w:rPr>
                <w:rFonts w:ascii="宋体" w:hAnsi="宋体" w:eastAsia="宋体"/>
                <w:bCs/>
                <w:szCs w:val="21"/>
              </w:rPr>
              <w:t>落实政府采购政策需满足的资格要求：</w:t>
            </w:r>
            <w:r>
              <w:rPr>
                <w:rFonts w:hint="eastAsia" w:ascii="宋体" w:hAnsi="宋体" w:eastAsia="宋体"/>
                <w:bCs/>
                <w:szCs w:val="21"/>
              </w:rPr>
              <w:t>无</w:t>
            </w:r>
          </w:p>
          <w:p w14:paraId="72C00C20">
            <w:pPr>
              <w:adjustRightInd w:val="0"/>
              <w:snapToGrid w:val="0"/>
              <w:spacing w:line="288" w:lineRule="auto"/>
              <w:rPr>
                <w:rFonts w:hint="eastAsia" w:ascii="宋体" w:hAnsi="宋体" w:eastAsia="宋体"/>
                <w:bCs/>
                <w:szCs w:val="21"/>
              </w:rPr>
            </w:pPr>
            <w:r>
              <w:rPr>
                <w:rFonts w:hint="eastAsia" w:ascii="宋体" w:hAnsi="宋体" w:eastAsia="宋体"/>
                <w:szCs w:val="21"/>
              </w:rPr>
              <w:t>（</w:t>
            </w:r>
            <w:r>
              <w:rPr>
                <w:rFonts w:ascii="宋体" w:hAnsi="宋体" w:eastAsia="宋体"/>
                <w:szCs w:val="21"/>
              </w:rPr>
              <w:t>4）</w:t>
            </w:r>
            <w:r>
              <w:rPr>
                <w:rFonts w:hint="eastAsia" w:ascii="宋体" w:hAnsi="宋体" w:eastAsia="宋体"/>
                <w:szCs w:val="21"/>
              </w:rPr>
              <w:t>本项目的特定资格要求</w:t>
            </w:r>
            <w:r>
              <w:rPr>
                <w:rFonts w:ascii="宋体" w:hAnsi="宋体" w:eastAsia="宋体"/>
                <w:szCs w:val="21"/>
              </w:rPr>
              <w:t>证明材料</w:t>
            </w:r>
            <w:r>
              <w:rPr>
                <w:rFonts w:ascii="宋体" w:hAnsi="宋体" w:eastAsia="宋体"/>
                <w:bCs/>
                <w:szCs w:val="21"/>
              </w:rPr>
              <w:t>：</w:t>
            </w:r>
            <w:r>
              <w:rPr>
                <w:rFonts w:hint="eastAsia" w:ascii="宋体" w:hAnsi="宋体" w:eastAsia="宋体"/>
                <w:bCs/>
                <w:szCs w:val="21"/>
              </w:rPr>
              <w:t>无</w:t>
            </w:r>
          </w:p>
          <w:p w14:paraId="4C9E17DE">
            <w:pPr>
              <w:adjustRightInd w:val="0"/>
              <w:snapToGrid w:val="0"/>
              <w:spacing w:line="288" w:lineRule="auto"/>
              <w:rPr>
                <w:rFonts w:hint="eastAsia" w:ascii="宋体" w:hAnsi="宋体" w:eastAsia="宋体"/>
                <w:szCs w:val="21"/>
              </w:rPr>
            </w:pPr>
            <w:r>
              <w:rPr>
                <w:rFonts w:hint="eastAsia" w:ascii="宋体" w:hAnsi="宋体" w:eastAsia="宋体"/>
                <w:szCs w:val="21"/>
              </w:rPr>
              <w:t>（5）</w:t>
            </w:r>
            <w:r>
              <w:rPr>
                <w:rFonts w:hint="eastAsia" w:ascii="宋体" w:hAnsi="宋体" w:eastAsia="宋体"/>
                <w:szCs w:val="21"/>
                <w:lang w:val="zh-CN"/>
              </w:rPr>
              <w:t>联合协议</w:t>
            </w:r>
            <w:r>
              <w:rPr>
                <w:rFonts w:hint="eastAsia" w:ascii="宋体" w:hAnsi="宋体" w:eastAsia="宋体"/>
                <w:szCs w:val="21"/>
              </w:rPr>
              <w:t>（以联合体形式投标的，提供联合协议；本项目不接受联合体投标或者投标人不以联合体形式投标的，则不需要提供）</w:t>
            </w:r>
          </w:p>
          <w:p w14:paraId="68067D62">
            <w:pPr>
              <w:adjustRightInd w:val="0"/>
              <w:snapToGrid w:val="0"/>
              <w:spacing w:line="288" w:lineRule="auto"/>
              <w:rPr>
                <w:rFonts w:hint="eastAsia" w:ascii="宋体" w:hAnsi="宋体" w:eastAsia="宋体"/>
                <w:bCs/>
                <w:szCs w:val="21"/>
              </w:rPr>
            </w:pPr>
          </w:p>
        </w:tc>
      </w:tr>
      <w:tr w14:paraId="64A4D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462BBB55">
            <w:pPr>
              <w:adjustRightInd w:val="0"/>
              <w:snapToGrid w:val="0"/>
              <w:spacing w:line="288" w:lineRule="auto"/>
              <w:jc w:val="center"/>
              <w:rPr>
                <w:rFonts w:hint="eastAsia" w:ascii="宋体" w:hAnsi="宋体" w:eastAsia="宋体"/>
                <w:szCs w:val="21"/>
              </w:rPr>
            </w:pPr>
            <w:r>
              <w:rPr>
                <w:rFonts w:hint="eastAsia" w:ascii="宋体" w:hAnsi="宋体" w:eastAsia="宋体"/>
                <w:szCs w:val="21"/>
              </w:rPr>
              <w:t>（十）</w:t>
            </w:r>
          </w:p>
        </w:tc>
        <w:tc>
          <w:tcPr>
            <w:tcW w:w="1701" w:type="dxa"/>
            <w:vAlign w:val="center"/>
          </w:tcPr>
          <w:p w14:paraId="16BE8D97">
            <w:pPr>
              <w:adjustRightInd w:val="0"/>
              <w:snapToGrid w:val="0"/>
              <w:spacing w:line="288" w:lineRule="auto"/>
              <w:jc w:val="center"/>
              <w:rPr>
                <w:rFonts w:hint="eastAsia" w:ascii="宋体" w:hAnsi="宋体" w:eastAsia="宋体"/>
                <w:szCs w:val="21"/>
              </w:rPr>
            </w:pPr>
            <w:r>
              <w:rPr>
                <w:rFonts w:hint="eastAsia" w:ascii="宋体" w:hAnsi="宋体" w:eastAsia="宋体"/>
                <w:szCs w:val="21"/>
              </w:rPr>
              <w:t>投标文件份数</w:t>
            </w:r>
          </w:p>
        </w:tc>
        <w:tc>
          <w:tcPr>
            <w:tcW w:w="6663" w:type="dxa"/>
            <w:vAlign w:val="center"/>
          </w:tcPr>
          <w:p w14:paraId="274A87F0">
            <w:pPr>
              <w:adjustRightInd w:val="0"/>
              <w:snapToGrid w:val="0"/>
              <w:spacing w:line="288" w:lineRule="auto"/>
              <w:ind w:firstLine="396" w:firstLineChars="200"/>
              <w:jc w:val="left"/>
              <w:rPr>
                <w:rFonts w:hint="eastAsia" w:ascii="宋体" w:hAnsi="宋体" w:eastAsia="宋体"/>
                <w:bCs/>
                <w:spacing w:val="-6"/>
                <w:szCs w:val="21"/>
              </w:rPr>
            </w:pPr>
            <w:r>
              <w:rPr>
                <w:rFonts w:hint="eastAsia" w:ascii="宋体" w:hAnsi="宋体" w:eastAsia="宋体"/>
                <w:bCs/>
                <w:spacing w:val="-6"/>
                <w:szCs w:val="21"/>
              </w:rPr>
              <w:t>电子加密投标文件：政府采购云平台在线上传一份；</w:t>
            </w:r>
          </w:p>
          <w:p w14:paraId="714DD0DC">
            <w:pPr>
              <w:adjustRightInd w:val="0"/>
              <w:snapToGrid w:val="0"/>
              <w:spacing w:line="288" w:lineRule="auto"/>
              <w:ind w:firstLine="396" w:firstLineChars="200"/>
              <w:jc w:val="left"/>
              <w:rPr>
                <w:rFonts w:hint="eastAsia" w:ascii="宋体" w:hAnsi="宋体" w:eastAsia="宋体" w:cs="宋体"/>
                <w:bCs/>
                <w:szCs w:val="21"/>
              </w:rPr>
            </w:pPr>
            <w:r>
              <w:rPr>
                <w:rFonts w:hint="eastAsia" w:ascii="宋体" w:hAnsi="宋体" w:eastAsia="宋体"/>
                <w:bCs/>
                <w:spacing w:val="-6"/>
                <w:szCs w:val="21"/>
              </w:rPr>
              <w:t>备份投标文件：密封包装后EMS或顺丰邮寄形式递交一份（邮寄地址：</w:t>
            </w:r>
            <w:r>
              <w:rPr>
                <w:rFonts w:hint="eastAsia" w:ascii="宋体" w:hAnsi="宋体" w:eastAsia="宋体" w:cs="宋体"/>
                <w:bCs/>
                <w:szCs w:val="21"/>
              </w:rPr>
              <w:t>杭州市西湖区玉古路173号中田大厦21楼H室，浙江求是招标代理有限公司（温瑶）收，电话：0571-87666115，寄出后将（快递单号、项目名称、公司名称、联系方式等相关信息）发至：zb03@qszb.net，以便查收）。</w:t>
            </w:r>
          </w:p>
          <w:p w14:paraId="51527D7C">
            <w:pPr>
              <w:adjustRightInd w:val="0"/>
              <w:snapToGrid w:val="0"/>
              <w:spacing w:line="288" w:lineRule="auto"/>
              <w:ind w:firstLine="422" w:firstLineChars="200"/>
              <w:jc w:val="left"/>
              <w:rPr>
                <w:rFonts w:hint="eastAsia" w:ascii="宋体" w:hAnsi="宋体" w:eastAsia="宋体"/>
                <w:bCs/>
                <w:spacing w:val="-6"/>
                <w:szCs w:val="21"/>
              </w:rPr>
            </w:pPr>
            <w:r>
              <w:rPr>
                <w:rFonts w:hint="eastAsia" w:ascii="宋体" w:hAnsi="宋体" w:eastAsia="宋体" w:cs="宋体"/>
                <w:b/>
                <w:szCs w:val="21"/>
              </w:rPr>
              <w:t>特别说明：双休日和法定节假日不收件，投标人自行承担邮寄风险。</w:t>
            </w:r>
          </w:p>
        </w:tc>
      </w:tr>
      <w:tr w14:paraId="2713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22F53166">
            <w:pPr>
              <w:adjustRightInd w:val="0"/>
              <w:snapToGrid w:val="0"/>
              <w:spacing w:line="288" w:lineRule="auto"/>
              <w:jc w:val="center"/>
              <w:rPr>
                <w:rFonts w:hint="eastAsia" w:ascii="宋体" w:hAnsi="宋体" w:eastAsia="宋体"/>
                <w:szCs w:val="21"/>
              </w:rPr>
            </w:pPr>
            <w:r>
              <w:rPr>
                <w:rFonts w:hint="eastAsia" w:ascii="宋体" w:hAnsi="宋体" w:eastAsia="宋体"/>
                <w:szCs w:val="21"/>
              </w:rPr>
              <w:t>（十一）</w:t>
            </w:r>
          </w:p>
        </w:tc>
        <w:tc>
          <w:tcPr>
            <w:tcW w:w="1701" w:type="dxa"/>
            <w:vAlign w:val="center"/>
          </w:tcPr>
          <w:p w14:paraId="3374D153">
            <w:pPr>
              <w:adjustRightInd w:val="0"/>
              <w:snapToGrid w:val="0"/>
              <w:spacing w:line="288" w:lineRule="auto"/>
              <w:jc w:val="center"/>
              <w:rPr>
                <w:rFonts w:hint="eastAsia" w:ascii="宋体" w:hAnsi="宋体" w:eastAsia="宋体"/>
                <w:szCs w:val="21"/>
              </w:rPr>
            </w:pPr>
            <w:r>
              <w:rPr>
                <w:rFonts w:hint="eastAsia" w:ascii="宋体" w:hAnsi="宋体" w:eastAsia="宋体"/>
                <w:szCs w:val="21"/>
              </w:rPr>
              <w:t>投标报价</w:t>
            </w:r>
          </w:p>
        </w:tc>
        <w:tc>
          <w:tcPr>
            <w:tcW w:w="6663" w:type="dxa"/>
            <w:vAlign w:val="center"/>
          </w:tcPr>
          <w:p w14:paraId="238F2AA1">
            <w:pPr>
              <w:adjustRightInd w:val="0"/>
              <w:snapToGrid w:val="0"/>
              <w:spacing w:line="288" w:lineRule="auto"/>
              <w:rPr>
                <w:rFonts w:hint="eastAsia" w:ascii="宋体" w:hAnsi="宋体" w:eastAsia="宋体"/>
                <w:szCs w:val="21"/>
              </w:rPr>
            </w:pPr>
            <w:r>
              <w:rPr>
                <w:rFonts w:hint="eastAsia" w:ascii="宋体" w:hAnsi="宋体" w:eastAsia="宋体"/>
                <w:szCs w:val="21"/>
              </w:rPr>
              <w:t>1.报价应按招标文件要求的格式编制、填写报价内容（可自行增行），未按招标文件要求编制、填写的投标文件可能被拒绝；</w:t>
            </w:r>
          </w:p>
          <w:p w14:paraId="46633549">
            <w:pPr>
              <w:adjustRightInd w:val="0"/>
              <w:snapToGrid w:val="0"/>
              <w:spacing w:line="288" w:lineRule="auto"/>
              <w:rPr>
                <w:rFonts w:hint="eastAsia" w:ascii="宋体" w:hAnsi="宋体" w:eastAsia="宋体"/>
                <w:szCs w:val="21"/>
              </w:rPr>
            </w:pPr>
            <w:r>
              <w:rPr>
                <w:rFonts w:hint="eastAsia" w:ascii="宋体" w:hAnsi="宋体" w:eastAsia="宋体"/>
                <w:szCs w:val="21"/>
              </w:rPr>
              <w:t>2.以人民币报价；</w:t>
            </w:r>
          </w:p>
          <w:p w14:paraId="67000058">
            <w:pPr>
              <w:adjustRightInd w:val="0"/>
              <w:snapToGrid w:val="0"/>
              <w:spacing w:line="288" w:lineRule="auto"/>
              <w:rPr>
                <w:rFonts w:hint="eastAsia" w:ascii="宋体" w:hAnsi="宋体" w:eastAsia="宋体"/>
                <w:szCs w:val="21"/>
              </w:rPr>
            </w:pPr>
            <w:r>
              <w:rPr>
                <w:rFonts w:hint="eastAsia" w:ascii="宋体" w:hAnsi="宋体" w:eastAsia="宋体"/>
                <w:szCs w:val="21"/>
              </w:rPr>
              <w:t>3.投标报价是履行合同的最终价格，有关本项目实施所涉及的一切费用均计入报价；总价不为零，分项报价中部分产品、服务单价为零的，视作已包含在总价中。</w:t>
            </w:r>
          </w:p>
          <w:p w14:paraId="061A0D1C">
            <w:pPr>
              <w:adjustRightInd w:val="0"/>
              <w:snapToGrid w:val="0"/>
              <w:spacing w:line="288" w:lineRule="auto"/>
              <w:rPr>
                <w:rFonts w:hint="eastAsia" w:ascii="宋体" w:hAnsi="宋体" w:eastAsia="宋体"/>
                <w:szCs w:val="21"/>
              </w:rPr>
            </w:pPr>
            <w:r>
              <w:rPr>
                <w:rFonts w:hint="eastAsia" w:ascii="宋体" w:hAnsi="宋体" w:eastAsia="宋体"/>
                <w:szCs w:val="21"/>
              </w:rPr>
              <w:t>4.投标文件只允许有一个报价，有选择的报价将不予接受。</w:t>
            </w:r>
          </w:p>
          <w:p w14:paraId="3075962F">
            <w:pPr>
              <w:pStyle w:val="13"/>
              <w:adjustRightInd w:val="0"/>
              <w:snapToGrid w:val="0"/>
              <w:spacing w:before="0" w:beforeLines="0" w:after="0" w:afterLines="0" w:line="288" w:lineRule="auto"/>
              <w:jc w:val="left"/>
              <w:rPr>
                <w:rFonts w:hint="eastAsia" w:hAnsi="宋体" w:eastAsia="宋体" w:cs="宋体"/>
                <w:sz w:val="21"/>
                <w:szCs w:val="21"/>
              </w:rPr>
            </w:pPr>
            <w:r>
              <w:rPr>
                <w:rFonts w:hint="eastAsia" w:hAnsi="宋体" w:eastAsia="宋体" w:cs="宋体"/>
                <w:sz w:val="21"/>
                <w:szCs w:val="21"/>
              </w:rPr>
              <w:t>▲5</w:t>
            </w:r>
            <w:r>
              <w:rPr>
                <w:rFonts w:hAnsi="宋体" w:eastAsia="宋体" w:cs="宋体"/>
                <w:sz w:val="21"/>
                <w:szCs w:val="21"/>
              </w:rPr>
              <w:t>.</w:t>
            </w:r>
            <w:r>
              <w:rPr>
                <w:rFonts w:hint="eastAsia" w:hAnsi="宋体" w:eastAsia="宋体" w:cs="宋体"/>
                <w:sz w:val="21"/>
                <w:szCs w:val="21"/>
              </w:rPr>
              <w:t>采购人将以合同形式有偿取得货物或服务，不接受投标人给予的赠品、回扣或者与采购无关的其他商品、服务</w:t>
            </w:r>
            <w:r>
              <w:rPr>
                <w:rFonts w:hAnsi="宋体" w:eastAsia="宋体" w:cs="宋体"/>
                <w:sz w:val="21"/>
                <w:szCs w:val="21"/>
              </w:rPr>
              <w:t>。</w:t>
            </w:r>
          </w:p>
          <w:p w14:paraId="2A0F4698">
            <w:pPr>
              <w:pStyle w:val="13"/>
              <w:adjustRightInd w:val="0"/>
              <w:snapToGrid w:val="0"/>
              <w:spacing w:before="0" w:beforeLines="0" w:after="0" w:afterLines="0" w:line="288" w:lineRule="auto"/>
              <w:jc w:val="left"/>
              <w:rPr>
                <w:rFonts w:hint="eastAsia" w:hAnsi="宋体" w:eastAsia="宋体" w:cs="宋体"/>
                <w:sz w:val="21"/>
                <w:szCs w:val="21"/>
              </w:rPr>
            </w:pPr>
            <w:r>
              <w:rPr>
                <w:rFonts w:hint="eastAsia" w:hAnsi="宋体" w:eastAsia="宋体" w:cs="宋体"/>
                <w:sz w:val="21"/>
                <w:szCs w:val="21"/>
              </w:rPr>
              <w:t>6.供应商不得进行影响产品质量或者诚信履约的恶意报价。供应商报价低于项目预算50%的，应当在报价文件中提供说明，详细阐述不影响产品质量或者诚信履约的具体原因。</w:t>
            </w:r>
          </w:p>
        </w:tc>
      </w:tr>
      <w:tr w14:paraId="584B9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428D9DEE">
            <w:pPr>
              <w:adjustRightInd w:val="0"/>
              <w:snapToGrid w:val="0"/>
              <w:spacing w:line="288" w:lineRule="auto"/>
              <w:jc w:val="center"/>
              <w:rPr>
                <w:rFonts w:hint="eastAsia" w:ascii="宋体" w:hAnsi="宋体" w:eastAsia="宋体"/>
                <w:szCs w:val="21"/>
              </w:rPr>
            </w:pPr>
            <w:r>
              <w:rPr>
                <w:rFonts w:hint="eastAsia" w:ascii="宋体" w:hAnsi="宋体" w:eastAsia="宋体"/>
                <w:szCs w:val="21"/>
              </w:rPr>
              <w:t>（十二）</w:t>
            </w:r>
          </w:p>
        </w:tc>
        <w:tc>
          <w:tcPr>
            <w:tcW w:w="1701" w:type="dxa"/>
            <w:vAlign w:val="center"/>
          </w:tcPr>
          <w:p w14:paraId="4DF08D86">
            <w:pPr>
              <w:adjustRightInd w:val="0"/>
              <w:snapToGrid w:val="0"/>
              <w:spacing w:line="288" w:lineRule="auto"/>
              <w:jc w:val="center"/>
              <w:rPr>
                <w:rFonts w:hint="eastAsia" w:ascii="宋体" w:hAnsi="宋体" w:eastAsia="宋体"/>
                <w:szCs w:val="21"/>
              </w:rPr>
            </w:pPr>
            <w:r>
              <w:rPr>
                <w:rFonts w:hint="eastAsia" w:ascii="宋体" w:hAnsi="宋体" w:eastAsia="宋体"/>
                <w:szCs w:val="21"/>
              </w:rPr>
              <w:t>投标有效期</w:t>
            </w:r>
          </w:p>
        </w:tc>
        <w:tc>
          <w:tcPr>
            <w:tcW w:w="6663" w:type="dxa"/>
            <w:vAlign w:val="center"/>
          </w:tcPr>
          <w:p w14:paraId="20723442">
            <w:pPr>
              <w:adjustRightInd w:val="0"/>
              <w:snapToGrid w:val="0"/>
              <w:spacing w:line="288" w:lineRule="auto"/>
              <w:rPr>
                <w:rFonts w:hint="eastAsia" w:ascii="宋体" w:hAnsi="宋体" w:eastAsia="宋体"/>
                <w:szCs w:val="21"/>
              </w:rPr>
            </w:pPr>
            <w:r>
              <w:rPr>
                <w:rFonts w:hint="eastAsia" w:ascii="宋体" w:hAnsi="宋体" w:eastAsia="宋体"/>
                <w:szCs w:val="21"/>
              </w:rPr>
              <w:t>▲从提交投标文件的截止之日起</w:t>
            </w:r>
            <w:r>
              <w:rPr>
                <w:rFonts w:ascii="宋体" w:hAnsi="宋体" w:eastAsia="宋体"/>
                <w:szCs w:val="21"/>
              </w:rPr>
              <w:t>90天，在原投标有效期满之前，如果出现特殊情况，采购人或采购代理机构以书面形式通知投标人延长投标有效期。</w:t>
            </w:r>
          </w:p>
        </w:tc>
      </w:tr>
      <w:tr w14:paraId="715E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66A016B6">
            <w:pPr>
              <w:adjustRightInd w:val="0"/>
              <w:snapToGrid w:val="0"/>
              <w:spacing w:line="288" w:lineRule="auto"/>
              <w:jc w:val="center"/>
              <w:rPr>
                <w:rFonts w:hint="eastAsia" w:ascii="宋体" w:hAnsi="宋体" w:eastAsia="宋体"/>
                <w:szCs w:val="21"/>
              </w:rPr>
            </w:pPr>
            <w:r>
              <w:rPr>
                <w:rFonts w:hint="eastAsia" w:ascii="宋体" w:hAnsi="宋体" w:eastAsia="宋体"/>
                <w:szCs w:val="21"/>
              </w:rPr>
              <w:t>（十三）</w:t>
            </w:r>
          </w:p>
        </w:tc>
        <w:tc>
          <w:tcPr>
            <w:tcW w:w="1701" w:type="dxa"/>
            <w:vAlign w:val="center"/>
          </w:tcPr>
          <w:p w14:paraId="26942BAC">
            <w:pPr>
              <w:adjustRightInd w:val="0"/>
              <w:snapToGrid w:val="0"/>
              <w:spacing w:line="288" w:lineRule="auto"/>
              <w:jc w:val="center"/>
              <w:rPr>
                <w:rFonts w:hint="eastAsia" w:ascii="宋体" w:hAnsi="宋体" w:eastAsia="宋体"/>
                <w:szCs w:val="21"/>
              </w:rPr>
            </w:pPr>
            <w:r>
              <w:rPr>
                <w:rFonts w:hint="eastAsia" w:ascii="宋体" w:hAnsi="宋体" w:eastAsia="宋体"/>
                <w:szCs w:val="21"/>
              </w:rPr>
              <w:t>评标方法和评标标准</w:t>
            </w:r>
          </w:p>
        </w:tc>
        <w:tc>
          <w:tcPr>
            <w:tcW w:w="6663" w:type="dxa"/>
            <w:vAlign w:val="center"/>
          </w:tcPr>
          <w:p w14:paraId="1D5C1A03">
            <w:pPr>
              <w:adjustRightInd w:val="0"/>
              <w:snapToGrid w:val="0"/>
              <w:spacing w:line="288" w:lineRule="auto"/>
              <w:rPr>
                <w:rFonts w:hint="eastAsia" w:ascii="宋体" w:hAnsi="宋体" w:eastAsia="宋体"/>
                <w:szCs w:val="21"/>
              </w:rPr>
            </w:pPr>
            <w:r>
              <w:rPr>
                <w:rFonts w:ascii="宋体" w:hAnsi="宋体" w:eastAsia="宋体"/>
                <w:szCs w:val="21"/>
              </w:rPr>
              <w:t>详见“</w:t>
            </w:r>
            <w:r>
              <w:rPr>
                <w:rFonts w:hint="eastAsia" w:ascii="宋体" w:hAnsi="宋体" w:eastAsia="宋体"/>
                <w:szCs w:val="21"/>
              </w:rPr>
              <w:t>第四章  评标方法和评标标准</w:t>
            </w:r>
            <w:r>
              <w:rPr>
                <w:rFonts w:ascii="宋体" w:hAnsi="宋体" w:eastAsia="宋体"/>
                <w:szCs w:val="21"/>
              </w:rPr>
              <w:t>”</w:t>
            </w:r>
            <w:r>
              <w:rPr>
                <w:rFonts w:hint="eastAsia" w:ascii="宋体" w:hAnsi="宋体" w:eastAsia="宋体"/>
                <w:szCs w:val="21"/>
              </w:rPr>
              <w:t>。</w:t>
            </w:r>
          </w:p>
        </w:tc>
      </w:tr>
      <w:tr w14:paraId="7F05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56F58E7E">
            <w:pPr>
              <w:adjustRightInd w:val="0"/>
              <w:snapToGrid w:val="0"/>
              <w:spacing w:line="288" w:lineRule="auto"/>
              <w:jc w:val="center"/>
              <w:rPr>
                <w:rFonts w:hint="eastAsia" w:ascii="宋体" w:hAnsi="宋体" w:eastAsia="宋体"/>
                <w:szCs w:val="21"/>
              </w:rPr>
            </w:pPr>
            <w:r>
              <w:rPr>
                <w:rFonts w:ascii="宋体" w:hAnsi="宋体" w:eastAsia="宋体"/>
                <w:szCs w:val="21"/>
              </w:rPr>
              <w:t>（</w:t>
            </w:r>
            <w:r>
              <w:rPr>
                <w:rFonts w:hint="eastAsia" w:ascii="宋体" w:hAnsi="宋体" w:eastAsia="宋体"/>
                <w:szCs w:val="21"/>
              </w:rPr>
              <w:t>十四</w:t>
            </w:r>
            <w:r>
              <w:rPr>
                <w:rFonts w:ascii="宋体" w:hAnsi="宋体" w:eastAsia="宋体"/>
                <w:szCs w:val="21"/>
              </w:rPr>
              <w:t>）</w:t>
            </w:r>
          </w:p>
        </w:tc>
        <w:tc>
          <w:tcPr>
            <w:tcW w:w="1701" w:type="dxa"/>
            <w:vAlign w:val="center"/>
          </w:tcPr>
          <w:p w14:paraId="25684B52">
            <w:pPr>
              <w:adjustRightInd w:val="0"/>
              <w:snapToGrid w:val="0"/>
              <w:spacing w:line="288" w:lineRule="auto"/>
              <w:jc w:val="center"/>
              <w:rPr>
                <w:rFonts w:hint="eastAsia" w:ascii="宋体" w:hAnsi="宋体" w:eastAsia="宋体"/>
                <w:szCs w:val="21"/>
              </w:rPr>
            </w:pPr>
            <w:r>
              <w:rPr>
                <w:rFonts w:hint="eastAsia" w:ascii="宋体" w:hAnsi="宋体" w:eastAsia="宋体"/>
                <w:szCs w:val="21"/>
              </w:rPr>
              <w:t>评标结果公示</w:t>
            </w:r>
          </w:p>
        </w:tc>
        <w:tc>
          <w:tcPr>
            <w:tcW w:w="6663" w:type="dxa"/>
            <w:vAlign w:val="center"/>
          </w:tcPr>
          <w:p w14:paraId="2D1E5092">
            <w:pPr>
              <w:adjustRightInd w:val="0"/>
              <w:snapToGrid w:val="0"/>
              <w:spacing w:line="288" w:lineRule="auto"/>
              <w:rPr>
                <w:rFonts w:hint="eastAsia" w:ascii="宋体" w:hAnsi="宋体" w:eastAsia="宋体"/>
                <w:szCs w:val="21"/>
              </w:rPr>
            </w:pPr>
            <w:r>
              <w:rPr>
                <w:rFonts w:hint="eastAsia" w:ascii="宋体" w:hAnsi="宋体" w:eastAsia="宋体"/>
                <w:szCs w:val="21"/>
              </w:rPr>
              <w:t>评标结果公示媒体：浙江政府采购网（http://zfcg.czt.zj.gov.cn）。</w:t>
            </w:r>
          </w:p>
        </w:tc>
      </w:tr>
      <w:tr w14:paraId="35148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1C562AA3">
            <w:pPr>
              <w:adjustRightInd w:val="0"/>
              <w:snapToGrid w:val="0"/>
              <w:spacing w:line="288" w:lineRule="auto"/>
              <w:jc w:val="center"/>
              <w:rPr>
                <w:rFonts w:hint="eastAsia" w:ascii="宋体" w:hAnsi="宋体" w:eastAsia="宋体"/>
                <w:szCs w:val="21"/>
              </w:rPr>
            </w:pPr>
            <w:r>
              <w:rPr>
                <w:rFonts w:hint="eastAsia" w:ascii="宋体" w:hAnsi="宋体" w:eastAsia="宋体"/>
                <w:szCs w:val="21"/>
              </w:rPr>
              <w:t>（十五）</w:t>
            </w:r>
          </w:p>
        </w:tc>
        <w:tc>
          <w:tcPr>
            <w:tcW w:w="1701" w:type="dxa"/>
            <w:vAlign w:val="center"/>
          </w:tcPr>
          <w:p w14:paraId="30AE6FE1">
            <w:pPr>
              <w:adjustRightInd w:val="0"/>
              <w:snapToGrid w:val="0"/>
              <w:spacing w:line="288" w:lineRule="auto"/>
              <w:jc w:val="center"/>
              <w:rPr>
                <w:rFonts w:hint="eastAsia" w:ascii="宋体" w:hAnsi="宋体" w:eastAsia="宋体"/>
                <w:szCs w:val="21"/>
              </w:rPr>
            </w:pPr>
            <w:r>
              <w:rPr>
                <w:rFonts w:hint="eastAsia" w:ascii="宋体" w:hAnsi="宋体" w:eastAsia="宋体"/>
                <w:szCs w:val="21"/>
              </w:rPr>
              <w:t>签订合同</w:t>
            </w:r>
          </w:p>
        </w:tc>
        <w:tc>
          <w:tcPr>
            <w:tcW w:w="6663" w:type="dxa"/>
            <w:vAlign w:val="center"/>
          </w:tcPr>
          <w:p w14:paraId="2F06DB36">
            <w:pPr>
              <w:adjustRightInd w:val="0"/>
              <w:snapToGrid w:val="0"/>
              <w:spacing w:line="288" w:lineRule="auto"/>
              <w:rPr>
                <w:rFonts w:hint="eastAsia" w:ascii="宋体" w:hAnsi="宋体" w:eastAsia="宋体"/>
                <w:szCs w:val="21"/>
              </w:rPr>
            </w:pPr>
            <w:r>
              <w:rPr>
                <w:rFonts w:hint="eastAsia" w:ascii="宋体" w:hAnsi="宋体" w:eastAsia="宋体"/>
                <w:szCs w:val="21"/>
              </w:rPr>
              <w:t>中标通知书发出之日起30日内。</w:t>
            </w:r>
          </w:p>
        </w:tc>
      </w:tr>
    </w:tbl>
    <w:p w14:paraId="6F0994BE">
      <w:pPr>
        <w:adjustRightInd w:val="0"/>
        <w:snapToGrid w:val="0"/>
        <w:spacing w:line="288" w:lineRule="auto"/>
        <w:rPr>
          <w:rFonts w:hint="eastAsia" w:ascii="宋体" w:hAnsi="宋体" w:eastAsia="宋体"/>
          <w:szCs w:val="21"/>
        </w:rPr>
      </w:pPr>
    </w:p>
    <w:p w14:paraId="5D9C2925">
      <w:pPr>
        <w:adjustRightInd w:val="0"/>
        <w:snapToGrid w:val="0"/>
        <w:spacing w:line="288" w:lineRule="auto"/>
        <w:rPr>
          <w:rFonts w:hint="eastAsia" w:ascii="宋体" w:hAnsi="宋体" w:eastAsia="宋体"/>
          <w:szCs w:val="21"/>
        </w:rPr>
      </w:pPr>
      <w:r>
        <w:rPr>
          <w:rFonts w:ascii="宋体" w:hAnsi="宋体" w:eastAsia="宋体"/>
          <w:szCs w:val="21"/>
        </w:rPr>
        <w:br w:type="page"/>
      </w:r>
    </w:p>
    <w:p w14:paraId="4AE34E7A">
      <w:pPr>
        <w:adjustRightInd w:val="0"/>
        <w:snapToGrid w:val="0"/>
        <w:spacing w:line="288" w:lineRule="auto"/>
        <w:jc w:val="center"/>
        <w:outlineLvl w:val="1"/>
        <w:rPr>
          <w:rFonts w:hint="eastAsia" w:ascii="宋体" w:hAnsi="宋体" w:eastAsia="宋体" w:cs="Times New Roman"/>
          <w:b/>
          <w:spacing w:val="-6"/>
          <w:szCs w:val="21"/>
        </w:rPr>
      </w:pPr>
      <w:r>
        <w:rPr>
          <w:rFonts w:ascii="宋体" w:hAnsi="宋体" w:eastAsia="宋体" w:cs="Times New Roman"/>
          <w:b/>
          <w:spacing w:val="-6"/>
          <w:szCs w:val="21"/>
        </w:rPr>
        <w:t>一</w:t>
      </w:r>
      <w:r>
        <w:rPr>
          <w:rFonts w:hint="eastAsia" w:ascii="宋体" w:hAnsi="宋体" w:eastAsia="宋体" w:cs="Times New Roman"/>
          <w:b/>
          <w:spacing w:val="-6"/>
          <w:szCs w:val="21"/>
        </w:rPr>
        <w:t>、</w:t>
      </w:r>
      <w:r>
        <w:rPr>
          <w:rFonts w:ascii="宋体" w:hAnsi="宋体" w:eastAsia="宋体" w:cs="Times New Roman"/>
          <w:b/>
          <w:spacing w:val="-6"/>
          <w:szCs w:val="21"/>
        </w:rPr>
        <w:t>总</w:t>
      </w:r>
      <w:r>
        <w:rPr>
          <w:rFonts w:hint="eastAsia" w:ascii="宋体" w:hAnsi="宋体" w:eastAsia="宋体" w:cs="Times New Roman"/>
          <w:b/>
          <w:spacing w:val="-6"/>
          <w:szCs w:val="21"/>
        </w:rPr>
        <w:t xml:space="preserve">  </w:t>
      </w:r>
      <w:r>
        <w:rPr>
          <w:rFonts w:ascii="宋体" w:hAnsi="宋体" w:eastAsia="宋体" w:cs="Times New Roman"/>
          <w:b/>
          <w:spacing w:val="-6"/>
          <w:szCs w:val="21"/>
        </w:rPr>
        <w:t>则</w:t>
      </w:r>
    </w:p>
    <w:p w14:paraId="0D467697">
      <w:pPr>
        <w:adjustRightInd w:val="0"/>
        <w:snapToGrid w:val="0"/>
        <w:spacing w:line="288" w:lineRule="auto"/>
        <w:ind w:firstLine="396" w:firstLineChars="200"/>
        <w:jc w:val="left"/>
        <w:rPr>
          <w:rFonts w:hint="eastAsia" w:ascii="宋体" w:hAnsi="宋体" w:eastAsia="宋体" w:cs="Times New Roman"/>
          <w:spacing w:val="-6"/>
          <w:szCs w:val="21"/>
        </w:rPr>
      </w:pPr>
      <w:bookmarkStart w:id="42" w:name="_Hlk94018326"/>
      <w:r>
        <w:rPr>
          <w:rFonts w:ascii="宋体" w:hAnsi="宋体" w:eastAsia="宋体" w:cs="Times New Roman"/>
          <w:spacing w:val="-6"/>
          <w:szCs w:val="21"/>
        </w:rPr>
        <w:t>投标人应仔细阅读招标文件的所有内容，按照招标文件的要求提交投标文件，并对所提供的全部资料的真实性承担法律责任。</w:t>
      </w:r>
    </w:p>
    <w:bookmarkEnd w:id="42"/>
    <w:p w14:paraId="63403148">
      <w:pPr>
        <w:adjustRightInd w:val="0"/>
        <w:snapToGrid w:val="0"/>
        <w:spacing w:line="288" w:lineRule="auto"/>
        <w:jc w:val="left"/>
        <w:rPr>
          <w:rFonts w:hint="eastAsia" w:ascii="宋体" w:hAnsi="宋体" w:eastAsia="宋体" w:cs="Times New Roman"/>
          <w:b/>
          <w:spacing w:val="-6"/>
          <w:szCs w:val="21"/>
        </w:rPr>
      </w:pPr>
      <w:r>
        <w:rPr>
          <w:rFonts w:hint="eastAsia" w:ascii="宋体" w:hAnsi="宋体" w:eastAsia="宋体" w:cs="Times New Roman"/>
          <w:b/>
          <w:spacing w:val="-6"/>
          <w:szCs w:val="21"/>
        </w:rPr>
        <w:t>（一</w:t>
      </w:r>
      <w:r>
        <w:rPr>
          <w:rFonts w:ascii="宋体" w:hAnsi="宋体" w:eastAsia="宋体" w:cs="Times New Roman"/>
          <w:b/>
          <w:spacing w:val="-6"/>
          <w:szCs w:val="21"/>
        </w:rPr>
        <w:t>）</w:t>
      </w:r>
      <w:r>
        <w:rPr>
          <w:rFonts w:hint="eastAsia" w:ascii="宋体" w:hAnsi="宋体" w:eastAsia="宋体" w:cs="Times New Roman"/>
          <w:b/>
          <w:spacing w:val="-6"/>
          <w:szCs w:val="21"/>
        </w:rPr>
        <w:t>适用范围</w:t>
      </w:r>
    </w:p>
    <w:p w14:paraId="30AF7A5D">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本招标文件适用于浙江工商大学未来营养健康与共同富裕计算设备更新-共同富裕计算设备（第一批）的招标、评标、定标、验收、合同履约、付款等（法律、法规另有规定的，从其规定）。</w:t>
      </w:r>
    </w:p>
    <w:p w14:paraId="56F60824">
      <w:pPr>
        <w:adjustRightInd w:val="0"/>
        <w:snapToGrid w:val="0"/>
        <w:spacing w:line="288" w:lineRule="auto"/>
        <w:jc w:val="left"/>
        <w:rPr>
          <w:rFonts w:hint="eastAsia" w:ascii="宋体" w:hAnsi="宋体" w:eastAsia="宋体" w:cs="Times New Roman"/>
          <w:b/>
          <w:spacing w:val="-6"/>
          <w:szCs w:val="21"/>
        </w:rPr>
      </w:pPr>
      <w:r>
        <w:rPr>
          <w:rFonts w:hint="eastAsia" w:ascii="宋体" w:hAnsi="宋体" w:eastAsia="宋体" w:cs="Times New Roman"/>
          <w:b/>
          <w:spacing w:val="-6"/>
          <w:szCs w:val="21"/>
        </w:rPr>
        <w:t>（二）定义</w:t>
      </w:r>
    </w:p>
    <w:p w14:paraId="37A33C6C">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1.“采购</w:t>
      </w:r>
      <w:r>
        <w:rPr>
          <w:rFonts w:ascii="宋体" w:hAnsi="宋体" w:eastAsia="宋体" w:cs="Times New Roman"/>
          <w:spacing w:val="-6"/>
          <w:szCs w:val="21"/>
        </w:rPr>
        <w:t>人</w:t>
      </w:r>
      <w:r>
        <w:rPr>
          <w:rFonts w:hint="eastAsia" w:ascii="宋体" w:hAnsi="宋体" w:eastAsia="宋体" w:cs="Times New Roman"/>
          <w:spacing w:val="-6"/>
          <w:szCs w:val="21"/>
        </w:rPr>
        <w:t>”系指浙江工商大学；</w:t>
      </w:r>
    </w:p>
    <w:p w14:paraId="0C51D1EE">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2.“采购代理机构”系指组织本次招标的浙江求是招标代理有限公司；</w:t>
      </w:r>
    </w:p>
    <w:p w14:paraId="39EF5102">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3</w:t>
      </w:r>
      <w:r>
        <w:rPr>
          <w:rFonts w:ascii="宋体" w:hAnsi="宋体" w:eastAsia="宋体" w:cs="Times New Roman"/>
          <w:spacing w:val="-6"/>
          <w:szCs w:val="21"/>
        </w:rPr>
        <w:t>.</w:t>
      </w:r>
      <w:r>
        <w:rPr>
          <w:rFonts w:hint="eastAsia" w:ascii="宋体" w:hAnsi="宋体" w:eastAsia="宋体" w:cs="Times New Roman"/>
          <w:spacing w:val="-6"/>
          <w:szCs w:val="21"/>
        </w:rPr>
        <w:t>“投标人”系指响应招标、参加投标竞争的法人、其他组织或者自然人；</w:t>
      </w:r>
    </w:p>
    <w:p w14:paraId="2D038063">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4.“书面形式”包括合同书、信件和数据电文(包括电报、电传、传真、电子数据交换和电子邮件)等可以有形地表现所载内容的形式。</w:t>
      </w:r>
    </w:p>
    <w:p w14:paraId="7A611474">
      <w:pPr>
        <w:adjustRightInd w:val="0"/>
        <w:snapToGrid w:val="0"/>
        <w:spacing w:line="288" w:lineRule="auto"/>
        <w:ind w:firstLine="396" w:firstLineChars="200"/>
        <w:jc w:val="left"/>
        <w:rPr>
          <w:rFonts w:hint="eastAsia" w:ascii="宋体" w:hAnsi="宋体" w:eastAsia="宋体"/>
          <w:szCs w:val="21"/>
        </w:rPr>
      </w:pPr>
      <w:r>
        <w:rPr>
          <w:rFonts w:hint="eastAsia" w:ascii="宋体" w:hAnsi="宋体" w:eastAsia="宋体" w:cs="Times New Roman"/>
          <w:spacing w:val="-6"/>
          <w:szCs w:val="21"/>
        </w:rPr>
        <w:t>5.“电子加密投标文件”系指通过政采云电子交易客户端（政采云投标客户端）完成投标文件编制后生成并加密的数据电文形式的投标文件（文件扩展名为.jmbs）；“备份投标文件”系指与“电子加密投标文件”同时生成的数据电文形式的电子文件（文件扩展名为.bfbs）；</w:t>
      </w:r>
      <w:bookmarkStart w:id="43" w:name="_Hlk96327615"/>
      <w:r>
        <w:rPr>
          <w:rFonts w:ascii="宋体" w:hAnsi="宋体" w:eastAsia="宋体"/>
          <w:szCs w:val="21"/>
        </w:rPr>
        <w:t>“电子签名”系指数据电文中以电子形式所含、所附用于识别签名人身份并表明签名人认可其中内容的数据；</w:t>
      </w:r>
      <w:r>
        <w:rPr>
          <w:rFonts w:hint="eastAsia" w:ascii="宋体" w:hAnsi="宋体" w:eastAsia="宋体"/>
          <w:szCs w:val="21"/>
        </w:rPr>
        <w:t>“公章”系指单位法定名称章。因特殊原因需要使用冠以法定名称的业务专用章的，投标时须提供《业务专用章使用说明函》（附件1）。</w:t>
      </w:r>
    </w:p>
    <w:p w14:paraId="795A92B5">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招标文件对投标文件签署、盖章的要求适用于电子签名。</w:t>
      </w:r>
    </w:p>
    <w:bookmarkEnd w:id="43"/>
    <w:p w14:paraId="22BB319A">
      <w:pPr>
        <w:adjustRightInd w:val="0"/>
        <w:snapToGrid w:val="0"/>
        <w:spacing w:line="288" w:lineRule="auto"/>
        <w:ind w:firstLine="396" w:firstLineChars="200"/>
        <w:jc w:val="left"/>
        <w:rPr>
          <w:rFonts w:hint="eastAsia" w:ascii="宋体" w:hAnsi="宋体" w:eastAsia="宋体" w:cs="Times New Roman"/>
          <w:spacing w:val="-6"/>
          <w:szCs w:val="21"/>
        </w:rPr>
      </w:pPr>
      <w:r>
        <w:rPr>
          <w:rFonts w:ascii="宋体" w:hAnsi="宋体" w:eastAsia="宋体" w:cs="Times New Roman"/>
          <w:spacing w:val="-6"/>
          <w:szCs w:val="21"/>
        </w:rPr>
        <w:t>6</w:t>
      </w:r>
      <w:r>
        <w:rPr>
          <w:rFonts w:hint="eastAsia" w:ascii="宋体" w:hAnsi="宋体" w:eastAsia="宋体" w:cs="Times New Roman"/>
          <w:spacing w:val="-6"/>
          <w:szCs w:val="21"/>
        </w:rPr>
        <w:t>.“▲”系指实质性要求条款，投标人应当做出实质性响应。</w:t>
      </w:r>
    </w:p>
    <w:p w14:paraId="026AA090">
      <w:pPr>
        <w:adjustRightInd w:val="0"/>
        <w:snapToGrid w:val="0"/>
        <w:spacing w:line="288" w:lineRule="auto"/>
        <w:jc w:val="left"/>
        <w:rPr>
          <w:rFonts w:hint="eastAsia" w:ascii="宋体" w:hAnsi="宋体" w:eastAsia="宋体" w:cs="Times New Roman"/>
          <w:b/>
          <w:spacing w:val="-6"/>
          <w:szCs w:val="21"/>
        </w:rPr>
      </w:pPr>
      <w:r>
        <w:rPr>
          <w:rFonts w:hint="eastAsia" w:ascii="宋体" w:hAnsi="宋体" w:eastAsia="宋体" w:cs="Times New Roman"/>
          <w:b/>
          <w:spacing w:val="-6"/>
          <w:szCs w:val="21"/>
        </w:rPr>
        <w:t>（三）招标方式</w:t>
      </w:r>
    </w:p>
    <w:p w14:paraId="4F9E6FF4">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本次招标采用公开招标（线上电子招投标）方式进行。</w:t>
      </w:r>
    </w:p>
    <w:p w14:paraId="0C39D3F7">
      <w:pPr>
        <w:adjustRightInd w:val="0"/>
        <w:snapToGrid w:val="0"/>
        <w:spacing w:line="288" w:lineRule="auto"/>
        <w:jc w:val="left"/>
        <w:rPr>
          <w:rFonts w:hint="eastAsia" w:ascii="宋体" w:hAnsi="宋体" w:eastAsia="宋体" w:cs="Times New Roman"/>
          <w:b/>
          <w:spacing w:val="-6"/>
          <w:szCs w:val="21"/>
        </w:rPr>
      </w:pPr>
      <w:r>
        <w:rPr>
          <w:rFonts w:hint="eastAsia" w:ascii="宋体" w:hAnsi="宋体" w:eastAsia="宋体" w:cs="Times New Roman"/>
          <w:b/>
          <w:spacing w:val="-6"/>
          <w:szCs w:val="21"/>
        </w:rPr>
        <w:t>（四）投标费用</w:t>
      </w:r>
    </w:p>
    <w:p w14:paraId="21855990">
      <w:pPr>
        <w:adjustRightInd w:val="0"/>
        <w:snapToGrid w:val="0"/>
        <w:spacing w:line="288" w:lineRule="auto"/>
        <w:ind w:firstLine="424" w:firstLineChars="202"/>
        <w:rPr>
          <w:rFonts w:hint="eastAsia" w:ascii="宋体" w:hAnsi="宋体" w:eastAsia="宋体" w:cs="宋体"/>
          <w:szCs w:val="21"/>
        </w:rPr>
      </w:pPr>
      <w:r>
        <w:rPr>
          <w:rFonts w:hint="eastAsia" w:ascii="宋体" w:hAnsi="宋体" w:eastAsia="宋体" w:cs="宋体"/>
          <w:szCs w:val="21"/>
        </w:rPr>
        <w:t>1.不论投标结果如何，投标人均应自行承担所有与投标有关的全部费用；</w:t>
      </w:r>
    </w:p>
    <w:p w14:paraId="13C9B0F2">
      <w:pPr>
        <w:adjustRightInd w:val="0"/>
        <w:snapToGrid w:val="0"/>
        <w:spacing w:line="288" w:lineRule="auto"/>
        <w:ind w:firstLine="424" w:firstLineChars="202"/>
        <w:rPr>
          <w:rFonts w:hint="eastAsia" w:ascii="宋体" w:hAnsi="宋体" w:eastAsia="宋体" w:cs="宋体"/>
          <w:szCs w:val="21"/>
        </w:rPr>
      </w:pPr>
      <w:r>
        <w:rPr>
          <w:rFonts w:hint="eastAsia" w:ascii="宋体" w:hAnsi="宋体" w:eastAsia="宋体" w:cs="宋体"/>
          <w:szCs w:val="21"/>
        </w:rPr>
        <w:t>2.中标人在中标通知书发出之日起七个工作日内，向采购代理机构交纳代理服务费；</w:t>
      </w:r>
    </w:p>
    <w:p w14:paraId="3B960044">
      <w:pPr>
        <w:adjustRightInd w:val="0"/>
        <w:snapToGrid w:val="0"/>
        <w:spacing w:line="288" w:lineRule="auto"/>
        <w:ind w:firstLine="424" w:firstLineChars="202"/>
        <w:rPr>
          <w:rFonts w:hint="eastAsia" w:ascii="宋体" w:hAnsi="宋体" w:eastAsia="宋体" w:cs="宋体"/>
          <w:szCs w:val="21"/>
        </w:rPr>
      </w:pPr>
      <w:r>
        <w:rPr>
          <w:rFonts w:hint="eastAsia" w:ascii="宋体" w:hAnsi="宋体" w:eastAsia="宋体" w:cs="宋体"/>
          <w:szCs w:val="21"/>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14:paraId="04950E11">
      <w:pPr>
        <w:adjustRightInd w:val="0"/>
        <w:snapToGrid w:val="0"/>
        <w:spacing w:line="288" w:lineRule="auto"/>
        <w:ind w:firstLine="424" w:firstLineChars="202"/>
        <w:jc w:val="left"/>
        <w:rPr>
          <w:rFonts w:hint="eastAsia" w:ascii="宋体" w:hAnsi="宋体" w:eastAsia="宋体" w:cs="Times New Roman"/>
          <w:spacing w:val="-6"/>
          <w:szCs w:val="21"/>
        </w:rPr>
      </w:pPr>
      <w:r>
        <w:rPr>
          <w:rFonts w:hint="eastAsia" w:ascii="宋体" w:hAnsi="宋体" w:eastAsia="宋体" w:cs="Times New Roman"/>
          <w:szCs w:val="21"/>
        </w:rPr>
        <w:t>4</w:t>
      </w:r>
      <w:r>
        <w:rPr>
          <w:rFonts w:ascii="宋体" w:hAnsi="宋体" w:eastAsia="宋体" w:cs="Times New Roman"/>
          <w:szCs w:val="21"/>
        </w:rPr>
        <w:t>.</w:t>
      </w:r>
      <w:r>
        <w:rPr>
          <w:rFonts w:hint="eastAsia" w:ascii="宋体" w:hAnsi="宋体" w:eastAsia="宋体" w:cs="Times New Roman"/>
          <w:spacing w:val="-6"/>
          <w:szCs w:val="21"/>
        </w:rPr>
        <w:t>收费标准（差额累进）：</w:t>
      </w:r>
    </w:p>
    <w:tbl>
      <w:tblPr>
        <w:tblStyle w:val="2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51"/>
        <w:gridCol w:w="2833"/>
      </w:tblGrid>
      <w:tr w14:paraId="2CE6C1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0" w:hRule="atLeast"/>
          <w:jc w:val="center"/>
        </w:trPr>
        <w:tc>
          <w:tcPr>
            <w:tcW w:w="2551" w:type="dxa"/>
            <w:tcMar>
              <w:top w:w="0" w:type="dxa"/>
              <w:left w:w="108" w:type="dxa"/>
              <w:bottom w:w="0" w:type="dxa"/>
              <w:right w:w="108" w:type="dxa"/>
            </w:tcMar>
            <w:vAlign w:val="center"/>
          </w:tcPr>
          <w:p w14:paraId="65496216">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中标金额（万元）</w:t>
            </w:r>
          </w:p>
        </w:tc>
        <w:tc>
          <w:tcPr>
            <w:tcW w:w="2833" w:type="dxa"/>
            <w:tcMar>
              <w:top w:w="0" w:type="dxa"/>
              <w:left w:w="108" w:type="dxa"/>
              <w:bottom w:w="0" w:type="dxa"/>
              <w:right w:w="108" w:type="dxa"/>
            </w:tcMar>
            <w:vAlign w:val="center"/>
          </w:tcPr>
          <w:p w14:paraId="4B44E3DF">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收费标准（费率，%）</w:t>
            </w:r>
          </w:p>
        </w:tc>
      </w:tr>
      <w:tr w14:paraId="0DF847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2BA76186">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100以下</w:t>
            </w:r>
          </w:p>
        </w:tc>
        <w:tc>
          <w:tcPr>
            <w:tcW w:w="2833" w:type="dxa"/>
            <w:tcMar>
              <w:top w:w="0" w:type="dxa"/>
              <w:left w:w="108" w:type="dxa"/>
              <w:bottom w:w="0" w:type="dxa"/>
              <w:right w:w="108" w:type="dxa"/>
            </w:tcMar>
            <w:vAlign w:val="center"/>
          </w:tcPr>
          <w:p w14:paraId="4F55144A">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1.05%</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（不足2000元按2000元计）</w:t>
            </w:r>
          </w:p>
        </w:tc>
      </w:tr>
      <w:tr w14:paraId="4DBA8C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08CBAF33">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100-200</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（超过200万按200万计算）</w:t>
            </w:r>
          </w:p>
        </w:tc>
        <w:tc>
          <w:tcPr>
            <w:tcW w:w="2833" w:type="dxa"/>
            <w:tcMar>
              <w:top w:w="0" w:type="dxa"/>
              <w:left w:w="108" w:type="dxa"/>
              <w:bottom w:w="0" w:type="dxa"/>
              <w:right w:w="108" w:type="dxa"/>
            </w:tcMar>
            <w:vAlign w:val="center"/>
          </w:tcPr>
          <w:p w14:paraId="090CDE58">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0.77%</w:t>
            </w:r>
          </w:p>
        </w:tc>
      </w:tr>
    </w:tbl>
    <w:p w14:paraId="08BBE624">
      <w:pPr>
        <w:adjustRightInd w:val="0"/>
        <w:snapToGrid w:val="0"/>
        <w:spacing w:line="288" w:lineRule="auto"/>
        <w:ind w:firstLine="399" w:firstLineChars="202"/>
        <w:jc w:val="left"/>
        <w:rPr>
          <w:rFonts w:hint="eastAsia" w:ascii="宋体" w:hAnsi="宋体" w:eastAsia="宋体" w:cs="Times New Roman"/>
          <w:spacing w:val="-6"/>
          <w:szCs w:val="21"/>
        </w:rPr>
      </w:pPr>
      <w:r>
        <w:rPr>
          <w:rFonts w:hint="eastAsia" w:ascii="宋体" w:hAnsi="宋体" w:eastAsia="宋体" w:cs="Times New Roman"/>
          <w:spacing w:val="-6"/>
          <w:szCs w:val="21"/>
        </w:rPr>
        <w:t>5</w:t>
      </w:r>
      <w:r>
        <w:rPr>
          <w:rFonts w:ascii="宋体" w:hAnsi="宋体" w:eastAsia="宋体" w:cs="Times New Roman"/>
          <w:spacing w:val="-6"/>
          <w:szCs w:val="21"/>
        </w:rPr>
        <w:t>.</w:t>
      </w:r>
      <w:r>
        <w:rPr>
          <w:rFonts w:hint="eastAsia" w:ascii="宋体" w:hAnsi="宋体" w:eastAsia="宋体" w:cs="Times New Roman"/>
          <w:spacing w:val="-6"/>
          <w:szCs w:val="21"/>
        </w:rPr>
        <w:t>投标保证金（元）：无。</w:t>
      </w:r>
    </w:p>
    <w:p w14:paraId="2B78A85B">
      <w:pPr>
        <w:adjustRightInd w:val="0"/>
        <w:snapToGrid w:val="0"/>
        <w:spacing w:line="288" w:lineRule="auto"/>
        <w:jc w:val="left"/>
        <w:rPr>
          <w:rFonts w:hint="eastAsia" w:ascii="宋体" w:hAnsi="宋体" w:eastAsia="宋体" w:cs="Times New Roman"/>
          <w:b/>
          <w:spacing w:val="-6"/>
          <w:szCs w:val="21"/>
        </w:rPr>
      </w:pPr>
      <w:r>
        <w:rPr>
          <w:rFonts w:hint="eastAsia" w:ascii="宋体" w:hAnsi="宋体" w:eastAsia="宋体" w:cs="Times New Roman"/>
          <w:b/>
          <w:spacing w:val="-6"/>
          <w:szCs w:val="21"/>
        </w:rPr>
        <w:t>（五）投标委托</w:t>
      </w:r>
    </w:p>
    <w:p w14:paraId="4EDF6427">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1.投标人代表是法定代表人（单位负责人、自然人本人）的，须提供本人身份证明。</w:t>
      </w:r>
    </w:p>
    <w:p w14:paraId="6B1215BD">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2.投标人代表不是法定代表人（单位负责人、自然人本人）的，须提供授权委托书（格式详见招标文件第六章）和授权代表社保缴纳证明（</w:t>
      </w:r>
      <w:r>
        <w:rPr>
          <w:rFonts w:hint="eastAsia" w:ascii="宋体" w:hAnsi="宋体" w:eastAsia="宋体" w:cs="Times New Roman"/>
          <w:spacing w:val="-6"/>
          <w:szCs w:val="21"/>
        </w:rPr>
        <w:t>2024年6月（含）</w:t>
      </w:r>
      <w:r>
        <w:rPr>
          <w:rFonts w:ascii="宋体" w:hAnsi="宋体" w:eastAsia="宋体" w:cs="Times New Roman"/>
          <w:spacing w:val="-6"/>
          <w:szCs w:val="21"/>
        </w:rPr>
        <w:t>以后任意一月）；</w:t>
      </w:r>
    </w:p>
    <w:p w14:paraId="2FD8F13E">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3.投标人委派不在本单位缴纳社保的人员作为授权代表的，应当在投标文件中，说明具体原因、授权代表缴纳社保的单位，并附列该授权代表缴纳社保清单。</w:t>
      </w:r>
    </w:p>
    <w:p w14:paraId="30AB9B7C">
      <w:pPr>
        <w:adjustRightInd w:val="0"/>
        <w:snapToGrid w:val="0"/>
        <w:spacing w:line="288" w:lineRule="auto"/>
        <w:rPr>
          <w:rFonts w:hint="eastAsia" w:ascii="宋体" w:hAnsi="宋体" w:eastAsia="宋体" w:cs="宋体"/>
          <w:b/>
          <w:bCs/>
          <w:szCs w:val="21"/>
        </w:rPr>
      </w:pPr>
      <w:r>
        <w:rPr>
          <w:rFonts w:hint="eastAsia" w:ascii="宋体" w:hAnsi="宋体" w:eastAsia="宋体" w:cs="宋体"/>
          <w:b/>
          <w:bCs/>
          <w:szCs w:val="21"/>
        </w:rPr>
        <w:t>（六）联合体投标</w:t>
      </w:r>
    </w:p>
    <w:p w14:paraId="4278B438">
      <w:pPr>
        <w:adjustRightInd w:val="0"/>
        <w:snapToGri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本项目</w:t>
      </w:r>
      <w:r>
        <w:rPr>
          <w:rFonts w:hint="eastAsia" w:ascii="宋体" w:hAnsi="宋体" w:eastAsia="宋体"/>
          <w:szCs w:val="21"/>
        </w:rPr>
        <w:t>（是）</w:t>
      </w:r>
      <w:r>
        <w:rPr>
          <w:rFonts w:hint="eastAsia" w:ascii="宋体" w:hAnsi="宋体" w:eastAsia="宋体" w:cs="宋体"/>
          <w:szCs w:val="21"/>
        </w:rPr>
        <w:t>接受联合体投标。</w:t>
      </w:r>
    </w:p>
    <w:p w14:paraId="2BA6AFD2">
      <w:pPr>
        <w:spacing w:line="288" w:lineRule="auto"/>
        <w:ind w:firstLine="420" w:firstLineChars="200"/>
        <w:rPr>
          <w:rFonts w:hint="eastAsia" w:ascii="宋体" w:hAnsi="宋体" w:eastAsia="宋体" w:cs="Times New Roman"/>
        </w:rPr>
      </w:pPr>
      <w:r>
        <w:rPr>
          <w:rFonts w:hint="eastAsia" w:ascii="宋体" w:hAnsi="宋体" w:eastAsia="宋体" w:cs="Times New Roman"/>
        </w:rPr>
        <w:t>两个以上的自然人、法人或者其他组织可以组成一个联合体，以一个供应商的身份共同参加政府采购。</w:t>
      </w:r>
    </w:p>
    <w:p w14:paraId="34B3DF36">
      <w:pPr>
        <w:adjustRightInd w:val="0"/>
        <w:snapToGrid w:val="0"/>
        <w:spacing w:line="288" w:lineRule="auto"/>
        <w:ind w:firstLine="420" w:firstLineChars="200"/>
        <w:rPr>
          <w:rFonts w:hint="eastAsia" w:ascii="宋体" w:hAnsi="宋体" w:eastAsia="宋体" w:cs="宋体"/>
          <w:szCs w:val="21"/>
        </w:rPr>
      </w:pPr>
      <w:r>
        <w:rPr>
          <w:rFonts w:hint="eastAsia" w:ascii="宋体" w:hAnsi="宋体" w:eastAsia="宋体" w:cs="Times New Roman"/>
        </w:rPr>
        <w:t>以联合体形式进行政府采购的，参加联合体的供应商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14:paraId="7386DEE0">
      <w:pPr>
        <w:adjustRightInd w:val="0"/>
        <w:snapToGrid w:val="0"/>
        <w:spacing w:line="288" w:lineRule="auto"/>
        <w:jc w:val="left"/>
        <w:rPr>
          <w:rFonts w:hint="eastAsia" w:ascii="宋体" w:hAnsi="宋体" w:eastAsia="宋体" w:cs="Times New Roman"/>
          <w:b/>
          <w:spacing w:val="-6"/>
          <w:szCs w:val="21"/>
        </w:rPr>
      </w:pPr>
      <w:r>
        <w:rPr>
          <w:rFonts w:hint="eastAsia" w:ascii="宋体" w:hAnsi="宋体" w:eastAsia="宋体" w:cs="Times New Roman"/>
          <w:b/>
          <w:spacing w:val="-6"/>
          <w:szCs w:val="21"/>
        </w:rPr>
        <w:t>（七）转包与分包</w:t>
      </w:r>
    </w:p>
    <w:p w14:paraId="1821236D">
      <w:pPr>
        <w:adjustRightInd w:val="0"/>
        <w:snapToGrid w:val="0"/>
        <w:spacing w:line="288" w:lineRule="auto"/>
        <w:ind w:firstLine="424" w:firstLineChars="202"/>
        <w:jc w:val="left"/>
        <w:rPr>
          <w:rFonts w:hint="eastAsia" w:ascii="宋体" w:hAnsi="宋体" w:eastAsia="宋体"/>
          <w:szCs w:val="21"/>
        </w:rPr>
      </w:pPr>
      <w:r>
        <w:rPr>
          <w:rFonts w:hint="eastAsia" w:ascii="宋体" w:hAnsi="宋体" w:eastAsia="宋体"/>
          <w:szCs w:val="21"/>
        </w:rPr>
        <w:t>1</w:t>
      </w:r>
      <w:r>
        <w:rPr>
          <w:rFonts w:ascii="宋体" w:hAnsi="宋体" w:eastAsia="宋体"/>
          <w:szCs w:val="21"/>
        </w:rPr>
        <w:t>.</w:t>
      </w:r>
      <w:r>
        <w:rPr>
          <w:rFonts w:hint="eastAsia" w:ascii="宋体" w:hAnsi="宋体" w:eastAsia="宋体"/>
          <w:szCs w:val="21"/>
        </w:rPr>
        <w:t>本项目不允许转包；</w:t>
      </w:r>
    </w:p>
    <w:p w14:paraId="4A58BD60">
      <w:pPr>
        <w:adjustRightInd w:val="0"/>
        <w:snapToGrid w:val="0"/>
        <w:spacing w:line="288" w:lineRule="auto"/>
        <w:ind w:firstLine="424" w:firstLineChars="202"/>
        <w:jc w:val="left"/>
        <w:rPr>
          <w:rFonts w:hint="eastAsia" w:ascii="宋体" w:hAnsi="宋体" w:eastAsia="宋体"/>
          <w:szCs w:val="21"/>
        </w:rPr>
      </w:pPr>
      <w:r>
        <w:rPr>
          <w:rFonts w:ascii="宋体" w:hAnsi="宋体" w:eastAsia="宋体"/>
          <w:szCs w:val="21"/>
        </w:rPr>
        <w:t>2.</w:t>
      </w:r>
      <w:r>
        <w:rPr>
          <w:rFonts w:hint="eastAsia" w:ascii="宋体" w:hAnsi="宋体" w:eastAsia="宋体"/>
          <w:szCs w:val="21"/>
        </w:rPr>
        <w:t>本项目</w:t>
      </w:r>
      <w:r>
        <w:rPr>
          <w:rFonts w:hint="eastAsia" w:ascii="宋体" w:hAnsi="宋体" w:eastAsia="宋体"/>
          <w:b/>
          <w:bCs/>
          <w:szCs w:val="21"/>
          <w:u w:val="single"/>
        </w:rPr>
        <w:t>允许</w:t>
      </w:r>
      <w:r>
        <w:rPr>
          <w:rFonts w:hint="eastAsia" w:ascii="宋体" w:hAnsi="宋体" w:eastAsia="宋体"/>
          <w:szCs w:val="21"/>
        </w:rPr>
        <w:t>分包，</w:t>
      </w:r>
      <w:r>
        <w:rPr>
          <w:rFonts w:ascii="宋体" w:hAnsi="宋体" w:eastAsia="宋体"/>
          <w:szCs w:val="21"/>
        </w:rPr>
        <w:t>可以分包履行的（非主体、非关键性的工作）具体内容、金额或者比例：</w:t>
      </w:r>
    </w:p>
    <w:p w14:paraId="4965EF3B">
      <w:pPr>
        <w:adjustRightInd w:val="0"/>
        <w:snapToGrid w:val="0"/>
        <w:spacing w:line="288" w:lineRule="auto"/>
        <w:ind w:firstLine="424" w:firstLineChars="202"/>
        <w:jc w:val="left"/>
        <w:rPr>
          <w:rFonts w:hint="eastAsia" w:ascii="宋体" w:hAnsi="宋体" w:eastAsia="宋体"/>
          <w:szCs w:val="21"/>
        </w:rPr>
      </w:pPr>
      <w:r>
        <w:rPr>
          <w:rFonts w:ascii="宋体" w:hAnsi="宋体" w:eastAsia="宋体"/>
          <w:szCs w:val="21"/>
          <w:u w:val="single"/>
        </w:rPr>
        <w:t xml:space="preserve">  </w:t>
      </w:r>
      <w:r>
        <w:rPr>
          <w:rFonts w:hint="eastAsia" w:ascii="宋体" w:hAnsi="宋体" w:eastAsia="宋体"/>
          <w:szCs w:val="21"/>
          <w:u w:val="single"/>
        </w:rPr>
        <w:t>设备运输</w:t>
      </w:r>
      <w:r>
        <w:rPr>
          <w:rFonts w:ascii="宋体" w:hAnsi="宋体" w:eastAsia="宋体"/>
          <w:szCs w:val="21"/>
          <w:u w:val="single"/>
        </w:rPr>
        <w:t xml:space="preserve">  。</w:t>
      </w:r>
    </w:p>
    <w:p w14:paraId="66977EBA">
      <w:pPr>
        <w:adjustRightInd w:val="0"/>
        <w:snapToGrid w:val="0"/>
        <w:spacing w:line="288" w:lineRule="auto"/>
        <w:ind w:firstLine="424" w:firstLineChars="202"/>
        <w:jc w:val="left"/>
        <w:rPr>
          <w:rFonts w:hint="eastAsia" w:ascii="宋体" w:hAnsi="宋体" w:eastAsia="宋体"/>
          <w:szCs w:val="21"/>
        </w:rPr>
      </w:pPr>
      <w:r>
        <w:rPr>
          <w:rFonts w:hint="eastAsia" w:ascii="宋体" w:hAnsi="宋体" w:eastAsia="宋体"/>
          <w:szCs w:val="21"/>
        </w:rPr>
        <w:t>说明：投标人根据招标文件的规定和采购项目的实际情况，拟在中标后将中标项目的非主体、非关键性工作分包的，应当在投标文件中载明分包承担主体，分包承担主体应当具备相应资质条件且不得再次分包。</w:t>
      </w:r>
    </w:p>
    <w:p w14:paraId="5CE58CAC">
      <w:pPr>
        <w:adjustRightInd w:val="0"/>
        <w:snapToGrid w:val="0"/>
        <w:spacing w:line="288" w:lineRule="auto"/>
        <w:ind w:firstLine="402" w:firstLineChars="202"/>
        <w:jc w:val="left"/>
        <w:rPr>
          <w:rFonts w:hint="eastAsia" w:ascii="宋体" w:hAnsi="宋体" w:eastAsia="宋体" w:cs="Times New Roman"/>
          <w:b/>
          <w:spacing w:val="-6"/>
          <w:szCs w:val="21"/>
        </w:rPr>
      </w:pPr>
      <w:r>
        <w:rPr>
          <w:rFonts w:hint="eastAsia" w:ascii="宋体" w:hAnsi="宋体" w:eastAsia="宋体" w:cs="Times New Roman"/>
          <w:b/>
          <w:spacing w:val="-6"/>
          <w:szCs w:val="21"/>
        </w:rPr>
        <w:t>（八）质疑和投诉</w:t>
      </w:r>
    </w:p>
    <w:p w14:paraId="6D5279EC">
      <w:pPr>
        <w:adjustRightInd w:val="0"/>
        <w:snapToGrid w:val="0"/>
        <w:spacing w:line="288" w:lineRule="auto"/>
        <w:ind w:firstLine="396" w:firstLineChars="200"/>
        <w:jc w:val="left"/>
        <w:rPr>
          <w:rFonts w:hint="eastAsia" w:ascii="宋体" w:hAnsi="宋体" w:eastAsia="宋体" w:cs="Times New Roman"/>
          <w:spacing w:val="-6"/>
          <w:szCs w:val="21"/>
        </w:rPr>
      </w:pPr>
      <w:bookmarkStart w:id="44" w:name="_Hlk92273406"/>
      <w:r>
        <w:rPr>
          <w:rFonts w:hint="eastAsia" w:ascii="宋体" w:hAnsi="宋体" w:eastAsia="宋体" w:cs="Times New Roman"/>
          <w:spacing w:val="-6"/>
          <w:szCs w:val="21"/>
        </w:rPr>
        <w:t>1</w:t>
      </w:r>
      <w:r>
        <w:rPr>
          <w:rFonts w:ascii="宋体" w:hAnsi="宋体" w:eastAsia="宋体" w:cs="Times New Roman"/>
          <w:spacing w:val="-6"/>
          <w:szCs w:val="21"/>
        </w:rPr>
        <w:t>.</w:t>
      </w:r>
      <w:r>
        <w:rPr>
          <w:rFonts w:hint="eastAsia" w:ascii="宋体" w:hAnsi="宋体" w:eastAsia="宋体" w:cs="Times New Roman"/>
          <w:spacing w:val="-6"/>
          <w:szCs w:val="21"/>
        </w:rPr>
        <w:t>供应商认为采购文件、采购过程、中标或者成交结果使自己的权益受到损害的，可以在知道或者应知其权益受到损害之日起</w:t>
      </w:r>
      <w:r>
        <w:rPr>
          <w:rFonts w:ascii="宋体" w:hAnsi="宋体" w:eastAsia="宋体" w:cs="Times New Roman"/>
          <w:spacing w:val="-6"/>
          <w:szCs w:val="21"/>
        </w:rPr>
        <w:t>7个工作日内，以书面形式向采购人、采购代理机构提出质疑。</w:t>
      </w:r>
      <w:r>
        <w:rPr>
          <w:rFonts w:hint="eastAsia" w:ascii="宋体" w:hAnsi="宋体" w:eastAsia="宋体" w:cs="Times New Roman"/>
          <w:spacing w:val="-6"/>
          <w:szCs w:val="21"/>
        </w:rPr>
        <w:t>质疑供应商对采购人、采购代理机构的答复不满意，或者采购人、采购代理机构未在规定时间内作出答复的，可以在答复期满后</w:t>
      </w:r>
      <w:r>
        <w:rPr>
          <w:rFonts w:ascii="宋体" w:hAnsi="宋体" w:eastAsia="宋体" w:cs="Times New Roman"/>
          <w:spacing w:val="-6"/>
          <w:szCs w:val="21"/>
        </w:rPr>
        <w:t>15个工作日内向</w:t>
      </w:r>
      <w:r>
        <w:rPr>
          <w:rFonts w:hint="eastAsia" w:ascii="宋体" w:hAnsi="宋体" w:eastAsia="宋体" w:cs="Times New Roman"/>
          <w:spacing w:val="-6"/>
          <w:szCs w:val="21"/>
        </w:rPr>
        <w:t>本级财政部门</w:t>
      </w:r>
      <w:r>
        <w:rPr>
          <w:rFonts w:ascii="宋体" w:hAnsi="宋体" w:eastAsia="宋体" w:cs="Times New Roman"/>
          <w:spacing w:val="-6"/>
          <w:szCs w:val="21"/>
        </w:rPr>
        <w:t>提起投诉。</w:t>
      </w:r>
    </w:p>
    <w:bookmarkEnd w:id="44"/>
    <w:p w14:paraId="101C51F7">
      <w:pPr>
        <w:adjustRightInd w:val="0"/>
        <w:snapToGrid w:val="0"/>
        <w:spacing w:line="288" w:lineRule="auto"/>
        <w:ind w:firstLine="398" w:firstLineChars="200"/>
        <w:jc w:val="left"/>
        <w:rPr>
          <w:rFonts w:hint="eastAsia" w:ascii="宋体" w:hAnsi="宋体" w:eastAsia="宋体" w:cs="Times New Roman"/>
          <w:b/>
          <w:bCs/>
          <w:spacing w:val="-6"/>
          <w:szCs w:val="21"/>
        </w:rPr>
      </w:pPr>
      <w:r>
        <w:rPr>
          <w:rFonts w:hint="eastAsia" w:ascii="宋体" w:hAnsi="宋体" w:eastAsia="宋体" w:cs="Times New Roman"/>
          <w:b/>
          <w:bCs/>
          <w:spacing w:val="-6"/>
          <w:szCs w:val="21"/>
        </w:rPr>
        <w:t>2.投标人提出质疑应当提交质疑函和必要的证明材料，质疑函范本、投诉书范本请到浙江政府采购网下载专区下载。质疑函应当包括下列内容：</w:t>
      </w:r>
    </w:p>
    <w:p w14:paraId="298134B1">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（1）供应商的姓名或者名称、地址、邮编、联系人及联系电话；</w:t>
      </w:r>
    </w:p>
    <w:p w14:paraId="5CCF3A79">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（2）质疑项目的名称、编号；</w:t>
      </w:r>
    </w:p>
    <w:p w14:paraId="15031B70">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（3）具体、明确的质疑事项和与质疑事项相关的请求；</w:t>
      </w:r>
    </w:p>
    <w:p w14:paraId="3340453F">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（4）事实依据；</w:t>
      </w:r>
    </w:p>
    <w:p w14:paraId="43AD4626">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（5）必要的法律依据；</w:t>
      </w:r>
    </w:p>
    <w:p w14:paraId="6968E57C">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（6）提出质疑的日期。</w:t>
      </w:r>
    </w:p>
    <w:p w14:paraId="7838C366">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投标人为自然人的，应当由本人签名；投标人为法人或者其他组织的，应当由法定代表人、主要负责人，或者其授权代表签名或者盖章，并加盖公章。</w:t>
      </w:r>
    </w:p>
    <w:p w14:paraId="34AD1BD6">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3.提出质疑的供应商应当是参与本项目招标活动的投标人。</w:t>
      </w:r>
      <w:r>
        <w:rPr>
          <w:rFonts w:hint="eastAsia" w:ascii="宋体" w:hAnsi="宋体" w:eastAsia="宋体" w:cs="Times New Roman"/>
          <w:b/>
          <w:spacing w:val="-6"/>
          <w:szCs w:val="21"/>
        </w:rPr>
        <w:t>投标人在法定质疑期内应一次性提出针对同一采购程序环节的质疑。</w:t>
      </w:r>
    </w:p>
    <w:p w14:paraId="7011BD47">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4.根据《政府采购质疑和投诉办法》第三十七条的规定，投诉人在全国范围</w:t>
      </w:r>
      <w:r>
        <w:rPr>
          <w:rFonts w:ascii="宋体" w:hAnsi="宋体" w:eastAsia="宋体" w:cs="Times New Roman"/>
          <w:spacing w:val="-6"/>
          <w:szCs w:val="21"/>
        </w:rPr>
        <w:t>12</w:t>
      </w:r>
      <w:r>
        <w:rPr>
          <w:rFonts w:hint="eastAsia" w:ascii="宋体" w:hAnsi="宋体" w:eastAsia="宋体" w:cs="Times New Roman"/>
          <w:spacing w:val="-6"/>
          <w:szCs w:val="21"/>
        </w:rPr>
        <w:t>个月内三次以上投诉查无实据的，由财政部门列入不良行为记录名单。</w:t>
      </w:r>
    </w:p>
    <w:p w14:paraId="73973324">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投诉人有下列行为之一的，属于虚假、恶意投诉，由财政部门列入不良行为记录名单，禁止其</w:t>
      </w:r>
      <w:r>
        <w:rPr>
          <w:rFonts w:ascii="宋体" w:hAnsi="宋体" w:eastAsia="宋体" w:cs="Times New Roman"/>
          <w:spacing w:val="-6"/>
          <w:szCs w:val="21"/>
        </w:rPr>
        <w:t>1</w:t>
      </w:r>
      <w:r>
        <w:rPr>
          <w:rFonts w:hint="eastAsia" w:ascii="宋体" w:hAnsi="宋体" w:eastAsia="宋体" w:cs="Times New Roman"/>
          <w:spacing w:val="-6"/>
          <w:szCs w:val="21"/>
        </w:rPr>
        <w:t>至</w:t>
      </w:r>
      <w:r>
        <w:rPr>
          <w:rFonts w:ascii="宋体" w:hAnsi="宋体" w:eastAsia="宋体" w:cs="Times New Roman"/>
          <w:spacing w:val="-6"/>
          <w:szCs w:val="21"/>
        </w:rPr>
        <w:t>3</w:t>
      </w:r>
      <w:r>
        <w:rPr>
          <w:rFonts w:hint="eastAsia" w:ascii="宋体" w:hAnsi="宋体" w:eastAsia="宋体" w:cs="Times New Roman"/>
          <w:spacing w:val="-6"/>
          <w:szCs w:val="21"/>
        </w:rPr>
        <w:t>年内参加政府采购活动：</w:t>
      </w:r>
    </w:p>
    <w:p w14:paraId="0A91F114">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（1）捏造事实；</w:t>
      </w:r>
    </w:p>
    <w:p w14:paraId="1BDA4FA1">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（2）提供虚假材料；</w:t>
      </w:r>
    </w:p>
    <w:p w14:paraId="212D9248">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（3）以非法手段取得证明材料。证据来源的合法性存在明显疑问，投诉人无法证明其取得方式合法的，视为以非法手段取得证明材料。</w:t>
      </w:r>
    </w:p>
    <w:p w14:paraId="6C518FDF">
      <w:pPr>
        <w:adjustRightInd w:val="0"/>
        <w:snapToGrid w:val="0"/>
        <w:spacing w:line="288" w:lineRule="auto"/>
        <w:outlineLvl w:val="2"/>
        <w:rPr>
          <w:rFonts w:hint="eastAsia" w:ascii="宋体" w:hAnsi="宋体" w:eastAsia="宋体" w:cs="宋体"/>
          <w:b/>
          <w:spacing w:val="-6"/>
          <w:kern w:val="0"/>
          <w:szCs w:val="21"/>
        </w:rPr>
      </w:pPr>
      <w:bookmarkStart w:id="45" w:name="_Hlk92273111"/>
      <w:bookmarkStart w:id="46" w:name="_Hlk94018492"/>
      <w:r>
        <w:rPr>
          <w:rFonts w:ascii="宋体" w:hAnsi="宋体" w:eastAsia="宋体" w:cs="宋体"/>
          <w:b/>
          <w:spacing w:val="-6"/>
          <w:kern w:val="0"/>
          <w:szCs w:val="21"/>
        </w:rPr>
        <w:t>（</w:t>
      </w:r>
      <w:r>
        <w:rPr>
          <w:rFonts w:hint="eastAsia" w:ascii="宋体" w:hAnsi="宋体" w:eastAsia="宋体" w:cs="宋体"/>
          <w:b/>
          <w:spacing w:val="-6"/>
          <w:kern w:val="0"/>
          <w:szCs w:val="21"/>
        </w:rPr>
        <w:t>九</w:t>
      </w:r>
      <w:r>
        <w:rPr>
          <w:rFonts w:ascii="宋体" w:hAnsi="宋体" w:eastAsia="宋体" w:cs="宋体"/>
          <w:b/>
          <w:spacing w:val="-6"/>
          <w:kern w:val="0"/>
          <w:szCs w:val="21"/>
        </w:rPr>
        <w:t>）</w:t>
      </w:r>
      <w:r>
        <w:rPr>
          <w:rFonts w:hint="eastAsia" w:ascii="宋体" w:hAnsi="宋体" w:eastAsia="宋体" w:cs="宋体"/>
          <w:b/>
          <w:spacing w:val="-6"/>
          <w:kern w:val="0"/>
          <w:szCs w:val="21"/>
        </w:rPr>
        <w:t>采购项目需要落实的政府采购政策</w:t>
      </w:r>
    </w:p>
    <w:bookmarkEnd w:id="45"/>
    <w:bookmarkEnd w:id="46"/>
    <w:p w14:paraId="1009554D">
      <w:pPr>
        <w:adjustRightInd w:val="0"/>
        <w:snapToGrid w:val="0"/>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rPr>
        <w:t>1.进口产品</w:t>
      </w:r>
    </w:p>
    <w:p w14:paraId="511A250B">
      <w:pPr>
        <w:adjustRightInd w:val="0"/>
        <w:snapToGri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本项目原则上采购本国生产的货物、服务，不允许采购进口产品。优先采购向我国企业转让技术、与我国企业签订消化吸收再创新方案的供应商的进口产品。</w:t>
      </w:r>
    </w:p>
    <w:p w14:paraId="730BE811">
      <w:pPr>
        <w:shd w:val="clear" w:color="auto" w:fill="FFFFFF"/>
        <w:adjustRightInd w:val="0"/>
        <w:snapToGrid w:val="0"/>
        <w:spacing w:line="288" w:lineRule="auto"/>
        <w:ind w:firstLine="369" w:firstLineChars="176"/>
        <w:jc w:val="left"/>
        <w:rPr>
          <w:rFonts w:hint="eastAsia" w:ascii="宋体" w:hAnsi="宋体" w:eastAsia="宋体" w:cs="宋体"/>
          <w:szCs w:val="21"/>
        </w:rPr>
      </w:pPr>
      <w:r>
        <w:rPr>
          <w:rFonts w:hint="eastAsia" w:ascii="宋体" w:hAnsi="宋体" w:eastAsia="宋体" w:cs="宋体"/>
          <w:szCs w:val="21"/>
        </w:rPr>
        <w:t>采购人已经在采购活动开始前向财政部门提出申请并获得财政部门审核同意（高校和科研院所采购用于科研的进口仪器设备，以及其他根据财政部规定实行备案管理的，实行备案管理）购买进口产品的，将在招标文件中明确规定可以采购进口产品（但如果因信息不对称等原因，仍有满足需求的国内产品要求参与采购竞争的，不会对其加以限制，仍将按照公平竞争原则实施采购）。</w:t>
      </w:r>
    </w:p>
    <w:p w14:paraId="2AD2C28C">
      <w:pPr>
        <w:adjustRightInd w:val="0"/>
        <w:snapToGri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进口产品是指通过中国海关报关验放进入中国境内且产自关境外的产品。关于关境和海关特殊监管区域产品认定、已在境内多次流转进口产品认定，按照《关于政府采购进口产品管理有关问题的通知》（财办库[2008]248号）执行。</w:t>
      </w:r>
    </w:p>
    <w:p w14:paraId="727E3DC3">
      <w:pPr>
        <w:adjustRightInd w:val="0"/>
        <w:snapToGrid w:val="0"/>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rPr>
        <w:t>2.支持绿色发展</w:t>
      </w:r>
    </w:p>
    <w:p w14:paraId="701457ED">
      <w:pPr>
        <w:adjustRightInd w:val="0"/>
        <w:snapToGrid w:val="0"/>
        <w:spacing w:line="288" w:lineRule="auto"/>
        <w:ind w:firstLine="420" w:firstLineChars="200"/>
        <w:rPr>
          <w:rFonts w:hint="eastAsia" w:ascii="宋体" w:hAnsi="宋体" w:eastAsia="宋体" w:cs="宋体"/>
          <w:szCs w:val="21"/>
          <w:u w:val="single"/>
        </w:rPr>
      </w:pPr>
      <w:r>
        <w:rPr>
          <w:rFonts w:hint="eastAsia" w:ascii="宋体" w:hAnsi="宋体" w:eastAsia="宋体" w:cs="宋体"/>
          <w:szCs w:val="21"/>
        </w:rPr>
        <w:t>采购人拟采购的产品属于节能产品、环境标志产品政府采购品目清单范围的，将依据国家确定的认证机构出具的、处于有效期之内的节能产品、环境标志产品认证证书，对获得证书的产品实施政府优先采购或强制采购。</w:t>
      </w:r>
    </w:p>
    <w:p w14:paraId="577E0320">
      <w:pPr>
        <w:adjustRightInd w:val="0"/>
        <w:snapToGri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采购人拟采购产品属于节能产品政府采购清单规定必须强制采购的，将在招标文件中明确载明，供应商相应的投标产品须提供国家确定的认证机构出具的、处于有效期之内的节能产品认证证书。</w:t>
      </w:r>
    </w:p>
    <w:p w14:paraId="184ACF59">
      <w:pPr>
        <w:adjustRightInd w:val="0"/>
        <w:snapToGrid w:val="0"/>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rPr>
        <w:t>3.支持中小企业发展</w:t>
      </w:r>
    </w:p>
    <w:p w14:paraId="09015251">
      <w:pPr>
        <w:adjustRightInd w:val="0"/>
        <w:snapToGri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3.1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12BF9DC2">
      <w:pPr>
        <w:adjustRightInd w:val="0"/>
        <w:snapToGri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3.2 在政府采购活动中，供应商提供的货物或者服务符合下列情形的，享受中小企业扶持政策：</w:t>
      </w:r>
    </w:p>
    <w:p w14:paraId="5C13D505">
      <w:pPr>
        <w:adjustRightInd w:val="0"/>
        <w:snapToGri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在货物采购项目中，货物由中小企业制造，即货物由</w:t>
      </w:r>
      <w:r>
        <w:rPr>
          <w:rFonts w:hint="eastAsia" w:ascii="宋体" w:hAnsi="宋体" w:eastAsia="宋体" w:cs="宋体"/>
          <w:szCs w:val="21"/>
          <w:u w:val="single"/>
        </w:rPr>
        <w:t>中小企业生产且使用该中小企业商号或者注册商标</w:t>
      </w:r>
      <w:r>
        <w:rPr>
          <w:rFonts w:hint="eastAsia" w:ascii="宋体" w:hAnsi="宋体" w:eastAsia="宋体" w:cs="宋体"/>
          <w:szCs w:val="21"/>
        </w:rPr>
        <w:t>。如果一个采购项目或采购包含有多个采购标的的，则每个采购标的均应由中小企业制造。在服务采购项目中，服务由中小企业承接，即提供服务的人员为中小企业依照《中华人民共和国劳动合同法》订立劳动合同的从业人员。</w:t>
      </w:r>
    </w:p>
    <w:p w14:paraId="7FE00DD5">
      <w:pPr>
        <w:adjustRightInd w:val="0"/>
        <w:snapToGri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3.3 供应商提供的货物既有中小企业制造货物，也有大型企业制造货物的，不享受中小企业扶持政策；供应商提供的货物既有中型企业制造，也有小微企业制造的，不享受办法规定的小微企业扶持政策。对于联合体中由中小企业承担的部分，或者分包给中小企业的部分，必须全部由中小企业制造、承建或者承接。</w:t>
      </w:r>
    </w:p>
    <w:p w14:paraId="517FAF98">
      <w:pPr>
        <w:adjustRightInd w:val="0"/>
        <w:snapToGrid w:val="0"/>
        <w:spacing w:line="288" w:lineRule="auto"/>
        <w:ind w:firstLine="420" w:firstLineChars="200"/>
        <w:jc w:val="left"/>
        <w:rPr>
          <w:rFonts w:hint="eastAsia" w:ascii="宋体" w:hAnsi="宋体" w:eastAsia="宋体" w:cs="宋体"/>
          <w:szCs w:val="21"/>
        </w:rPr>
      </w:pPr>
      <w:r>
        <w:rPr>
          <w:rFonts w:hint="eastAsia" w:ascii="宋体" w:hAnsi="宋体" w:eastAsia="宋体" w:cs="宋体"/>
          <w:szCs w:val="21"/>
        </w:rPr>
        <w:t>中小企业享受扶持政策获得政府采购合同的，小微企业不得将合同分包给大中型企业，中型企业不得将合同分包给大型企业。</w:t>
      </w:r>
    </w:p>
    <w:p w14:paraId="2A8046F1">
      <w:pPr>
        <w:adjustRightInd w:val="0"/>
        <w:snapToGrid w:val="0"/>
        <w:spacing w:line="288" w:lineRule="auto"/>
        <w:ind w:firstLine="420" w:firstLineChars="200"/>
        <w:jc w:val="left"/>
        <w:rPr>
          <w:rFonts w:hint="eastAsia" w:ascii="宋体" w:hAnsi="宋体" w:eastAsia="宋体" w:cs="宋体"/>
          <w:szCs w:val="21"/>
        </w:rPr>
      </w:pPr>
      <w:r>
        <w:rPr>
          <w:rFonts w:hint="eastAsia" w:ascii="宋体" w:hAnsi="宋体" w:eastAsia="宋体" w:cs="宋体"/>
          <w:szCs w:val="21"/>
        </w:rPr>
        <w:t>3.4 以联合体形式参加政府采购活动，联合体各方均为中小企业的，联合体视同中小企业。其中，联合体各方均为小微企业的，联合体视同小微企业。</w:t>
      </w:r>
    </w:p>
    <w:p w14:paraId="162E5489">
      <w:pPr>
        <w:adjustRightInd w:val="0"/>
        <w:snapToGrid w:val="0"/>
        <w:spacing w:line="288" w:lineRule="auto"/>
        <w:ind w:firstLine="420" w:firstLineChars="200"/>
        <w:jc w:val="left"/>
        <w:rPr>
          <w:rFonts w:hint="eastAsia" w:ascii="宋体" w:hAnsi="宋体" w:eastAsia="宋体" w:cs="宋体"/>
          <w:szCs w:val="21"/>
        </w:rPr>
      </w:pPr>
      <w:r>
        <w:rPr>
          <w:rFonts w:hint="eastAsia" w:ascii="宋体" w:hAnsi="宋体" w:eastAsia="宋体" w:cs="宋体"/>
          <w:szCs w:val="21"/>
        </w:rPr>
        <w:t>3.5 预留份额专门面向中小企业采购的采购项目通过下列措施进行：将采购项目整体或者设置采购包专门面向中小企业采购；要求供应商以联合体形式参加采购活动，且联合体中中小企业承担的部分达到一定比例；要求获得采购合同的供应商将采购项目中的一定比例分包给一家或者多家中小企业。</w:t>
      </w:r>
    </w:p>
    <w:p w14:paraId="0A6DBC1A">
      <w:pPr>
        <w:adjustRightInd w:val="0"/>
        <w:snapToGrid w:val="0"/>
        <w:spacing w:line="288" w:lineRule="auto"/>
        <w:ind w:firstLine="420" w:firstLineChars="200"/>
        <w:jc w:val="left"/>
        <w:rPr>
          <w:rFonts w:hint="eastAsia" w:ascii="宋体" w:hAnsi="宋体" w:eastAsia="宋体" w:cs="宋体"/>
          <w:szCs w:val="21"/>
        </w:rPr>
      </w:pPr>
      <w:r>
        <w:rPr>
          <w:rFonts w:hint="eastAsia" w:ascii="宋体" w:hAnsi="宋体" w:eastAsia="宋体" w:cs="宋体"/>
          <w:szCs w:val="21"/>
        </w:rPr>
        <w:t>组成联合体或者接受分包合同的中小企业与联合体内其他企业、分包企业之间不得存在直接控股、管理关系。</w:t>
      </w:r>
    </w:p>
    <w:p w14:paraId="2ED5EAFE">
      <w:pPr>
        <w:adjustRightInd w:val="0"/>
        <w:snapToGrid w:val="0"/>
        <w:spacing w:line="288" w:lineRule="auto"/>
        <w:ind w:firstLine="420" w:firstLineChars="200"/>
        <w:jc w:val="left"/>
        <w:rPr>
          <w:rFonts w:hint="eastAsia" w:ascii="宋体" w:hAnsi="宋体" w:eastAsia="宋体" w:cs="宋体"/>
          <w:szCs w:val="21"/>
        </w:rPr>
      </w:pPr>
      <w:r>
        <w:rPr>
          <w:rFonts w:hint="eastAsia" w:ascii="宋体" w:hAnsi="宋体" w:eastAsia="宋体" w:cs="宋体"/>
          <w:szCs w:val="21"/>
        </w:rPr>
        <w:t>专门面向中小企业采购的项目或者采购包，不再执行价格评审优惠的扶持政策。</w:t>
      </w:r>
    </w:p>
    <w:p w14:paraId="5FA4D8EE">
      <w:pPr>
        <w:adjustRightInd w:val="0"/>
        <w:snapToGrid w:val="0"/>
        <w:spacing w:line="288" w:lineRule="auto"/>
        <w:ind w:firstLine="420" w:firstLineChars="200"/>
        <w:jc w:val="left"/>
        <w:rPr>
          <w:rFonts w:hint="eastAsia" w:ascii="宋体" w:hAnsi="宋体" w:eastAsia="宋体" w:cs="宋体"/>
          <w:szCs w:val="21"/>
        </w:rPr>
      </w:pPr>
      <w:r>
        <w:rPr>
          <w:rFonts w:hint="eastAsia" w:ascii="宋体" w:hAnsi="宋体" w:eastAsia="宋体" w:cs="宋体"/>
          <w:szCs w:val="21"/>
        </w:rPr>
        <w:t>3.6 未预留份额专门面向中小企业采购的采购项目，以及预留份额项目中的非预留部分采购包，对符合《政府采购促进中小企业发展管理办法》规定的小微企业报价给予10%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52230750">
      <w:pPr>
        <w:adjustRightInd w:val="0"/>
        <w:snapToGrid w:val="0"/>
        <w:spacing w:line="288" w:lineRule="auto"/>
        <w:ind w:firstLine="420" w:firstLineChars="200"/>
        <w:jc w:val="left"/>
        <w:rPr>
          <w:rFonts w:hint="eastAsia" w:ascii="宋体" w:hAnsi="宋体" w:eastAsia="宋体" w:cs="宋体"/>
          <w:szCs w:val="21"/>
        </w:rPr>
      </w:pPr>
      <w:r>
        <w:rPr>
          <w:rFonts w:hint="eastAsia" w:ascii="宋体" w:hAnsi="宋体" w:eastAsia="宋体" w:cs="宋体"/>
          <w:szCs w:val="21"/>
        </w:rPr>
        <w:t>3.7 中小企业参加政府采购活动，应当出具本办法规定的《中小企业声明函》，否则不得享受相关中小企业扶持政策。</w:t>
      </w:r>
    </w:p>
    <w:p w14:paraId="24DC74A3">
      <w:pPr>
        <w:adjustRightInd w:val="0"/>
        <w:snapToGrid w:val="0"/>
        <w:spacing w:line="288" w:lineRule="auto"/>
        <w:ind w:firstLine="420" w:firstLineChars="200"/>
        <w:jc w:val="left"/>
        <w:rPr>
          <w:rFonts w:hint="eastAsia" w:ascii="宋体" w:hAnsi="宋体" w:eastAsia="宋体" w:cs="宋体"/>
          <w:szCs w:val="21"/>
        </w:rPr>
      </w:pPr>
      <w:r>
        <w:rPr>
          <w:rFonts w:hint="eastAsia" w:ascii="宋体" w:hAnsi="宋体" w:eastAsia="宋体" w:cs="宋体"/>
          <w:szCs w:val="21"/>
        </w:rPr>
        <w:t>《中小企业声明函》由参加政府采购活动的供应商出具。以联合体形式参加政府采购活动或者合同分包的，《中小企业声明函》中需填写联合体中的中小企业或签订分包意向协议的中小企业相关信息。</w:t>
      </w:r>
    </w:p>
    <w:p w14:paraId="38734C42">
      <w:pPr>
        <w:adjustRightInd w:val="0"/>
        <w:snapToGri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3.8 供应商提供《中小企业声明函》内容不实的，属于提供虚假材料谋取中标、成交，依照《中华人民共和国政府采购法》等国家有关规定追究相应责任。</w:t>
      </w:r>
    </w:p>
    <w:p w14:paraId="3A415EE9">
      <w:pPr>
        <w:adjustRightInd w:val="0"/>
        <w:snapToGrid w:val="0"/>
        <w:spacing w:line="288" w:lineRule="auto"/>
        <w:ind w:firstLine="420" w:firstLineChars="200"/>
        <w:rPr>
          <w:rFonts w:hint="eastAsia" w:ascii="宋体" w:hAnsi="宋体" w:eastAsia="宋体" w:cs="宋体"/>
          <w:szCs w:val="21"/>
          <w:u w:val="single"/>
        </w:rPr>
      </w:pPr>
      <w:r>
        <w:rPr>
          <w:rFonts w:hint="eastAsia" w:ascii="宋体" w:hAnsi="宋体" w:eastAsia="宋体" w:cs="宋体"/>
          <w:szCs w:val="21"/>
          <w:u w:val="single"/>
        </w:rPr>
        <w:t>3.9 供应商提供的《中小企业声明函》中，企业数据（如从业人员，营业收入，资产总额）有误的，采购组织机构或评标委员会可以要求供应商进行澄清、说明。但《中小企业声明函》出现下列情形的，《中小企业声明函》无效，不享受《政府采购促进中小企业发展管理办法》规定的中小企业扶持政策：</w:t>
      </w:r>
    </w:p>
    <w:p w14:paraId="78E2EFCD">
      <w:pPr>
        <w:adjustRightInd w:val="0"/>
        <w:snapToGrid w:val="0"/>
        <w:spacing w:line="288" w:lineRule="auto"/>
        <w:ind w:firstLine="420" w:firstLineChars="200"/>
        <w:rPr>
          <w:rFonts w:hint="eastAsia" w:ascii="宋体" w:hAnsi="宋体" w:eastAsia="宋体" w:cs="宋体"/>
          <w:szCs w:val="21"/>
          <w:u w:val="single"/>
        </w:rPr>
      </w:pPr>
      <w:r>
        <w:rPr>
          <w:rFonts w:hint="eastAsia" w:ascii="宋体" w:hAnsi="宋体" w:eastAsia="宋体" w:cs="宋体"/>
          <w:szCs w:val="21"/>
          <w:u w:val="single"/>
        </w:rPr>
        <w:t>（1）内容未包括全部采购标的；</w:t>
      </w:r>
    </w:p>
    <w:p w14:paraId="35167F8A">
      <w:pPr>
        <w:adjustRightInd w:val="0"/>
        <w:snapToGrid w:val="0"/>
        <w:spacing w:line="288" w:lineRule="auto"/>
        <w:ind w:firstLine="420" w:firstLineChars="200"/>
        <w:rPr>
          <w:rFonts w:hint="eastAsia" w:ascii="宋体" w:hAnsi="宋体" w:eastAsia="宋体" w:cs="宋体"/>
          <w:szCs w:val="21"/>
          <w:u w:val="single"/>
        </w:rPr>
      </w:pPr>
      <w:r>
        <w:rPr>
          <w:rFonts w:hint="eastAsia" w:ascii="宋体" w:hAnsi="宋体" w:eastAsia="宋体" w:cs="宋体"/>
          <w:szCs w:val="21"/>
          <w:u w:val="single"/>
        </w:rPr>
        <w:t>（2）未填写标的所属行业，或者填写的所属行业与招标文件明确的所属行业不一致；</w:t>
      </w:r>
    </w:p>
    <w:p w14:paraId="3B27928C">
      <w:pPr>
        <w:adjustRightInd w:val="0"/>
        <w:snapToGrid w:val="0"/>
        <w:spacing w:line="288" w:lineRule="auto"/>
        <w:ind w:firstLine="420" w:firstLineChars="200"/>
        <w:rPr>
          <w:rFonts w:hint="eastAsia" w:ascii="宋体" w:hAnsi="宋体" w:eastAsia="宋体" w:cs="宋体"/>
          <w:szCs w:val="21"/>
          <w:u w:val="single"/>
        </w:rPr>
      </w:pPr>
      <w:r>
        <w:rPr>
          <w:rFonts w:hint="eastAsia" w:ascii="宋体" w:hAnsi="宋体" w:eastAsia="宋体" w:cs="宋体"/>
          <w:szCs w:val="21"/>
          <w:u w:val="single"/>
        </w:rPr>
        <w:t>（3）未填写企业类型、填写的企业类型不明确或填写的企业类型与实际不符（即：企业类型（中型企业、小型企业或微型企业）填写错误）。</w:t>
      </w:r>
    </w:p>
    <w:p w14:paraId="782DCE49">
      <w:pPr>
        <w:adjustRightInd w:val="0"/>
        <w:snapToGrid w:val="0"/>
        <w:spacing w:line="288" w:lineRule="auto"/>
        <w:ind w:firstLine="420" w:firstLineChars="200"/>
        <w:rPr>
          <w:rFonts w:hint="eastAsia" w:ascii="宋体" w:hAnsi="宋体" w:eastAsia="宋体" w:cs="宋体"/>
          <w:szCs w:val="21"/>
          <w:u w:val="single"/>
        </w:rPr>
      </w:pPr>
      <w:r>
        <w:rPr>
          <w:rFonts w:hint="eastAsia" w:ascii="宋体" w:hAnsi="宋体" w:eastAsia="宋体" w:cs="宋体"/>
          <w:szCs w:val="21"/>
          <w:u w:val="single"/>
        </w:rPr>
        <w:t>供应商声明的类型获得了本不应获得的利益（价格扣除或者资格审查通过），属于提供虚假材料。构成“提供虚假材料谋取中标的”，依法承担法律责任。</w:t>
      </w:r>
    </w:p>
    <w:p w14:paraId="104FC706">
      <w:pPr>
        <w:adjustRightInd w:val="0"/>
        <w:snapToGrid w:val="0"/>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rPr>
        <w:t>4.支持监狱企业发展</w:t>
      </w:r>
    </w:p>
    <w:p w14:paraId="5F92F86F">
      <w:pPr>
        <w:adjustRightInd w:val="0"/>
        <w:snapToGrid w:val="0"/>
        <w:spacing w:line="288" w:lineRule="auto"/>
        <w:ind w:firstLine="420" w:firstLineChars="200"/>
        <w:jc w:val="left"/>
        <w:rPr>
          <w:rFonts w:hint="eastAsia" w:ascii="宋体" w:hAnsi="宋体" w:eastAsia="宋体" w:cs="宋体"/>
          <w:szCs w:val="21"/>
        </w:rPr>
      </w:pPr>
      <w:r>
        <w:rPr>
          <w:rFonts w:hint="eastAsia" w:ascii="宋体" w:hAnsi="宋体" w:eastAsia="宋体" w:cs="宋体"/>
          <w:szCs w:val="21"/>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2451B090">
      <w:pPr>
        <w:adjustRightInd w:val="0"/>
        <w:snapToGrid w:val="0"/>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rPr>
        <w:t>5.促进残疾人就业</w:t>
      </w:r>
    </w:p>
    <w:p w14:paraId="6CEF4FEA">
      <w:pPr>
        <w:adjustRightInd w:val="0"/>
        <w:snapToGrid w:val="0"/>
        <w:spacing w:line="288" w:lineRule="auto"/>
        <w:ind w:firstLine="420" w:firstLineChars="200"/>
        <w:jc w:val="left"/>
        <w:rPr>
          <w:rFonts w:hint="eastAsia" w:ascii="宋体" w:hAnsi="宋体" w:eastAsia="宋体" w:cs="宋体"/>
          <w:szCs w:val="21"/>
        </w:rPr>
      </w:pPr>
      <w:r>
        <w:rPr>
          <w:rFonts w:hint="eastAsia" w:ascii="宋体" w:hAnsi="宋体" w:eastAsia="宋体" w:cs="宋体"/>
          <w:szCs w:val="21"/>
        </w:rPr>
        <w:t>符合《关于促进残疾人就业政府采购政策的通知》（财库[2017]141号）规定的条件并提供《残疾人福利性单位声明函》的残疾人福利性单位视同小型、微型企业。</w:t>
      </w:r>
    </w:p>
    <w:p w14:paraId="33D9A86A">
      <w:pPr>
        <w:adjustRightInd w:val="0"/>
        <w:snapToGrid w:val="0"/>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rPr>
        <w:t>6.支持创新发展</w:t>
      </w:r>
    </w:p>
    <w:p w14:paraId="401EAD45">
      <w:pPr>
        <w:adjustRightInd w:val="0"/>
        <w:snapToGri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采购人优先采购被认定为首台套产品和“制造精品”的自主创新产品。</w:t>
      </w:r>
    </w:p>
    <w:p w14:paraId="73EA03D5">
      <w:pPr>
        <w:adjustRightInd w:val="0"/>
        <w:snapToGri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对省级以上主管部门认定的首台套产品，自纳入《省推广应用指导目录》起3年内参加政府采购活动，视同已具备相应销售业绩，业绩分为满分。</w:t>
      </w:r>
    </w:p>
    <w:p w14:paraId="73A2056D">
      <w:pPr>
        <w:adjustRightInd w:val="0"/>
        <w:snapToGri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产品核心技术高于国内领先水平，并具有明晰自主知识产权的“制造精品”产品，自认定之日起2年内视同已具备相应销售业绩，参加政府采购活动时业绩分值为满分。</w:t>
      </w:r>
    </w:p>
    <w:p w14:paraId="29B71AF7">
      <w:pPr>
        <w:adjustRightInd w:val="0"/>
        <w:snapToGrid w:val="0"/>
        <w:spacing w:line="288" w:lineRule="auto"/>
        <w:ind w:firstLine="398" w:firstLineChars="200"/>
        <w:jc w:val="left"/>
        <w:rPr>
          <w:rFonts w:hint="eastAsia" w:ascii="宋体" w:hAnsi="宋体" w:eastAsia="宋体" w:cs="Times New Roman"/>
          <w:b/>
          <w:spacing w:val="-6"/>
          <w:szCs w:val="21"/>
        </w:rPr>
      </w:pPr>
      <w:r>
        <w:rPr>
          <w:rFonts w:ascii="宋体" w:hAnsi="宋体" w:eastAsia="宋体" w:cs="Times New Roman"/>
          <w:b/>
          <w:spacing w:val="-6"/>
          <w:szCs w:val="21"/>
        </w:rPr>
        <w:br w:type="page"/>
      </w:r>
    </w:p>
    <w:p w14:paraId="70922CA6">
      <w:pPr>
        <w:adjustRightInd w:val="0"/>
        <w:snapToGrid w:val="0"/>
        <w:spacing w:line="288" w:lineRule="auto"/>
        <w:jc w:val="center"/>
        <w:outlineLvl w:val="1"/>
        <w:rPr>
          <w:rFonts w:hint="eastAsia" w:ascii="宋体" w:hAnsi="宋体" w:eastAsia="宋体" w:cs="Times New Roman"/>
          <w:b/>
          <w:spacing w:val="-6"/>
          <w:szCs w:val="21"/>
        </w:rPr>
      </w:pPr>
      <w:r>
        <w:rPr>
          <w:rFonts w:ascii="宋体" w:hAnsi="宋体" w:eastAsia="宋体" w:cs="Times New Roman"/>
          <w:b/>
          <w:spacing w:val="-6"/>
          <w:szCs w:val="21"/>
        </w:rPr>
        <w:t>二</w:t>
      </w:r>
      <w:r>
        <w:rPr>
          <w:rFonts w:hint="eastAsia" w:ascii="宋体" w:hAnsi="宋体" w:eastAsia="宋体" w:cs="Times New Roman"/>
          <w:b/>
          <w:spacing w:val="-6"/>
          <w:szCs w:val="21"/>
        </w:rPr>
        <w:t>、招标文件</w:t>
      </w:r>
    </w:p>
    <w:p w14:paraId="32C7E1FA">
      <w:pPr>
        <w:adjustRightInd w:val="0"/>
        <w:snapToGrid w:val="0"/>
        <w:spacing w:line="288" w:lineRule="auto"/>
        <w:jc w:val="left"/>
        <w:rPr>
          <w:rFonts w:hint="eastAsia" w:ascii="宋体" w:hAnsi="宋体" w:eastAsia="宋体" w:cs="Times New Roman"/>
          <w:b/>
          <w:spacing w:val="-6"/>
          <w:szCs w:val="21"/>
        </w:rPr>
      </w:pPr>
      <w:r>
        <w:rPr>
          <w:rFonts w:hint="eastAsia" w:ascii="宋体" w:hAnsi="宋体" w:eastAsia="宋体" w:cs="Times New Roman"/>
          <w:b/>
          <w:spacing w:val="-6"/>
          <w:szCs w:val="21"/>
        </w:rPr>
        <w:t>（一）招标文件的构成</w:t>
      </w:r>
    </w:p>
    <w:p w14:paraId="39350F75">
      <w:pPr>
        <w:adjustRightInd w:val="0"/>
        <w:snapToGrid w:val="0"/>
        <w:spacing w:line="288" w:lineRule="auto"/>
        <w:ind w:firstLine="398" w:firstLineChars="200"/>
        <w:jc w:val="left"/>
        <w:rPr>
          <w:rFonts w:hint="eastAsia" w:ascii="宋体" w:hAnsi="宋体" w:eastAsia="宋体" w:cs="Times New Roman"/>
          <w:b/>
          <w:spacing w:val="-6"/>
          <w:szCs w:val="21"/>
        </w:rPr>
      </w:pPr>
      <w:r>
        <w:rPr>
          <w:rFonts w:hint="eastAsia" w:ascii="宋体" w:hAnsi="宋体" w:eastAsia="宋体" w:cs="Times New Roman"/>
          <w:b/>
          <w:spacing w:val="-6"/>
          <w:szCs w:val="21"/>
        </w:rPr>
        <w:t>本招标文件由以下部分组成：</w:t>
      </w:r>
    </w:p>
    <w:p w14:paraId="439EDAF6">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1.投标邀请</w:t>
      </w:r>
    </w:p>
    <w:p w14:paraId="4042F8F1">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2.采购需求</w:t>
      </w:r>
    </w:p>
    <w:p w14:paraId="64550CC4">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3.投标人须知</w:t>
      </w:r>
    </w:p>
    <w:p w14:paraId="2DD7A587">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4.评标方法和评标标准</w:t>
      </w:r>
    </w:p>
    <w:p w14:paraId="44F5FC37">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5.拟签订的合同文本</w:t>
      </w:r>
    </w:p>
    <w:p w14:paraId="2BD9B175">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6.投标文件格式</w:t>
      </w:r>
    </w:p>
    <w:p w14:paraId="5979A96C">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7.本项目招标文件的澄清、答复、修改、补充的内容</w:t>
      </w:r>
    </w:p>
    <w:p w14:paraId="2B657EDC">
      <w:pPr>
        <w:adjustRightInd w:val="0"/>
        <w:snapToGrid w:val="0"/>
        <w:spacing w:line="288" w:lineRule="auto"/>
        <w:jc w:val="left"/>
        <w:rPr>
          <w:rFonts w:hint="eastAsia" w:ascii="宋体" w:hAnsi="宋体" w:eastAsia="宋体" w:cs="Times New Roman"/>
          <w:b/>
          <w:spacing w:val="-6"/>
          <w:szCs w:val="21"/>
        </w:rPr>
      </w:pPr>
      <w:r>
        <w:rPr>
          <w:rFonts w:hint="eastAsia" w:ascii="宋体" w:hAnsi="宋体" w:eastAsia="宋体" w:cs="Times New Roman"/>
          <w:b/>
          <w:spacing w:val="-6"/>
          <w:szCs w:val="21"/>
        </w:rPr>
        <w:t>（二）招标文件的澄清与修改</w:t>
      </w:r>
    </w:p>
    <w:p w14:paraId="6FC0839A">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1</w:t>
      </w:r>
      <w:r>
        <w:rPr>
          <w:rFonts w:ascii="宋体" w:hAnsi="宋体" w:eastAsia="宋体" w:cs="Times New Roman"/>
          <w:spacing w:val="-6"/>
          <w:szCs w:val="21"/>
        </w:rPr>
        <w:t>.采购人或者采购代理机构可以对已发出的招标文件进行必要的澄清或者修改</w:t>
      </w:r>
      <w:r>
        <w:rPr>
          <w:rFonts w:hint="eastAsia" w:ascii="宋体" w:hAnsi="宋体" w:eastAsia="宋体" w:cs="Times New Roman"/>
          <w:spacing w:val="-6"/>
          <w:szCs w:val="21"/>
        </w:rPr>
        <w:t>，</w:t>
      </w:r>
      <w:r>
        <w:rPr>
          <w:rFonts w:ascii="宋体" w:hAnsi="宋体" w:eastAsia="宋体" w:cs="Times New Roman"/>
          <w:spacing w:val="-6"/>
          <w:szCs w:val="21"/>
        </w:rPr>
        <w:t>澄清或者修改</w:t>
      </w:r>
      <w:r>
        <w:rPr>
          <w:rFonts w:hint="eastAsia" w:ascii="宋体" w:hAnsi="宋体" w:eastAsia="宋体" w:cs="Times New Roman"/>
          <w:spacing w:val="-6"/>
          <w:szCs w:val="21"/>
        </w:rPr>
        <w:t>会</w:t>
      </w:r>
      <w:r>
        <w:rPr>
          <w:rFonts w:ascii="宋体" w:hAnsi="宋体" w:eastAsia="宋体" w:cs="Times New Roman"/>
          <w:spacing w:val="-6"/>
          <w:szCs w:val="21"/>
        </w:rPr>
        <w:t>在原公告发布媒体上发布澄清公告</w:t>
      </w:r>
      <w:r>
        <w:rPr>
          <w:rFonts w:hint="eastAsia" w:ascii="宋体" w:hAnsi="宋体" w:eastAsia="宋体" w:cs="Times New Roman"/>
          <w:spacing w:val="-6"/>
          <w:szCs w:val="21"/>
        </w:rPr>
        <w:t>，</w:t>
      </w:r>
      <w:r>
        <w:rPr>
          <w:rFonts w:ascii="宋体" w:hAnsi="宋体" w:eastAsia="宋体" w:cs="Times New Roman"/>
          <w:spacing w:val="-6"/>
          <w:szCs w:val="21"/>
        </w:rPr>
        <w:t>澄清或者修改的内容为招标文件的组成部分。</w:t>
      </w:r>
    </w:p>
    <w:p w14:paraId="4785A84D">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澄清或者修改的内容可能影响投标文件编制的，采购人或者采购代理机构会在投标截止时间至少15日前，以书面形式通知所有获取招标文件的潜在投标人；不足15日的，采购人或者采购代理机构会顺延提交投标文件的截止时间。</w:t>
      </w:r>
    </w:p>
    <w:p w14:paraId="6D966777">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2.招标文件的修改将以书面形式通知所有获取招标文件的投标人，并对其具有约束力。投标人在收到上述通知后，应立即向采购</w:t>
      </w:r>
      <w:r>
        <w:rPr>
          <w:rFonts w:ascii="宋体" w:hAnsi="宋体" w:eastAsia="宋体" w:cs="Times New Roman"/>
          <w:spacing w:val="-6"/>
          <w:szCs w:val="21"/>
        </w:rPr>
        <w:t>代理机构</w:t>
      </w:r>
      <w:r>
        <w:rPr>
          <w:rFonts w:hint="eastAsia" w:ascii="宋体" w:hAnsi="宋体" w:eastAsia="宋体" w:cs="Times New Roman"/>
          <w:spacing w:val="-6"/>
          <w:szCs w:val="21"/>
        </w:rPr>
        <w:t>回函确认。若无书面回函确认，视同投标人已收到招标文件修改的通知，并受其约束。</w:t>
      </w:r>
    </w:p>
    <w:p w14:paraId="3E0C23BC">
      <w:pPr>
        <w:adjustRightInd w:val="0"/>
        <w:snapToGrid w:val="0"/>
        <w:spacing w:line="288" w:lineRule="auto"/>
        <w:jc w:val="center"/>
        <w:outlineLvl w:val="1"/>
        <w:rPr>
          <w:rFonts w:hint="eastAsia" w:ascii="宋体" w:hAnsi="宋体" w:eastAsia="宋体" w:cs="Times New Roman"/>
          <w:spacing w:val="-6"/>
          <w:szCs w:val="21"/>
        </w:rPr>
      </w:pPr>
      <w:r>
        <w:rPr>
          <w:rFonts w:ascii="宋体" w:hAnsi="宋体" w:eastAsia="宋体" w:cs="Times New Roman"/>
          <w:spacing w:val="-6"/>
          <w:szCs w:val="21"/>
        </w:rPr>
        <w:br w:type="page"/>
      </w:r>
      <w:r>
        <w:rPr>
          <w:rFonts w:ascii="宋体" w:hAnsi="宋体" w:eastAsia="宋体" w:cs="Times New Roman"/>
          <w:b/>
          <w:spacing w:val="-6"/>
          <w:szCs w:val="21"/>
        </w:rPr>
        <w:t>三</w:t>
      </w:r>
      <w:r>
        <w:rPr>
          <w:rFonts w:hint="eastAsia" w:ascii="宋体" w:hAnsi="宋体" w:eastAsia="宋体" w:cs="Times New Roman"/>
          <w:b/>
          <w:spacing w:val="-6"/>
          <w:szCs w:val="21"/>
        </w:rPr>
        <w:t>、</w:t>
      </w:r>
      <w:r>
        <w:rPr>
          <w:rFonts w:ascii="宋体" w:hAnsi="宋体" w:eastAsia="宋体" w:cs="Times New Roman"/>
          <w:b/>
          <w:spacing w:val="-6"/>
          <w:szCs w:val="21"/>
        </w:rPr>
        <w:t>投标文件编制要求</w:t>
      </w:r>
    </w:p>
    <w:p w14:paraId="72C3C586">
      <w:pPr>
        <w:adjustRightInd w:val="0"/>
        <w:snapToGrid w:val="0"/>
        <w:spacing w:line="288" w:lineRule="auto"/>
        <w:jc w:val="left"/>
        <w:rPr>
          <w:rFonts w:hint="eastAsia" w:ascii="宋体" w:hAnsi="宋体" w:eastAsia="宋体" w:cs="Times New Roman"/>
          <w:b/>
          <w:spacing w:val="-6"/>
          <w:szCs w:val="21"/>
        </w:rPr>
      </w:pPr>
      <w:r>
        <w:rPr>
          <w:rFonts w:hint="eastAsia" w:ascii="宋体" w:hAnsi="宋体" w:eastAsia="宋体" w:cs="Times New Roman"/>
          <w:b/>
          <w:spacing w:val="-6"/>
          <w:szCs w:val="21"/>
        </w:rPr>
        <w:t>（一）投标文件的组成</w:t>
      </w:r>
    </w:p>
    <w:p w14:paraId="5B7DAAE7">
      <w:pPr>
        <w:adjustRightInd w:val="0"/>
        <w:snapToGrid w:val="0"/>
        <w:spacing w:line="288" w:lineRule="auto"/>
        <w:ind w:firstLine="396" w:firstLineChars="200"/>
        <w:jc w:val="left"/>
        <w:rPr>
          <w:rFonts w:hint="eastAsia" w:ascii="宋体" w:hAnsi="宋体" w:eastAsia="宋体" w:cs="Times New Roman"/>
          <w:spacing w:val="-6"/>
          <w:szCs w:val="21"/>
        </w:rPr>
      </w:pPr>
      <w:bookmarkStart w:id="47" w:name="_Hlk94018532"/>
      <w:r>
        <w:rPr>
          <w:rFonts w:hint="eastAsia" w:ascii="宋体" w:hAnsi="宋体" w:eastAsia="宋体" w:cs="Times New Roman"/>
          <w:spacing w:val="-6"/>
          <w:szCs w:val="21"/>
        </w:rPr>
        <w:t>投标文件（电子加密投标文件）由</w:t>
      </w:r>
      <w:r>
        <w:rPr>
          <w:rFonts w:hint="eastAsia" w:ascii="宋体" w:hAnsi="宋体" w:eastAsia="宋体" w:cs="Times New Roman"/>
          <w:b/>
          <w:spacing w:val="-6"/>
          <w:szCs w:val="21"/>
        </w:rPr>
        <w:t>资格文件、商务和技术文件、报价文件三部分</w:t>
      </w:r>
      <w:r>
        <w:rPr>
          <w:rFonts w:hint="eastAsia" w:ascii="宋体" w:hAnsi="宋体" w:eastAsia="宋体" w:cs="Times New Roman"/>
          <w:bCs/>
          <w:spacing w:val="-6"/>
          <w:szCs w:val="21"/>
        </w:rPr>
        <w:t>组成（格式详见招标文件第六章）。投标人应将投标文件各部分</w:t>
      </w:r>
      <w:r>
        <w:rPr>
          <w:rFonts w:hint="eastAsia" w:ascii="宋体" w:hAnsi="宋体" w:eastAsia="宋体" w:cs="Times New Roman"/>
          <w:b/>
          <w:spacing w:val="-6"/>
          <w:szCs w:val="21"/>
        </w:rPr>
        <w:t>分别上传</w:t>
      </w:r>
      <w:r>
        <w:rPr>
          <w:rFonts w:hint="eastAsia" w:ascii="宋体" w:hAnsi="宋体" w:eastAsia="宋体" w:cs="Times New Roman"/>
          <w:bCs/>
          <w:spacing w:val="-6"/>
          <w:szCs w:val="21"/>
        </w:rPr>
        <w:t>至政府采购云平台指定位置。</w:t>
      </w:r>
    </w:p>
    <w:p w14:paraId="7F123841">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投标文件组成：详见“第六章</w:t>
      </w:r>
      <w:r>
        <w:rPr>
          <w:rFonts w:ascii="宋体" w:hAnsi="宋体" w:eastAsia="宋体" w:cs="Times New Roman"/>
          <w:spacing w:val="-6"/>
          <w:szCs w:val="21"/>
        </w:rPr>
        <w:t xml:space="preserve">  投标文件格式</w:t>
      </w:r>
      <w:r>
        <w:rPr>
          <w:rFonts w:hint="eastAsia" w:ascii="宋体" w:hAnsi="宋体" w:eastAsia="宋体" w:cs="Times New Roman"/>
          <w:spacing w:val="-6"/>
          <w:szCs w:val="21"/>
        </w:rPr>
        <w:t>”目录</w:t>
      </w:r>
    </w:p>
    <w:p w14:paraId="79051BBB">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如供应商提供的产品技术支持材料与采购需求偏离表响应不一致，以产品技术支持材料为准。</w:t>
      </w:r>
    </w:p>
    <w:bookmarkEnd w:id="47"/>
    <w:p w14:paraId="5405DA88">
      <w:pPr>
        <w:adjustRightInd w:val="0"/>
        <w:snapToGrid w:val="0"/>
        <w:spacing w:line="288" w:lineRule="auto"/>
        <w:jc w:val="left"/>
        <w:rPr>
          <w:rFonts w:hint="eastAsia" w:ascii="宋体" w:hAnsi="宋体" w:eastAsia="宋体"/>
          <w:b/>
          <w:spacing w:val="-6"/>
          <w:szCs w:val="21"/>
        </w:rPr>
      </w:pPr>
      <w:r>
        <w:rPr>
          <w:rFonts w:hint="eastAsia" w:ascii="宋体" w:hAnsi="宋体" w:eastAsia="宋体"/>
          <w:b/>
          <w:spacing w:val="-6"/>
          <w:szCs w:val="21"/>
        </w:rPr>
        <w:t>（二）投标文件的签署和份数</w:t>
      </w:r>
    </w:p>
    <w:p w14:paraId="7F9D6826">
      <w:pPr>
        <w:adjustRightInd w:val="0"/>
        <w:snapToGrid w:val="0"/>
        <w:spacing w:line="288" w:lineRule="auto"/>
        <w:ind w:firstLine="396" w:firstLineChars="200"/>
        <w:jc w:val="left"/>
        <w:rPr>
          <w:rFonts w:hint="eastAsia" w:ascii="宋体" w:hAnsi="宋体" w:eastAsia="宋体"/>
          <w:b/>
          <w:bCs/>
          <w:spacing w:val="-6"/>
          <w:szCs w:val="21"/>
        </w:rPr>
      </w:pPr>
      <w:r>
        <w:rPr>
          <w:rFonts w:hint="eastAsia" w:ascii="宋体" w:hAnsi="宋体" w:eastAsia="宋体"/>
          <w:spacing w:val="-6"/>
          <w:szCs w:val="21"/>
        </w:rPr>
        <w:t>1.投标人应按照招标文件和政府采购云平台的要求，根据投标文件的组成规定的内容及顺序通过政采云电子交易客户端（政采云投标客户端）编制加密投标文件，投标文件内容不完整、编排混乱导致投标文件被误读、漏读或者查找不到相关内容的，是投标人的责任。</w:t>
      </w:r>
      <w:r>
        <w:rPr>
          <w:rFonts w:hint="eastAsia" w:ascii="宋体" w:hAnsi="宋体" w:eastAsia="宋体"/>
          <w:b/>
          <w:bCs/>
          <w:spacing w:val="-6"/>
          <w:szCs w:val="21"/>
        </w:rPr>
        <w:t>其中资格文件、商务技术文件中不得出现投标报价，如因投标人原因提前泄露投标报价，是投标人的责任。</w:t>
      </w:r>
    </w:p>
    <w:p w14:paraId="54B1645A">
      <w:pPr>
        <w:adjustRightInd w:val="0"/>
        <w:snapToGrid w:val="0"/>
        <w:spacing w:line="288" w:lineRule="auto"/>
        <w:ind w:firstLine="396" w:firstLineChars="200"/>
        <w:jc w:val="left"/>
        <w:rPr>
          <w:rFonts w:hint="eastAsia" w:ascii="宋体" w:hAnsi="宋体" w:eastAsia="宋体"/>
          <w:spacing w:val="-6"/>
          <w:szCs w:val="21"/>
        </w:rPr>
      </w:pPr>
      <w:r>
        <w:rPr>
          <w:rFonts w:hint="eastAsia" w:ascii="宋体" w:hAnsi="宋体" w:eastAsia="宋体"/>
          <w:spacing w:val="-6"/>
          <w:szCs w:val="21"/>
        </w:rPr>
        <w:t>2.投标文件须由投标人在规定位置</w:t>
      </w:r>
      <w:bookmarkStart w:id="48" w:name="_Hlk96329183"/>
      <w:r>
        <w:rPr>
          <w:rFonts w:hint="eastAsia" w:ascii="宋体" w:hAnsi="宋体" w:eastAsia="宋体"/>
          <w:spacing w:val="-6"/>
          <w:szCs w:val="21"/>
        </w:rPr>
        <w:t>加盖公章</w:t>
      </w:r>
      <w:bookmarkEnd w:id="48"/>
      <w:r>
        <w:rPr>
          <w:rFonts w:hint="eastAsia" w:ascii="宋体" w:hAnsi="宋体" w:eastAsia="宋体"/>
          <w:spacing w:val="-6"/>
          <w:szCs w:val="21"/>
        </w:rPr>
        <w:t>，投标人应写全称。</w:t>
      </w:r>
    </w:p>
    <w:p w14:paraId="3463B5ED">
      <w:pPr>
        <w:adjustRightInd w:val="0"/>
        <w:snapToGrid w:val="0"/>
        <w:spacing w:line="288" w:lineRule="auto"/>
        <w:ind w:firstLine="396" w:firstLineChars="200"/>
        <w:jc w:val="left"/>
        <w:rPr>
          <w:rFonts w:hint="eastAsia" w:ascii="宋体" w:hAnsi="宋体" w:eastAsia="宋体"/>
          <w:spacing w:val="-6"/>
          <w:szCs w:val="21"/>
        </w:rPr>
      </w:pPr>
      <w:r>
        <w:rPr>
          <w:rFonts w:ascii="宋体" w:hAnsi="宋体" w:eastAsia="宋体"/>
          <w:spacing w:val="-6"/>
          <w:szCs w:val="21"/>
        </w:rPr>
        <w:t>3.投标文件不得涂改，若有修改错漏处，须由投标人加盖公章，或者由投标人代表签名。投标文件因字迹潦草或表达不清所引起的后果由投标人负责。</w:t>
      </w:r>
    </w:p>
    <w:p w14:paraId="704707C8">
      <w:pPr>
        <w:adjustRightInd w:val="0"/>
        <w:snapToGrid w:val="0"/>
        <w:spacing w:line="288" w:lineRule="auto"/>
        <w:ind w:firstLine="398" w:firstLineChars="200"/>
        <w:jc w:val="left"/>
        <w:rPr>
          <w:rFonts w:hint="eastAsia" w:ascii="宋体" w:hAnsi="宋体" w:eastAsia="宋体"/>
          <w:b/>
          <w:bCs/>
          <w:spacing w:val="-6"/>
          <w:szCs w:val="21"/>
        </w:rPr>
      </w:pPr>
      <w:r>
        <w:rPr>
          <w:rFonts w:hint="eastAsia" w:ascii="宋体" w:hAnsi="宋体" w:eastAsia="宋体"/>
          <w:b/>
          <w:bCs/>
          <w:spacing w:val="-6"/>
          <w:szCs w:val="21"/>
        </w:rPr>
        <w:t>4.投标文件份数：</w:t>
      </w:r>
    </w:p>
    <w:p w14:paraId="700276D2">
      <w:pPr>
        <w:adjustRightInd w:val="0"/>
        <w:snapToGrid w:val="0"/>
        <w:spacing w:line="288" w:lineRule="auto"/>
        <w:ind w:firstLine="398" w:firstLineChars="200"/>
        <w:jc w:val="left"/>
        <w:rPr>
          <w:rFonts w:hint="eastAsia" w:ascii="宋体" w:hAnsi="宋体" w:eastAsia="宋体"/>
          <w:b/>
          <w:bCs/>
          <w:spacing w:val="-6"/>
          <w:szCs w:val="21"/>
        </w:rPr>
      </w:pPr>
      <w:r>
        <w:rPr>
          <w:rFonts w:hint="eastAsia" w:ascii="宋体" w:hAnsi="宋体" w:eastAsia="宋体"/>
          <w:b/>
          <w:bCs/>
          <w:spacing w:val="-6"/>
          <w:szCs w:val="21"/>
        </w:rPr>
        <w:t>电子加密投标文件：政府采购云平台在线上传一份；</w:t>
      </w:r>
    </w:p>
    <w:p w14:paraId="2995372C">
      <w:pPr>
        <w:adjustRightInd w:val="0"/>
        <w:snapToGrid w:val="0"/>
        <w:spacing w:line="288" w:lineRule="auto"/>
        <w:ind w:firstLine="398" w:firstLineChars="200"/>
        <w:jc w:val="left"/>
        <w:rPr>
          <w:rFonts w:hint="eastAsia" w:ascii="宋体" w:hAnsi="宋体" w:eastAsia="宋体" w:cs="Times New Roman"/>
          <w:b/>
          <w:bCs/>
          <w:spacing w:val="-6"/>
          <w:szCs w:val="21"/>
        </w:rPr>
      </w:pPr>
      <w:r>
        <w:rPr>
          <w:rFonts w:hint="eastAsia" w:ascii="宋体" w:hAnsi="宋体" w:eastAsia="宋体"/>
          <w:b/>
          <w:bCs/>
          <w:spacing w:val="-6"/>
          <w:szCs w:val="21"/>
        </w:rPr>
        <w:t>备份投标文件：密封包装后EMS或顺丰邮寄形式递交一份（邮寄地址：</w:t>
      </w:r>
      <w:r>
        <w:rPr>
          <w:rFonts w:hint="eastAsia" w:ascii="宋体" w:hAnsi="宋体" w:eastAsia="宋体" w:cs="宋体"/>
          <w:b/>
          <w:bCs/>
          <w:szCs w:val="21"/>
        </w:rPr>
        <w:t>杭州市西湖区玉古路173号中田大厦21楼H室，浙江求是招标代理有限公司（温瑶）收，电话：0571-87666115，寄出后将（快递单号、项目名称、公司名称、联系方式等相关信息）发至：zb03@qszb.net，以便查收）。</w:t>
      </w:r>
    </w:p>
    <w:p w14:paraId="5C726794">
      <w:pPr>
        <w:adjustRightInd w:val="0"/>
        <w:snapToGrid w:val="0"/>
        <w:spacing w:line="288" w:lineRule="auto"/>
        <w:ind w:firstLine="422" w:firstLineChars="200"/>
        <w:jc w:val="left"/>
        <w:rPr>
          <w:rFonts w:hint="eastAsia" w:ascii="宋体" w:hAnsi="宋体" w:eastAsia="宋体" w:cs="Times New Roman"/>
          <w:b/>
          <w:bCs/>
          <w:spacing w:val="-6"/>
          <w:szCs w:val="21"/>
        </w:rPr>
      </w:pPr>
      <w:r>
        <w:rPr>
          <w:rFonts w:hint="eastAsia" w:ascii="宋体" w:hAnsi="宋体" w:eastAsia="宋体" w:cs="宋体"/>
          <w:b/>
          <w:szCs w:val="21"/>
        </w:rPr>
        <w:t>特别说明：双休日和法定节假日不收件，投标人自行承担邮寄风险。</w:t>
      </w:r>
    </w:p>
    <w:p w14:paraId="2BFC7561">
      <w:pPr>
        <w:adjustRightInd w:val="0"/>
        <w:snapToGrid w:val="0"/>
        <w:spacing w:line="288" w:lineRule="auto"/>
        <w:jc w:val="left"/>
        <w:rPr>
          <w:rFonts w:hint="eastAsia" w:ascii="宋体" w:hAnsi="宋体" w:eastAsia="宋体"/>
          <w:b/>
          <w:spacing w:val="-6"/>
          <w:szCs w:val="21"/>
        </w:rPr>
      </w:pPr>
      <w:r>
        <w:rPr>
          <w:rFonts w:hint="eastAsia" w:ascii="宋体" w:hAnsi="宋体" w:eastAsia="宋体"/>
          <w:b/>
          <w:spacing w:val="-6"/>
          <w:szCs w:val="21"/>
        </w:rPr>
        <w:t>（三）投标文件的上传、递交、修改和撤回</w:t>
      </w:r>
    </w:p>
    <w:p w14:paraId="0F2FD133">
      <w:pPr>
        <w:adjustRightInd w:val="0"/>
        <w:snapToGrid w:val="0"/>
        <w:spacing w:line="288" w:lineRule="auto"/>
        <w:ind w:firstLine="396" w:firstLineChars="200"/>
        <w:jc w:val="left"/>
        <w:rPr>
          <w:rFonts w:hint="eastAsia" w:ascii="宋体" w:hAnsi="宋体" w:eastAsia="宋体"/>
          <w:spacing w:val="-6"/>
          <w:szCs w:val="21"/>
        </w:rPr>
      </w:pPr>
      <w:r>
        <w:rPr>
          <w:rFonts w:hint="eastAsia" w:ascii="宋体" w:hAnsi="宋体" w:eastAsia="宋体"/>
          <w:spacing w:val="-6"/>
          <w:szCs w:val="21"/>
        </w:rPr>
        <w:t>1.投标文件的上传、递交：</w:t>
      </w:r>
    </w:p>
    <w:p w14:paraId="38794587">
      <w:pPr>
        <w:adjustRightInd w:val="0"/>
        <w:snapToGrid w:val="0"/>
        <w:spacing w:line="288" w:lineRule="auto"/>
        <w:ind w:firstLine="396" w:firstLineChars="200"/>
        <w:jc w:val="left"/>
        <w:rPr>
          <w:rFonts w:hint="eastAsia" w:ascii="宋体" w:hAnsi="宋体" w:eastAsia="宋体"/>
          <w:spacing w:val="-6"/>
          <w:szCs w:val="21"/>
        </w:rPr>
      </w:pPr>
      <w:r>
        <w:rPr>
          <w:rFonts w:hint="eastAsia" w:ascii="宋体" w:hAnsi="宋体" w:eastAsia="宋体"/>
          <w:spacing w:val="-6"/>
          <w:szCs w:val="21"/>
        </w:rPr>
        <w:t>（1）电子加密投标文件的上传：</w:t>
      </w:r>
    </w:p>
    <w:p w14:paraId="1F6D2822">
      <w:pPr>
        <w:adjustRightInd w:val="0"/>
        <w:snapToGrid w:val="0"/>
        <w:spacing w:line="288" w:lineRule="auto"/>
        <w:ind w:firstLine="396" w:firstLineChars="200"/>
        <w:jc w:val="left"/>
        <w:rPr>
          <w:rFonts w:hint="eastAsia" w:ascii="宋体" w:hAnsi="宋体" w:eastAsia="宋体"/>
          <w:spacing w:val="-6"/>
          <w:szCs w:val="21"/>
        </w:rPr>
      </w:pPr>
      <w:r>
        <w:rPr>
          <w:rFonts w:hint="eastAsia" w:ascii="宋体" w:hAnsi="宋体" w:eastAsia="宋体"/>
          <w:spacing w:val="-6"/>
          <w:szCs w:val="21"/>
        </w:rPr>
        <w:t>▲a.投标人应在投标截止时间前将电子加密投标文件成功上传至政府采购云平台，否则投标无效；</w:t>
      </w:r>
    </w:p>
    <w:p w14:paraId="39A95CE5">
      <w:pPr>
        <w:adjustRightInd w:val="0"/>
        <w:snapToGrid w:val="0"/>
        <w:spacing w:line="288" w:lineRule="auto"/>
        <w:ind w:firstLine="396" w:firstLineChars="200"/>
        <w:jc w:val="left"/>
        <w:rPr>
          <w:rFonts w:hint="eastAsia" w:ascii="宋体" w:hAnsi="宋体" w:eastAsia="宋体"/>
          <w:spacing w:val="-6"/>
          <w:szCs w:val="21"/>
        </w:rPr>
      </w:pPr>
      <w:r>
        <w:rPr>
          <w:rFonts w:hint="eastAsia" w:ascii="宋体" w:hAnsi="宋体" w:eastAsia="宋体"/>
          <w:spacing w:val="-6"/>
          <w:szCs w:val="21"/>
        </w:rPr>
        <w:t>b.电子加密投标文件成功上传后，投标人可自行打印投标文件接收回执。</w:t>
      </w:r>
    </w:p>
    <w:p w14:paraId="315D8E0A">
      <w:pPr>
        <w:adjustRightInd w:val="0"/>
        <w:snapToGrid w:val="0"/>
        <w:spacing w:line="288" w:lineRule="auto"/>
        <w:ind w:firstLine="396" w:firstLineChars="200"/>
        <w:jc w:val="left"/>
        <w:rPr>
          <w:rFonts w:hint="eastAsia" w:ascii="宋体" w:hAnsi="宋体" w:eastAsia="宋体"/>
          <w:spacing w:val="-6"/>
          <w:szCs w:val="21"/>
        </w:rPr>
      </w:pPr>
      <w:r>
        <w:rPr>
          <w:rFonts w:hint="eastAsia" w:ascii="宋体" w:hAnsi="宋体" w:eastAsia="宋体"/>
          <w:spacing w:val="-6"/>
          <w:szCs w:val="21"/>
        </w:rPr>
        <w:t>（2）备份投标文件的密封包装、递交：</w:t>
      </w:r>
    </w:p>
    <w:p w14:paraId="6D1EEF18">
      <w:pPr>
        <w:adjustRightInd w:val="0"/>
        <w:snapToGrid w:val="0"/>
        <w:spacing w:line="288" w:lineRule="auto"/>
        <w:ind w:firstLine="396" w:firstLineChars="200"/>
        <w:jc w:val="left"/>
        <w:rPr>
          <w:rFonts w:hint="eastAsia" w:ascii="宋体" w:hAnsi="宋体" w:eastAsia="宋体"/>
          <w:spacing w:val="-6"/>
          <w:szCs w:val="21"/>
        </w:rPr>
      </w:pPr>
      <w:r>
        <w:rPr>
          <w:rFonts w:hint="eastAsia" w:ascii="宋体" w:hAnsi="宋体" w:eastAsia="宋体"/>
          <w:spacing w:val="-6"/>
          <w:szCs w:val="21"/>
        </w:rPr>
        <w:t>a.投标人在政府采购云平台完成电子加密投标文件的上传后，可以EMS或顺丰邮寄形式在投标截止时间前递交以介质（U盘）存储的数据电文形式的备份投标文件；</w:t>
      </w:r>
    </w:p>
    <w:p w14:paraId="56C76746">
      <w:pPr>
        <w:adjustRightInd w:val="0"/>
        <w:snapToGrid w:val="0"/>
        <w:spacing w:line="288" w:lineRule="auto"/>
        <w:ind w:firstLine="396" w:firstLineChars="200"/>
        <w:jc w:val="left"/>
        <w:rPr>
          <w:rFonts w:hint="eastAsia" w:ascii="宋体" w:hAnsi="宋体" w:eastAsia="宋体"/>
          <w:spacing w:val="-6"/>
          <w:szCs w:val="21"/>
        </w:rPr>
      </w:pPr>
      <w:r>
        <w:rPr>
          <w:rFonts w:hint="eastAsia" w:ascii="宋体" w:hAnsi="宋体" w:eastAsia="宋体"/>
          <w:spacing w:val="-6"/>
          <w:szCs w:val="21"/>
        </w:rPr>
        <w:t>b.备份投标文件应当密封包装并在包装上标注投标</w:t>
      </w:r>
      <w:r>
        <w:rPr>
          <w:rFonts w:hint="eastAsia" w:ascii="宋体" w:hAnsi="宋体" w:eastAsia="宋体"/>
          <w:spacing w:val="-6"/>
          <w:szCs w:val="21"/>
          <w:u w:val="single"/>
        </w:rPr>
        <w:t>项目名称、标项、投标人名称</w:t>
      </w:r>
      <w:r>
        <w:rPr>
          <w:rFonts w:hint="eastAsia" w:ascii="宋体" w:hAnsi="宋体" w:eastAsia="宋体"/>
          <w:spacing w:val="-6"/>
          <w:szCs w:val="21"/>
        </w:rPr>
        <w:t>并加盖公章（非电子签章），投标人逾期送达或者未密封包装的备份投标文件采购代理机构将予以拒收；</w:t>
      </w:r>
    </w:p>
    <w:p w14:paraId="3AD1D680">
      <w:pPr>
        <w:adjustRightInd w:val="0"/>
        <w:snapToGrid w:val="0"/>
        <w:spacing w:line="288" w:lineRule="auto"/>
        <w:ind w:firstLine="396" w:firstLineChars="200"/>
        <w:jc w:val="left"/>
        <w:rPr>
          <w:rFonts w:hint="eastAsia" w:ascii="宋体" w:hAnsi="宋体" w:eastAsia="宋体"/>
          <w:spacing w:val="-6"/>
          <w:szCs w:val="21"/>
        </w:rPr>
      </w:pPr>
      <w:r>
        <w:rPr>
          <w:rFonts w:hint="eastAsia" w:ascii="宋体" w:hAnsi="宋体" w:eastAsia="宋体"/>
          <w:spacing w:val="-6"/>
          <w:szCs w:val="21"/>
        </w:rPr>
        <w:t>▲c.通过政府采购云平台成功上传的电子加密投标文件已按时解密的，备份投标文件自动失效。</w:t>
      </w:r>
    </w:p>
    <w:p w14:paraId="1F1EBFD3">
      <w:pPr>
        <w:adjustRightInd w:val="0"/>
        <w:snapToGrid w:val="0"/>
        <w:spacing w:line="288" w:lineRule="auto"/>
        <w:ind w:firstLine="396" w:firstLineChars="200"/>
        <w:jc w:val="left"/>
        <w:rPr>
          <w:rFonts w:hint="eastAsia" w:ascii="宋体" w:hAnsi="宋体" w:eastAsia="宋体"/>
          <w:spacing w:val="-6"/>
          <w:szCs w:val="21"/>
        </w:rPr>
      </w:pPr>
      <w:bookmarkStart w:id="49" w:name="_Hlk94018616"/>
      <w:r>
        <w:rPr>
          <w:rFonts w:hint="eastAsia" w:ascii="宋体" w:hAnsi="宋体" w:eastAsia="宋体"/>
          <w:spacing w:val="-6"/>
          <w:szCs w:val="21"/>
        </w:rPr>
        <w:t>▲d.投标人仅递交备份投标文件而未将电子加密投标文件成功上传至政府采购云平台的，投标无效。</w:t>
      </w:r>
    </w:p>
    <w:bookmarkEnd w:id="49"/>
    <w:p w14:paraId="79B1B487">
      <w:pPr>
        <w:adjustRightInd w:val="0"/>
        <w:snapToGrid w:val="0"/>
        <w:spacing w:line="288" w:lineRule="auto"/>
        <w:ind w:firstLine="396" w:firstLineChars="200"/>
        <w:jc w:val="left"/>
        <w:rPr>
          <w:rFonts w:hint="eastAsia" w:ascii="宋体" w:hAnsi="宋体" w:eastAsia="宋体"/>
          <w:spacing w:val="-6"/>
          <w:szCs w:val="21"/>
        </w:rPr>
      </w:pPr>
      <w:r>
        <w:rPr>
          <w:rFonts w:hint="eastAsia" w:ascii="宋体" w:hAnsi="宋体" w:eastAsia="宋体"/>
          <w:spacing w:val="-6"/>
          <w:szCs w:val="21"/>
        </w:rPr>
        <w:t>（3）投标人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上传、递交的投标文件，政府采购云平台及采购代理机构将予以拒收。</w:t>
      </w:r>
    </w:p>
    <w:p w14:paraId="316785B2">
      <w:pPr>
        <w:adjustRightInd w:val="0"/>
        <w:snapToGrid w:val="0"/>
        <w:spacing w:line="288" w:lineRule="auto"/>
        <w:ind w:firstLine="396" w:firstLineChars="200"/>
        <w:jc w:val="left"/>
        <w:rPr>
          <w:rFonts w:hint="eastAsia" w:ascii="宋体" w:hAnsi="宋体" w:eastAsia="宋体"/>
          <w:spacing w:val="-6"/>
          <w:szCs w:val="21"/>
        </w:rPr>
      </w:pPr>
      <w:r>
        <w:rPr>
          <w:rFonts w:ascii="宋体" w:hAnsi="宋体" w:eastAsia="宋体"/>
          <w:spacing w:val="-6"/>
          <w:szCs w:val="21"/>
        </w:rPr>
        <w:t>2</w:t>
      </w:r>
      <w:r>
        <w:rPr>
          <w:rFonts w:hint="eastAsia" w:ascii="宋体" w:hAnsi="宋体" w:eastAsia="宋体"/>
          <w:spacing w:val="-6"/>
          <w:szCs w:val="21"/>
        </w:rPr>
        <w:t>.投标人因未在线参加开标而导致电子加密投标文件无法按时解密等一切后果由投标人自行承担。</w:t>
      </w:r>
    </w:p>
    <w:p w14:paraId="6B80D1CE">
      <w:pPr>
        <w:adjustRightInd w:val="0"/>
        <w:snapToGrid w:val="0"/>
        <w:spacing w:line="288" w:lineRule="auto"/>
        <w:ind w:firstLine="396" w:firstLineChars="200"/>
        <w:jc w:val="left"/>
        <w:rPr>
          <w:rFonts w:hint="eastAsia" w:ascii="宋体" w:hAnsi="宋体" w:eastAsia="宋体"/>
          <w:spacing w:val="-6"/>
          <w:szCs w:val="21"/>
        </w:rPr>
      </w:pPr>
      <w:r>
        <w:rPr>
          <w:rFonts w:ascii="宋体" w:hAnsi="宋体" w:eastAsia="宋体"/>
          <w:spacing w:val="-6"/>
          <w:szCs w:val="21"/>
        </w:rPr>
        <w:t>3</w:t>
      </w:r>
      <w:r>
        <w:rPr>
          <w:rFonts w:hint="eastAsia" w:ascii="宋体" w:hAnsi="宋体" w:eastAsia="宋体"/>
          <w:spacing w:val="-6"/>
          <w:szCs w:val="21"/>
        </w:rPr>
        <w:t>.投标人应按照招标文件和政府采购云平台的要求，根据投标文件的组成规定的内容及顺序通过政采云电子交易客户端（政采云投标客户端）编制加密投标文件。</w:t>
      </w:r>
    </w:p>
    <w:p w14:paraId="47FDCB5D">
      <w:pPr>
        <w:adjustRightInd w:val="0"/>
        <w:snapToGrid w:val="0"/>
        <w:spacing w:line="288" w:lineRule="auto"/>
        <w:ind w:firstLine="422" w:firstLineChars="200"/>
        <w:jc w:val="left"/>
        <w:rPr>
          <w:rFonts w:hint="eastAsia" w:ascii="宋体" w:hAnsi="宋体" w:eastAsia="宋体"/>
          <w:b/>
          <w:bCs/>
          <w:szCs w:val="21"/>
        </w:rPr>
      </w:pPr>
      <w:r>
        <w:rPr>
          <w:rFonts w:hint="eastAsia" w:ascii="宋体" w:hAnsi="宋体" w:eastAsia="宋体"/>
          <w:b/>
          <w:bCs/>
          <w:szCs w:val="21"/>
        </w:rPr>
        <w:t>备注：投标人可通过浙江省“电子交易/不见面开评标”学习专题提前进行专题学习，熟悉操作，避免影响采购活动（</w:t>
      </w:r>
      <w:r>
        <w:fldChar w:fldCharType="begin"/>
      </w:r>
      <w:r>
        <w:instrText xml:space="preserve"> HYPERLINK "https://edu.zcygov.cn/luban/e-biding" </w:instrText>
      </w:r>
      <w:r>
        <w:fldChar w:fldCharType="separate"/>
      </w:r>
      <w:r>
        <w:rPr>
          <w:rStyle w:val="31"/>
          <w:rFonts w:hint="eastAsia" w:ascii="宋体" w:hAnsi="宋体" w:eastAsia="宋体"/>
          <w:b/>
          <w:bCs/>
          <w:color w:val="auto"/>
          <w:szCs w:val="21"/>
        </w:rPr>
        <w:t>https://edu.zcygov.cn/luban/e-biding</w:t>
      </w:r>
      <w:r>
        <w:rPr>
          <w:rStyle w:val="31"/>
          <w:rFonts w:hint="eastAsia" w:ascii="宋体" w:hAnsi="宋体" w:eastAsia="宋体"/>
          <w:b/>
          <w:bCs/>
          <w:color w:val="auto"/>
          <w:szCs w:val="21"/>
        </w:rPr>
        <w:fldChar w:fldCharType="end"/>
      </w:r>
      <w:r>
        <w:rPr>
          <w:rFonts w:hint="eastAsia" w:ascii="宋体" w:hAnsi="宋体" w:eastAsia="宋体"/>
          <w:b/>
          <w:bCs/>
          <w:szCs w:val="21"/>
        </w:rPr>
        <w:t>）。</w:t>
      </w:r>
    </w:p>
    <w:p w14:paraId="6E6F8E9E">
      <w:pPr>
        <w:adjustRightInd w:val="0"/>
        <w:snapToGrid w:val="0"/>
        <w:spacing w:line="288" w:lineRule="auto"/>
        <w:jc w:val="left"/>
        <w:rPr>
          <w:rFonts w:hint="eastAsia" w:ascii="宋体" w:hAnsi="宋体" w:eastAsia="宋体"/>
          <w:b/>
          <w:spacing w:val="-6"/>
          <w:szCs w:val="21"/>
        </w:rPr>
      </w:pPr>
      <w:r>
        <w:rPr>
          <w:rFonts w:hint="eastAsia" w:ascii="宋体" w:hAnsi="宋体" w:eastAsia="宋体"/>
          <w:b/>
          <w:spacing w:val="-6"/>
          <w:szCs w:val="21"/>
        </w:rPr>
        <w:t>（四）投标文件的语言及计量</w:t>
      </w:r>
    </w:p>
    <w:p w14:paraId="48BF2973">
      <w:pPr>
        <w:adjustRightInd w:val="0"/>
        <w:snapToGrid w:val="0"/>
        <w:spacing w:line="288" w:lineRule="auto"/>
        <w:ind w:firstLine="396" w:firstLineChars="200"/>
        <w:jc w:val="left"/>
        <w:rPr>
          <w:rFonts w:hint="eastAsia" w:ascii="宋体" w:hAnsi="宋体" w:eastAsia="宋体"/>
          <w:spacing w:val="-6"/>
          <w:szCs w:val="21"/>
        </w:rPr>
      </w:pPr>
      <w:r>
        <w:rPr>
          <w:rFonts w:hint="eastAsia" w:ascii="宋体" w:hAnsi="宋体" w:eastAsia="宋体"/>
          <w:spacing w:val="-6"/>
          <w:szCs w:val="21"/>
        </w:rPr>
        <w:t>投标文件以及投标人与采购人或采购代理机构就有关投标事宜的所有来往函电，均应以中文汉语书写。除签名、盖章、专用名称等特殊情形外，以中文汉语以外的文字表述的投标文件视同未提供（有中文汉语说明的除外）。</w:t>
      </w:r>
    </w:p>
    <w:p w14:paraId="68A609E6">
      <w:pPr>
        <w:adjustRightInd w:val="0"/>
        <w:snapToGrid w:val="0"/>
        <w:spacing w:line="288" w:lineRule="auto"/>
        <w:jc w:val="left"/>
        <w:rPr>
          <w:rFonts w:hint="eastAsia" w:ascii="宋体" w:hAnsi="宋体" w:eastAsia="宋体"/>
          <w:b/>
          <w:spacing w:val="-6"/>
          <w:szCs w:val="21"/>
        </w:rPr>
      </w:pPr>
      <w:r>
        <w:rPr>
          <w:rFonts w:hint="eastAsia" w:ascii="宋体" w:hAnsi="宋体" w:eastAsia="宋体"/>
          <w:b/>
          <w:spacing w:val="-6"/>
          <w:szCs w:val="21"/>
        </w:rPr>
        <w:t>（五）投标报价</w:t>
      </w:r>
    </w:p>
    <w:p w14:paraId="44D6B6B0">
      <w:pPr>
        <w:adjustRightInd w:val="0"/>
        <w:snapToGrid w:val="0"/>
        <w:spacing w:line="288" w:lineRule="auto"/>
        <w:ind w:firstLine="420" w:firstLineChars="200"/>
        <w:rPr>
          <w:rFonts w:hint="eastAsia" w:ascii="宋体" w:hAnsi="宋体" w:eastAsia="宋体"/>
          <w:szCs w:val="21"/>
        </w:rPr>
      </w:pPr>
      <w:bookmarkStart w:id="50" w:name="_Hlk94018664"/>
      <w:r>
        <w:rPr>
          <w:rFonts w:hint="eastAsia" w:ascii="宋体" w:hAnsi="宋体" w:eastAsia="宋体"/>
          <w:szCs w:val="21"/>
        </w:rPr>
        <w:t>1.报价应按招标文件要求的格式编制、填写报价内容（可自行增行），未按招标文件要求编制、填写的投标文件可能被拒绝；</w:t>
      </w:r>
    </w:p>
    <w:p w14:paraId="7C2B5A9F">
      <w:pPr>
        <w:adjustRightInd w:val="0"/>
        <w:snapToGrid w:val="0"/>
        <w:spacing w:line="288" w:lineRule="auto"/>
        <w:ind w:firstLine="420" w:firstLineChars="200"/>
        <w:rPr>
          <w:rFonts w:hint="eastAsia" w:ascii="宋体" w:hAnsi="宋体" w:eastAsia="宋体"/>
          <w:szCs w:val="21"/>
        </w:rPr>
      </w:pPr>
      <w:r>
        <w:rPr>
          <w:rFonts w:hint="eastAsia" w:ascii="宋体" w:hAnsi="宋体" w:eastAsia="宋体"/>
          <w:szCs w:val="21"/>
        </w:rPr>
        <w:t>2.以人民币报价；</w:t>
      </w:r>
    </w:p>
    <w:p w14:paraId="26407A0D">
      <w:pPr>
        <w:adjustRightInd w:val="0"/>
        <w:snapToGrid w:val="0"/>
        <w:spacing w:line="288" w:lineRule="auto"/>
        <w:ind w:firstLine="420" w:firstLineChars="200"/>
        <w:rPr>
          <w:rFonts w:hint="eastAsia" w:ascii="宋体" w:hAnsi="宋体" w:eastAsia="宋体"/>
          <w:szCs w:val="21"/>
        </w:rPr>
      </w:pPr>
      <w:r>
        <w:rPr>
          <w:rFonts w:hint="eastAsia" w:ascii="宋体" w:hAnsi="宋体" w:eastAsia="宋体"/>
          <w:szCs w:val="21"/>
        </w:rPr>
        <w:t>3.投标报价是履行合同的最终价格，有关本项目实施所涉及的一切费用均计入报价；总价不为零，分项报价中部分产品、服务单价为零的，视作已包含在总价中。</w:t>
      </w:r>
    </w:p>
    <w:p w14:paraId="12971AF8">
      <w:pPr>
        <w:adjustRightInd w:val="0"/>
        <w:snapToGrid w:val="0"/>
        <w:spacing w:line="288" w:lineRule="auto"/>
        <w:ind w:firstLine="420" w:firstLineChars="200"/>
        <w:rPr>
          <w:rFonts w:hint="eastAsia" w:ascii="宋体" w:hAnsi="宋体" w:eastAsia="宋体"/>
          <w:szCs w:val="21"/>
        </w:rPr>
      </w:pPr>
      <w:r>
        <w:rPr>
          <w:rFonts w:hint="eastAsia" w:ascii="宋体" w:hAnsi="宋体" w:eastAsia="宋体"/>
          <w:szCs w:val="21"/>
        </w:rPr>
        <w:t>4.投标文件只允许有一个报价，有选择的报价将不予接受。</w:t>
      </w:r>
    </w:p>
    <w:p w14:paraId="49F25231">
      <w:pPr>
        <w:pStyle w:val="13"/>
        <w:adjustRightInd w:val="0"/>
        <w:snapToGrid w:val="0"/>
        <w:spacing w:before="0" w:beforeLines="0" w:after="0" w:afterLines="0" w:line="288" w:lineRule="auto"/>
        <w:ind w:firstLine="420" w:firstLineChars="200"/>
        <w:jc w:val="left"/>
        <w:rPr>
          <w:rFonts w:hint="eastAsia" w:hAnsi="宋体" w:eastAsia="宋体" w:cs="宋体"/>
          <w:sz w:val="21"/>
          <w:szCs w:val="21"/>
        </w:rPr>
      </w:pPr>
      <w:r>
        <w:rPr>
          <w:rFonts w:hint="eastAsia" w:hAnsi="宋体" w:eastAsia="宋体" w:cs="宋体"/>
          <w:sz w:val="21"/>
          <w:szCs w:val="21"/>
        </w:rPr>
        <w:t>▲5</w:t>
      </w:r>
      <w:r>
        <w:rPr>
          <w:rFonts w:hAnsi="宋体" w:eastAsia="宋体" w:cs="宋体"/>
          <w:sz w:val="21"/>
          <w:szCs w:val="21"/>
        </w:rPr>
        <w:t>.</w:t>
      </w:r>
      <w:r>
        <w:rPr>
          <w:rFonts w:hint="eastAsia" w:hAnsi="宋体" w:eastAsia="宋体" w:cs="宋体"/>
          <w:sz w:val="21"/>
          <w:szCs w:val="21"/>
        </w:rPr>
        <w:t>采购人将以合同形式有偿取得货物或服务，不接受投标人给予的赠品、回扣或者与采购无关的其他商品、服务</w:t>
      </w:r>
      <w:r>
        <w:rPr>
          <w:rFonts w:hAnsi="宋体" w:eastAsia="宋体" w:cs="宋体"/>
          <w:sz w:val="21"/>
          <w:szCs w:val="21"/>
        </w:rPr>
        <w:t>。</w:t>
      </w:r>
    </w:p>
    <w:p w14:paraId="7048012F">
      <w:pPr>
        <w:pStyle w:val="13"/>
        <w:adjustRightInd w:val="0"/>
        <w:snapToGrid w:val="0"/>
        <w:spacing w:before="0" w:beforeLines="0" w:after="0" w:afterLines="0" w:line="288" w:lineRule="auto"/>
        <w:ind w:firstLine="420" w:firstLineChars="200"/>
        <w:jc w:val="left"/>
        <w:rPr>
          <w:rFonts w:hint="eastAsia" w:hAnsi="宋体" w:eastAsia="宋体" w:cs="宋体"/>
          <w:sz w:val="21"/>
          <w:szCs w:val="21"/>
        </w:rPr>
      </w:pPr>
      <w:r>
        <w:rPr>
          <w:rFonts w:hint="eastAsia" w:hAnsi="宋体" w:eastAsia="宋体" w:cs="宋体"/>
          <w:sz w:val="21"/>
          <w:szCs w:val="21"/>
        </w:rPr>
        <w:t>6.供应商不得进行影响产品质量或者诚信履约的恶意报价。供应商报价低于项目预算50%的，应当在报价文件中提供说明，详细阐述不影响产品质量或者诚信履约的具体原因。</w:t>
      </w:r>
    </w:p>
    <w:bookmarkEnd w:id="50"/>
    <w:p w14:paraId="15624AAF">
      <w:pPr>
        <w:adjustRightInd w:val="0"/>
        <w:snapToGrid w:val="0"/>
        <w:spacing w:line="288" w:lineRule="auto"/>
        <w:jc w:val="left"/>
        <w:rPr>
          <w:rFonts w:hint="eastAsia" w:ascii="宋体" w:hAnsi="宋体" w:eastAsia="宋体"/>
          <w:b/>
          <w:spacing w:val="-6"/>
          <w:szCs w:val="21"/>
        </w:rPr>
      </w:pPr>
      <w:r>
        <w:rPr>
          <w:rFonts w:hint="eastAsia" w:ascii="宋体" w:hAnsi="宋体" w:eastAsia="宋体"/>
          <w:b/>
          <w:spacing w:val="-6"/>
          <w:szCs w:val="21"/>
        </w:rPr>
        <w:t>（六）投标有效期</w:t>
      </w:r>
    </w:p>
    <w:p w14:paraId="76D7D08C">
      <w:pPr>
        <w:pStyle w:val="13"/>
        <w:adjustRightInd w:val="0"/>
        <w:snapToGrid w:val="0"/>
        <w:spacing w:before="0" w:beforeLines="0" w:after="0" w:afterLines="0" w:line="288" w:lineRule="auto"/>
        <w:ind w:firstLine="396" w:firstLineChars="200"/>
        <w:jc w:val="left"/>
        <w:rPr>
          <w:rFonts w:hint="eastAsia" w:hAnsi="宋体" w:eastAsia="宋体"/>
          <w:sz w:val="21"/>
          <w:szCs w:val="21"/>
        </w:rPr>
      </w:pPr>
      <w:r>
        <w:rPr>
          <w:rFonts w:hint="eastAsia" w:hAnsi="宋体" w:eastAsia="宋体"/>
          <w:spacing w:val="-6"/>
          <w:sz w:val="21"/>
          <w:szCs w:val="21"/>
        </w:rPr>
        <w:t>▲从提交投标文件的截止之日起</w:t>
      </w:r>
      <w:r>
        <w:rPr>
          <w:rFonts w:hAnsi="宋体" w:eastAsia="宋体"/>
          <w:spacing w:val="-6"/>
          <w:sz w:val="21"/>
          <w:szCs w:val="21"/>
        </w:rPr>
        <w:t>90天，在原投标有效期满之前，如果出现特殊情况，采购人或采购代理机构以书面形式通知投标人延长投标有效期。</w:t>
      </w:r>
    </w:p>
    <w:p w14:paraId="506874CF">
      <w:pPr>
        <w:widowControl/>
        <w:jc w:val="left"/>
        <w:rPr>
          <w:rFonts w:hint="eastAsia" w:ascii="宋体" w:hAnsi="宋体" w:eastAsia="宋体" w:cs="Times New Roman"/>
          <w:b/>
          <w:spacing w:val="-6"/>
          <w:szCs w:val="21"/>
        </w:rPr>
      </w:pPr>
      <w:r>
        <w:rPr>
          <w:rFonts w:ascii="宋体" w:hAnsi="宋体" w:eastAsia="宋体" w:cs="Times New Roman"/>
          <w:b/>
          <w:spacing w:val="-6"/>
          <w:szCs w:val="21"/>
        </w:rPr>
        <w:br w:type="page"/>
      </w:r>
    </w:p>
    <w:p w14:paraId="5255FD0B">
      <w:pPr>
        <w:adjustRightInd w:val="0"/>
        <w:snapToGrid w:val="0"/>
        <w:spacing w:line="288" w:lineRule="auto"/>
        <w:jc w:val="center"/>
        <w:outlineLvl w:val="1"/>
        <w:rPr>
          <w:rFonts w:hint="eastAsia" w:ascii="宋体" w:hAnsi="宋体" w:eastAsia="宋体" w:cs="Times New Roman"/>
          <w:b/>
          <w:spacing w:val="-6"/>
          <w:szCs w:val="21"/>
        </w:rPr>
      </w:pPr>
      <w:r>
        <w:rPr>
          <w:rFonts w:hint="eastAsia" w:ascii="宋体" w:hAnsi="宋体" w:eastAsia="宋体" w:cs="Times New Roman"/>
          <w:b/>
          <w:spacing w:val="-6"/>
          <w:szCs w:val="21"/>
        </w:rPr>
        <w:t>四、资格审查不通过、投标无效的情形</w:t>
      </w:r>
    </w:p>
    <w:p w14:paraId="47D972A7">
      <w:pPr>
        <w:adjustRightInd w:val="0"/>
        <w:snapToGrid w:val="0"/>
        <w:spacing w:line="288" w:lineRule="auto"/>
        <w:ind w:firstLine="420" w:firstLineChars="200"/>
        <w:rPr>
          <w:rFonts w:hint="eastAsia" w:ascii="宋体" w:hAnsi="宋体" w:eastAsia="宋体" w:cs="宋体"/>
          <w:szCs w:val="21"/>
        </w:rPr>
      </w:pPr>
      <w:bookmarkStart w:id="51" w:name="_Hlk94018682"/>
      <w:r>
        <w:rPr>
          <w:rFonts w:hint="eastAsia" w:ascii="宋体" w:hAnsi="宋体" w:eastAsia="宋体" w:cs="宋体"/>
          <w:szCs w:val="21"/>
        </w:rPr>
        <w:t>未响应招标文件“▲”标记条款要求的，投标无效。</w:t>
      </w:r>
    </w:p>
    <w:bookmarkEnd w:id="51"/>
    <w:p w14:paraId="7C103A78">
      <w:pPr>
        <w:widowControl/>
        <w:adjustRightInd w:val="0"/>
        <w:snapToGrid w:val="0"/>
        <w:spacing w:line="288" w:lineRule="auto"/>
        <w:ind w:firstLine="398" w:firstLineChars="200"/>
        <w:jc w:val="left"/>
        <w:rPr>
          <w:rFonts w:hint="eastAsia" w:ascii="宋体" w:hAnsi="宋体" w:eastAsia="宋体" w:cs="Times New Roman"/>
          <w:b/>
          <w:spacing w:val="-6"/>
          <w:szCs w:val="21"/>
        </w:rPr>
      </w:pPr>
      <w:r>
        <w:rPr>
          <w:rFonts w:hint="eastAsia" w:ascii="宋体" w:hAnsi="宋体" w:eastAsia="宋体" w:cs="Times New Roman"/>
          <w:b/>
          <w:spacing w:val="-6"/>
          <w:szCs w:val="21"/>
        </w:rPr>
        <w:t>1</w:t>
      </w:r>
      <w:r>
        <w:rPr>
          <w:rFonts w:ascii="宋体" w:hAnsi="宋体" w:eastAsia="宋体" w:cs="Times New Roman"/>
          <w:b/>
          <w:spacing w:val="-6"/>
          <w:szCs w:val="21"/>
        </w:rPr>
        <w:t>.</w:t>
      </w:r>
      <w:r>
        <w:rPr>
          <w:rFonts w:hint="eastAsia" w:ascii="宋体" w:hAnsi="宋体" w:eastAsia="宋体" w:cs="Times New Roman"/>
          <w:b/>
          <w:spacing w:val="-6"/>
          <w:szCs w:val="21"/>
        </w:rPr>
        <w:t>在资格审查时，如发现下列情形之一的，投标人将被视为资格审查不通过：</w:t>
      </w:r>
    </w:p>
    <w:p w14:paraId="15A00A94">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（1）</w:t>
      </w:r>
      <w:r>
        <w:rPr>
          <w:rFonts w:ascii="宋体" w:hAnsi="宋体" w:eastAsia="宋体" w:cs="Times New Roman"/>
          <w:spacing w:val="-6"/>
          <w:szCs w:val="21"/>
        </w:rPr>
        <w:t>资格证明</w:t>
      </w:r>
      <w:r>
        <w:rPr>
          <w:rFonts w:hint="eastAsia" w:ascii="宋体" w:hAnsi="宋体" w:eastAsia="宋体" w:cs="Times New Roman"/>
          <w:spacing w:val="-6"/>
          <w:szCs w:val="21"/>
        </w:rPr>
        <w:t>材料</w:t>
      </w:r>
      <w:r>
        <w:rPr>
          <w:rFonts w:ascii="宋体" w:hAnsi="宋体" w:eastAsia="宋体" w:cs="Times New Roman"/>
          <w:spacing w:val="-6"/>
          <w:szCs w:val="21"/>
        </w:rPr>
        <w:t>不全的，或者不符合</w:t>
      </w:r>
      <w:r>
        <w:rPr>
          <w:rFonts w:hint="eastAsia" w:ascii="宋体" w:hAnsi="宋体" w:eastAsia="宋体" w:cs="Times New Roman"/>
          <w:spacing w:val="-6"/>
          <w:szCs w:val="21"/>
        </w:rPr>
        <w:t>招标</w:t>
      </w:r>
      <w:r>
        <w:rPr>
          <w:rFonts w:ascii="宋体" w:hAnsi="宋体" w:eastAsia="宋体" w:cs="Times New Roman"/>
          <w:spacing w:val="-6"/>
          <w:szCs w:val="21"/>
        </w:rPr>
        <w:t>文件要求</w:t>
      </w:r>
      <w:r>
        <w:rPr>
          <w:rFonts w:hint="eastAsia" w:ascii="宋体" w:hAnsi="宋体" w:eastAsia="宋体" w:cs="Times New Roman"/>
          <w:spacing w:val="-6"/>
          <w:szCs w:val="21"/>
        </w:rPr>
        <w:t>；</w:t>
      </w:r>
    </w:p>
    <w:p w14:paraId="37C28258">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2</w:t>
      </w:r>
      <w:r>
        <w:rPr>
          <w:rFonts w:hint="eastAsia" w:ascii="宋体" w:hAnsi="宋体" w:eastAsia="宋体" w:cs="Times New Roman"/>
          <w:spacing w:val="-6"/>
          <w:szCs w:val="21"/>
        </w:rPr>
        <w:t>）投标人不具备招标文件中规定的资格要求；</w:t>
      </w:r>
    </w:p>
    <w:p w14:paraId="3C0F34BF">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3</w:t>
      </w:r>
      <w:r>
        <w:rPr>
          <w:rFonts w:hint="eastAsia" w:ascii="宋体" w:hAnsi="宋体" w:eastAsia="宋体" w:cs="Times New Roman"/>
          <w:spacing w:val="-6"/>
          <w:szCs w:val="21"/>
        </w:rPr>
        <w:t>）资格</w:t>
      </w:r>
      <w:r>
        <w:rPr>
          <w:rFonts w:ascii="宋体" w:hAnsi="宋体" w:eastAsia="宋体" w:cs="Times New Roman"/>
          <w:spacing w:val="-6"/>
          <w:szCs w:val="21"/>
        </w:rPr>
        <w:t>文件</w:t>
      </w:r>
      <w:r>
        <w:rPr>
          <w:rFonts w:hint="eastAsia" w:ascii="宋体" w:hAnsi="宋体" w:eastAsia="宋体" w:cs="Times New Roman"/>
          <w:spacing w:val="-6"/>
          <w:szCs w:val="21"/>
        </w:rPr>
        <w:t>未按要求签署、盖章；</w:t>
      </w:r>
    </w:p>
    <w:p w14:paraId="2E6767DE">
      <w:pPr>
        <w:adjustRightInd w:val="0"/>
        <w:snapToGrid w:val="0"/>
        <w:spacing w:line="288" w:lineRule="auto"/>
        <w:ind w:firstLine="398" w:firstLineChars="200"/>
        <w:rPr>
          <w:rFonts w:hint="eastAsia" w:ascii="宋体" w:hAnsi="宋体" w:eastAsia="宋体" w:cs="Times New Roman"/>
          <w:b/>
          <w:spacing w:val="-6"/>
          <w:szCs w:val="21"/>
        </w:rPr>
      </w:pPr>
      <w:r>
        <w:rPr>
          <w:rFonts w:hint="eastAsia" w:ascii="宋体" w:hAnsi="宋体" w:eastAsia="宋体" w:cs="Times New Roman"/>
          <w:b/>
          <w:spacing w:val="-6"/>
          <w:szCs w:val="21"/>
        </w:rPr>
        <w:t>2</w:t>
      </w:r>
      <w:r>
        <w:rPr>
          <w:rFonts w:ascii="宋体" w:hAnsi="宋体" w:eastAsia="宋体" w:cs="Times New Roman"/>
          <w:b/>
          <w:spacing w:val="-6"/>
          <w:szCs w:val="21"/>
        </w:rPr>
        <w:t>.</w:t>
      </w:r>
      <w:r>
        <w:rPr>
          <w:rFonts w:hint="eastAsia" w:ascii="宋体" w:hAnsi="宋体" w:eastAsia="宋体" w:cs="Times New Roman"/>
          <w:b/>
          <w:spacing w:val="-6"/>
          <w:szCs w:val="21"/>
        </w:rPr>
        <w:t>在符合</w:t>
      </w:r>
      <w:r>
        <w:rPr>
          <w:rFonts w:ascii="宋体" w:hAnsi="宋体" w:eastAsia="宋体" w:cs="Times New Roman"/>
          <w:b/>
          <w:spacing w:val="-6"/>
          <w:szCs w:val="21"/>
        </w:rPr>
        <w:t>性审查、</w:t>
      </w:r>
      <w:r>
        <w:rPr>
          <w:rFonts w:hint="eastAsia" w:ascii="宋体" w:hAnsi="宋体" w:eastAsia="宋体" w:cs="Times New Roman"/>
          <w:b/>
          <w:spacing w:val="-6"/>
          <w:szCs w:val="21"/>
        </w:rPr>
        <w:t>商务</w:t>
      </w:r>
      <w:r>
        <w:rPr>
          <w:rFonts w:ascii="宋体" w:hAnsi="宋体" w:eastAsia="宋体" w:cs="Times New Roman"/>
          <w:b/>
          <w:spacing w:val="-6"/>
          <w:szCs w:val="21"/>
        </w:rPr>
        <w:t>和技术评审</w:t>
      </w:r>
      <w:r>
        <w:rPr>
          <w:rFonts w:hint="eastAsia" w:ascii="宋体" w:hAnsi="宋体" w:eastAsia="宋体" w:cs="Times New Roman"/>
          <w:b/>
          <w:spacing w:val="-6"/>
          <w:szCs w:val="21"/>
        </w:rPr>
        <w:t>时，如发现下列情形之一的，投标文件将被视为无效：</w:t>
      </w:r>
    </w:p>
    <w:p w14:paraId="50087961">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（1）商务和技术文件未按要求签署、盖章；</w:t>
      </w:r>
    </w:p>
    <w:p w14:paraId="70254DE2">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2）未提供或未按要求提供投标函、授权委托书；</w:t>
      </w:r>
    </w:p>
    <w:p w14:paraId="6229DA86">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3）委托授权代表参加投标但未提供符合要求的授权代表社保缴纳证明；</w:t>
      </w:r>
    </w:p>
    <w:p w14:paraId="7AB13798">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（4）未提供或未如实提供采购需求</w:t>
      </w:r>
      <w:r>
        <w:rPr>
          <w:rFonts w:ascii="宋体" w:hAnsi="宋体" w:eastAsia="宋体" w:cs="Times New Roman"/>
          <w:spacing w:val="-6"/>
          <w:szCs w:val="21"/>
        </w:rPr>
        <w:t>偏离表；</w:t>
      </w:r>
    </w:p>
    <w:p w14:paraId="7BAEB827">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（5）明显不符合招标文件要求，或负偏离达到规定数目的，视为采购人不能接受的附加条件；</w:t>
      </w:r>
    </w:p>
    <w:p w14:paraId="78DBACC5">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6</w:t>
      </w:r>
      <w:r>
        <w:rPr>
          <w:rFonts w:hint="eastAsia" w:ascii="宋体" w:hAnsi="宋体" w:eastAsia="宋体" w:cs="Times New Roman"/>
          <w:spacing w:val="-6"/>
          <w:szCs w:val="21"/>
        </w:rPr>
        <w:t>）</w:t>
      </w:r>
      <w:r>
        <w:rPr>
          <w:rFonts w:ascii="宋体" w:hAnsi="宋体" w:eastAsia="宋体" w:cs="Times New Roman"/>
          <w:spacing w:val="-6"/>
          <w:szCs w:val="21"/>
        </w:rPr>
        <w:t>投标技术方案不明确，存在一个或一个以上备选（替代）投标方案；</w:t>
      </w:r>
    </w:p>
    <w:p w14:paraId="1E800478">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7</w:t>
      </w:r>
      <w:r>
        <w:rPr>
          <w:rFonts w:hint="eastAsia" w:ascii="宋体" w:hAnsi="宋体" w:eastAsia="宋体" w:cs="Times New Roman"/>
          <w:spacing w:val="-6"/>
          <w:szCs w:val="21"/>
        </w:rPr>
        <w:t>）投标文件含有采购人不能接受的附加条件；</w:t>
      </w:r>
    </w:p>
    <w:p w14:paraId="30382FA9">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8</w:t>
      </w:r>
      <w:r>
        <w:rPr>
          <w:rFonts w:hint="eastAsia" w:ascii="宋体" w:hAnsi="宋体" w:eastAsia="宋体" w:cs="Times New Roman"/>
          <w:spacing w:val="-6"/>
          <w:szCs w:val="21"/>
        </w:rPr>
        <w:t>）法律、法规和招标文件规定的其他无效情形。</w:t>
      </w:r>
    </w:p>
    <w:p w14:paraId="7689257B">
      <w:pPr>
        <w:widowControl/>
        <w:adjustRightInd w:val="0"/>
        <w:snapToGrid w:val="0"/>
        <w:spacing w:line="288" w:lineRule="auto"/>
        <w:ind w:firstLine="398" w:firstLineChars="200"/>
        <w:jc w:val="left"/>
        <w:rPr>
          <w:rFonts w:hint="eastAsia" w:ascii="宋体" w:hAnsi="宋体" w:eastAsia="宋体" w:cs="Times New Roman"/>
          <w:b/>
          <w:spacing w:val="-6"/>
          <w:szCs w:val="21"/>
        </w:rPr>
      </w:pPr>
      <w:r>
        <w:rPr>
          <w:rFonts w:hint="eastAsia" w:ascii="宋体" w:hAnsi="宋体" w:eastAsia="宋体" w:cs="Times New Roman"/>
          <w:b/>
          <w:spacing w:val="-6"/>
          <w:szCs w:val="21"/>
        </w:rPr>
        <w:t>3</w:t>
      </w:r>
      <w:r>
        <w:rPr>
          <w:rFonts w:ascii="宋体" w:hAnsi="宋体" w:eastAsia="宋体" w:cs="Times New Roman"/>
          <w:b/>
          <w:spacing w:val="-6"/>
          <w:szCs w:val="21"/>
        </w:rPr>
        <w:t>.在报价评审时，如发现下列情形之一的，投标文件将被视为无效：</w:t>
      </w:r>
    </w:p>
    <w:p w14:paraId="066FDDA4">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（1）报价</w:t>
      </w:r>
      <w:r>
        <w:rPr>
          <w:rFonts w:ascii="宋体" w:hAnsi="宋体" w:eastAsia="宋体" w:cs="Times New Roman"/>
          <w:spacing w:val="-6"/>
          <w:szCs w:val="21"/>
        </w:rPr>
        <w:t>文件</w:t>
      </w:r>
      <w:r>
        <w:rPr>
          <w:rFonts w:hint="eastAsia" w:ascii="宋体" w:hAnsi="宋体" w:eastAsia="宋体" w:cs="Times New Roman"/>
          <w:spacing w:val="-6"/>
          <w:szCs w:val="21"/>
        </w:rPr>
        <w:t>未按要求签署、盖章；</w:t>
      </w:r>
    </w:p>
    <w:p w14:paraId="0C969D18">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（2</w:t>
      </w:r>
      <w:r>
        <w:rPr>
          <w:rFonts w:ascii="宋体" w:hAnsi="宋体" w:eastAsia="宋体" w:cs="Times New Roman"/>
          <w:spacing w:val="-6"/>
          <w:szCs w:val="21"/>
        </w:rPr>
        <w:t>）未按照招标文件标明的币种报价</w:t>
      </w:r>
      <w:r>
        <w:rPr>
          <w:rFonts w:hint="eastAsia" w:ascii="宋体" w:hAnsi="宋体" w:eastAsia="宋体" w:cs="Times New Roman"/>
          <w:spacing w:val="-6"/>
          <w:szCs w:val="21"/>
        </w:rPr>
        <w:t>；</w:t>
      </w:r>
    </w:p>
    <w:p w14:paraId="09156442">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（3）</w:t>
      </w:r>
      <w:r>
        <w:rPr>
          <w:rFonts w:ascii="宋体" w:hAnsi="宋体" w:eastAsia="宋体" w:cs="Times New Roman"/>
          <w:spacing w:val="-6"/>
          <w:szCs w:val="21"/>
        </w:rPr>
        <w:t>报价</w:t>
      </w:r>
      <w:r>
        <w:rPr>
          <w:rFonts w:hint="eastAsia" w:ascii="宋体" w:hAnsi="宋体" w:eastAsia="宋体" w:cs="Times New Roman"/>
          <w:spacing w:val="-6"/>
          <w:szCs w:val="21"/>
        </w:rPr>
        <w:t>内容有</w:t>
      </w:r>
      <w:r>
        <w:rPr>
          <w:rFonts w:ascii="宋体" w:hAnsi="宋体" w:eastAsia="宋体" w:cs="Times New Roman"/>
          <w:spacing w:val="-6"/>
          <w:szCs w:val="21"/>
        </w:rPr>
        <w:t>缺漏项</w:t>
      </w:r>
      <w:r>
        <w:rPr>
          <w:rFonts w:hint="eastAsia" w:ascii="宋体" w:hAnsi="宋体" w:eastAsia="宋体" w:cs="Times New Roman"/>
          <w:spacing w:val="-6"/>
          <w:szCs w:val="21"/>
        </w:rPr>
        <w:t>，或者</w:t>
      </w:r>
      <w:r>
        <w:rPr>
          <w:rFonts w:ascii="宋体" w:hAnsi="宋体" w:eastAsia="宋体" w:cs="Times New Roman"/>
          <w:spacing w:val="-6"/>
          <w:szCs w:val="21"/>
        </w:rPr>
        <w:t>与招标文件要求不一致</w:t>
      </w:r>
      <w:r>
        <w:rPr>
          <w:rFonts w:hint="eastAsia" w:ascii="宋体" w:hAnsi="宋体" w:eastAsia="宋体" w:cs="Times New Roman"/>
          <w:spacing w:val="-6"/>
          <w:szCs w:val="21"/>
        </w:rPr>
        <w:t>；</w:t>
      </w:r>
    </w:p>
    <w:p w14:paraId="14B3F6D8">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（4）报价超过招标文件中规定的预算金额或者最高限价；</w:t>
      </w:r>
    </w:p>
    <w:p w14:paraId="57117F27">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（5）报价具有选择性；</w:t>
      </w:r>
    </w:p>
    <w:p w14:paraId="5547EE55">
      <w:pPr>
        <w:widowControl/>
        <w:adjustRightInd w:val="0"/>
        <w:snapToGrid w:val="0"/>
        <w:spacing w:line="288" w:lineRule="auto"/>
        <w:ind w:firstLine="396" w:firstLineChars="200"/>
        <w:jc w:val="left"/>
        <w:rPr>
          <w:rFonts w:hint="eastAsia" w:ascii="宋体" w:hAnsi="宋体" w:eastAsia="宋体" w:cs="Times New Roman"/>
          <w:spacing w:val="-6"/>
          <w:szCs w:val="21"/>
        </w:rPr>
      </w:pPr>
      <w:bookmarkStart w:id="52" w:name="_Hlk94018736"/>
      <w:r>
        <w:rPr>
          <w:rFonts w:hint="eastAsia" w:ascii="宋体" w:hAnsi="宋体" w:eastAsia="宋体" w:cs="Times New Roman"/>
          <w:spacing w:val="-6"/>
          <w:szCs w:val="21"/>
        </w:rPr>
        <w:t>特别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bookmarkEnd w:id="52"/>
    <w:p w14:paraId="438F13B0">
      <w:pPr>
        <w:widowControl/>
        <w:adjustRightInd w:val="0"/>
        <w:snapToGrid w:val="0"/>
        <w:spacing w:line="288" w:lineRule="auto"/>
        <w:ind w:firstLine="398" w:firstLineChars="200"/>
        <w:jc w:val="left"/>
        <w:rPr>
          <w:rFonts w:hint="eastAsia" w:ascii="宋体" w:hAnsi="宋体" w:eastAsia="宋体" w:cs="Times New Roman"/>
          <w:b/>
          <w:spacing w:val="-6"/>
          <w:szCs w:val="21"/>
        </w:rPr>
      </w:pPr>
      <w:r>
        <w:rPr>
          <w:rFonts w:hint="eastAsia" w:ascii="宋体" w:hAnsi="宋体" w:eastAsia="宋体" w:cs="Times New Roman"/>
          <w:b/>
          <w:spacing w:val="-6"/>
          <w:szCs w:val="21"/>
        </w:rPr>
        <w:t>4</w:t>
      </w:r>
      <w:r>
        <w:rPr>
          <w:rFonts w:ascii="宋体" w:hAnsi="宋体" w:eastAsia="宋体" w:cs="Times New Roman"/>
          <w:b/>
          <w:spacing w:val="-6"/>
          <w:szCs w:val="21"/>
        </w:rPr>
        <w:t>.</w:t>
      </w:r>
      <w:r>
        <w:rPr>
          <w:rFonts w:hint="eastAsia" w:ascii="宋体" w:hAnsi="宋体" w:eastAsia="宋体" w:cs="Times New Roman"/>
          <w:b/>
          <w:spacing w:val="-6"/>
          <w:szCs w:val="21"/>
        </w:rPr>
        <w:t>有下列情形之一的，视为投标人串通投标，其投标无效：</w:t>
      </w:r>
    </w:p>
    <w:p w14:paraId="62F3147D">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（1）不同投标人的投标文件由同一单位或者个人编制；</w:t>
      </w:r>
    </w:p>
    <w:p w14:paraId="2265D92D">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（2）不同投标人委托同一单位或者个人办理投标事宜；</w:t>
      </w:r>
    </w:p>
    <w:p w14:paraId="38495E0D">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（3）不同投标人的投标文件载明的项目管理成员或者联系人员为同一人；</w:t>
      </w:r>
    </w:p>
    <w:p w14:paraId="71A9F63B">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（4）不同投标人的投标文件异常一致或者投标报价呈规律性差异；</w:t>
      </w:r>
    </w:p>
    <w:p w14:paraId="205829A6">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（5）不同投标人的投标文件相互混装。</w:t>
      </w:r>
    </w:p>
    <w:p w14:paraId="714294A7">
      <w:pPr>
        <w:widowControl/>
        <w:adjustRightInd w:val="0"/>
        <w:snapToGrid w:val="0"/>
        <w:spacing w:line="288" w:lineRule="auto"/>
        <w:ind w:firstLine="398" w:firstLineChars="200"/>
        <w:jc w:val="left"/>
        <w:rPr>
          <w:rFonts w:hint="eastAsia" w:ascii="宋体" w:hAnsi="宋体" w:eastAsia="宋体" w:cs="Times New Roman"/>
          <w:b/>
          <w:spacing w:val="-6"/>
          <w:szCs w:val="21"/>
        </w:rPr>
      </w:pPr>
      <w:r>
        <w:rPr>
          <w:rFonts w:hint="eastAsia" w:ascii="宋体" w:hAnsi="宋体" w:eastAsia="宋体" w:cs="Times New Roman"/>
          <w:b/>
          <w:spacing w:val="-6"/>
          <w:szCs w:val="21"/>
        </w:rPr>
        <w:t>5.参与同一个采购包（标项）的供应商存在下列情形之一的，其投标文件无效：</w:t>
      </w:r>
    </w:p>
    <w:p w14:paraId="224DB239">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（1）不同供应商的电子投标文件上传计算机的网卡MAC地址、CPU序列号或硬盘序列号等硬件信息相同的；</w:t>
      </w:r>
    </w:p>
    <w:p w14:paraId="19BAE962">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（2）上传的电子投标文件若出现使用本项目其他投标供应商的数字证书加密的，或者加盖本项目其他投标供应商的电子印章的；</w:t>
      </w:r>
    </w:p>
    <w:p w14:paraId="329822AE">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（3）不同供应商的投标文件的内容存在三处（含）以上错误一致，且无法合理解释的；</w:t>
      </w:r>
    </w:p>
    <w:p w14:paraId="11772B08">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（4）不同供应商联系人为同一人或不同联系人的联系电话一致，且无法合理解释的。</w:t>
      </w:r>
    </w:p>
    <w:p w14:paraId="23BA7FC4">
      <w:pPr>
        <w:widowControl/>
        <w:adjustRightInd w:val="0"/>
        <w:snapToGrid w:val="0"/>
        <w:spacing w:line="288" w:lineRule="auto"/>
        <w:ind w:firstLine="396" w:firstLineChars="200"/>
        <w:jc w:val="left"/>
        <w:rPr>
          <w:rFonts w:hint="eastAsia" w:ascii="宋体" w:hAnsi="宋体" w:eastAsia="宋体" w:cs="Times New Roman"/>
          <w:spacing w:val="-6"/>
          <w:szCs w:val="21"/>
        </w:rPr>
      </w:pPr>
    </w:p>
    <w:p w14:paraId="44C43BF9">
      <w:pPr>
        <w:adjustRightInd w:val="0"/>
        <w:snapToGrid w:val="0"/>
        <w:spacing w:line="288" w:lineRule="auto"/>
        <w:jc w:val="center"/>
        <w:outlineLvl w:val="1"/>
        <w:rPr>
          <w:rFonts w:hint="eastAsia" w:ascii="宋体" w:hAnsi="宋体" w:eastAsia="宋体" w:cs="Times New Roman"/>
          <w:b/>
          <w:spacing w:val="-6"/>
          <w:szCs w:val="21"/>
        </w:rPr>
      </w:pPr>
      <w:r>
        <w:rPr>
          <w:rFonts w:ascii="宋体" w:hAnsi="宋体" w:eastAsia="宋体" w:cs="Times New Roman"/>
          <w:b/>
          <w:spacing w:val="-6"/>
          <w:szCs w:val="21"/>
        </w:rPr>
        <w:br w:type="page"/>
      </w:r>
      <w:r>
        <w:rPr>
          <w:rFonts w:hint="eastAsia" w:ascii="宋体" w:hAnsi="宋体" w:eastAsia="宋体" w:cs="Times New Roman"/>
          <w:b/>
          <w:spacing w:val="-6"/>
          <w:szCs w:val="21"/>
        </w:rPr>
        <w:t>五、开  标</w:t>
      </w:r>
    </w:p>
    <w:p w14:paraId="373D9B05">
      <w:pPr>
        <w:pStyle w:val="100"/>
        <w:snapToGrid w:val="0"/>
        <w:spacing w:before="0" w:line="288" w:lineRule="auto"/>
        <w:ind w:left="0" w:firstLine="424" w:firstLineChars="201"/>
        <w:rPr>
          <w:rFonts w:hint="eastAsia" w:ascii="宋体" w:hAnsi="宋体"/>
          <w:szCs w:val="21"/>
        </w:rPr>
      </w:pPr>
      <w:bookmarkStart w:id="53" w:name="_Hlk94018775"/>
      <w:r>
        <w:rPr>
          <w:rFonts w:hint="eastAsia" w:ascii="宋体" w:hAnsi="宋体" w:cs="仿宋_GB2312"/>
          <w:b/>
          <w:szCs w:val="21"/>
        </w:rPr>
        <w:t>（一）</w:t>
      </w:r>
      <w:r>
        <w:rPr>
          <w:rFonts w:ascii="宋体" w:hAnsi="宋体" w:cs="仿宋_GB2312"/>
          <w:b/>
          <w:szCs w:val="21"/>
        </w:rPr>
        <w:t>开标</w:t>
      </w:r>
    </w:p>
    <w:p w14:paraId="5170E74E">
      <w:pPr>
        <w:pStyle w:val="100"/>
        <w:snapToGrid w:val="0"/>
        <w:spacing w:before="0" w:line="288" w:lineRule="auto"/>
        <w:ind w:left="0" w:firstLine="422" w:firstLineChars="201"/>
        <w:rPr>
          <w:rFonts w:hint="eastAsia" w:ascii="宋体" w:hAnsi="宋体" w:cs="仿宋_GB2312"/>
          <w:szCs w:val="21"/>
        </w:rPr>
      </w:pPr>
      <w:r>
        <w:rPr>
          <w:rFonts w:hint="eastAsia" w:ascii="宋体" w:hAnsi="宋体" w:cs="仿宋_GB2312"/>
          <w:szCs w:val="21"/>
        </w:rPr>
        <w:t>采购代理机构</w:t>
      </w:r>
      <w:r>
        <w:rPr>
          <w:rFonts w:ascii="宋体" w:hAnsi="宋体" w:cs="仿宋_GB2312"/>
          <w:szCs w:val="21"/>
        </w:rPr>
        <w:t>按照招标文件规定的时间通过电子交易平台组织开标，所有投标人均应当准时在线参加。投标人不足3家的，不得开标。</w:t>
      </w:r>
    </w:p>
    <w:p w14:paraId="73668907">
      <w:pPr>
        <w:pStyle w:val="100"/>
        <w:snapToGrid w:val="0"/>
        <w:spacing w:before="0" w:line="288" w:lineRule="auto"/>
        <w:ind w:left="0" w:firstLine="422" w:firstLineChars="201"/>
        <w:rPr>
          <w:rFonts w:hint="eastAsia" w:ascii="宋体" w:hAnsi="宋体" w:cs="仿宋_GB2312"/>
          <w:szCs w:val="21"/>
        </w:rPr>
      </w:pPr>
      <w:r>
        <w:rPr>
          <w:rFonts w:ascii="宋体" w:hAnsi="宋体" w:cs="仿宋_GB2312"/>
          <w:szCs w:val="21"/>
        </w:rPr>
        <w:t>开标时，电子交易平台按开标时间自动提取所有投标文件。</w:t>
      </w:r>
      <w:r>
        <w:rPr>
          <w:rFonts w:hint="eastAsia" w:ascii="宋体" w:hAnsi="宋体" w:cs="仿宋_GB2312"/>
          <w:szCs w:val="21"/>
        </w:rPr>
        <w:t>采购人或代理</w:t>
      </w:r>
      <w:r>
        <w:rPr>
          <w:rFonts w:ascii="宋体" w:hAnsi="宋体" w:cs="仿宋_GB2312"/>
          <w:szCs w:val="21"/>
        </w:rPr>
        <w:t>机构依托电子交易平台发起开始解密指令，投标人按照平台提示和招标文件的规定在半小时内完成在线解密。</w:t>
      </w:r>
    </w:p>
    <w:p w14:paraId="3FA3CEC0">
      <w:pPr>
        <w:adjustRightInd w:val="0"/>
        <w:snapToGrid w:val="0"/>
        <w:spacing w:line="288" w:lineRule="auto"/>
        <w:ind w:firstLine="422" w:firstLineChars="200"/>
        <w:rPr>
          <w:rFonts w:hint="eastAsia" w:ascii="宋体" w:hAnsi="宋体" w:eastAsia="宋体" w:cs="仿宋_GB2312"/>
          <w:b/>
          <w:szCs w:val="21"/>
        </w:rPr>
      </w:pPr>
      <w:r>
        <w:rPr>
          <w:rFonts w:hint="eastAsia" w:ascii="宋体" w:hAnsi="宋体" w:eastAsia="宋体" w:cs="仿宋_GB2312"/>
          <w:b/>
          <w:szCs w:val="21"/>
        </w:rPr>
        <w:t>投标文件未按时解密，投标人提供了备份投标文件的，以备份投标文件作为依据，否则视为投标文件撤回。投标文件已按时解密的，备份投标文件自动失效。</w:t>
      </w:r>
    </w:p>
    <w:p w14:paraId="0A3F634F">
      <w:pPr>
        <w:widowControl/>
        <w:adjustRightInd w:val="0"/>
        <w:snapToGrid w:val="0"/>
        <w:spacing w:line="288" w:lineRule="auto"/>
        <w:ind w:firstLine="424" w:firstLineChars="201"/>
        <w:jc w:val="left"/>
        <w:rPr>
          <w:rFonts w:hint="eastAsia" w:ascii="宋体" w:hAnsi="宋体" w:eastAsia="宋体" w:cs="仿宋_GB2312"/>
          <w:b/>
          <w:szCs w:val="21"/>
        </w:rPr>
      </w:pPr>
      <w:r>
        <w:rPr>
          <w:rFonts w:hint="eastAsia" w:ascii="宋体" w:hAnsi="宋体" w:eastAsia="宋体" w:cs="仿宋_GB2312"/>
          <w:b/>
          <w:szCs w:val="21"/>
        </w:rPr>
        <w:t>（二）</w:t>
      </w:r>
      <w:r>
        <w:rPr>
          <w:rFonts w:ascii="宋体" w:hAnsi="宋体" w:eastAsia="宋体" w:cs="仿宋_GB2312"/>
          <w:b/>
          <w:szCs w:val="21"/>
        </w:rPr>
        <w:t>资格审查</w:t>
      </w:r>
    </w:p>
    <w:p w14:paraId="3CD19315">
      <w:pPr>
        <w:adjustRightInd w:val="0"/>
        <w:snapToGrid w:val="0"/>
        <w:spacing w:line="288" w:lineRule="auto"/>
        <w:ind w:firstLine="422" w:firstLineChars="201"/>
        <w:rPr>
          <w:rFonts w:hint="eastAsia" w:ascii="宋体" w:hAnsi="宋体" w:eastAsia="宋体" w:cs="仿宋_GB2312"/>
          <w:szCs w:val="21"/>
        </w:rPr>
      </w:pPr>
      <w:r>
        <w:rPr>
          <w:rFonts w:ascii="宋体" w:hAnsi="宋体" w:eastAsia="宋体" w:cs="Arial"/>
          <w:kern w:val="0"/>
          <w:szCs w:val="21"/>
        </w:rPr>
        <w:t>开标后，</w:t>
      </w:r>
      <w:r>
        <w:rPr>
          <w:rFonts w:hint="eastAsia" w:ascii="宋体" w:hAnsi="宋体" w:eastAsia="宋体" w:cs="仿宋_GB2312"/>
          <w:szCs w:val="21"/>
        </w:rPr>
        <w:t>采购人或采购代理机构依据法律法规和招标文件的规定，对投标人的资格条件进行审查。</w:t>
      </w:r>
    </w:p>
    <w:p w14:paraId="4F046E1C">
      <w:pPr>
        <w:pStyle w:val="99"/>
        <w:adjustRightInd w:val="0"/>
        <w:snapToGrid w:val="0"/>
        <w:spacing w:before="0" w:line="288" w:lineRule="auto"/>
        <w:ind w:firstLine="422" w:firstLineChars="201"/>
        <w:rPr>
          <w:rFonts w:hint="eastAsia" w:ascii="宋体" w:hAnsi="宋体" w:cs="仿宋_GB2312"/>
          <w:sz w:val="21"/>
          <w:szCs w:val="21"/>
        </w:rPr>
      </w:pPr>
      <w:r>
        <w:rPr>
          <w:rFonts w:ascii="宋体" w:hAnsi="宋体" w:cs="仿宋_GB2312"/>
          <w:sz w:val="21"/>
          <w:szCs w:val="21"/>
        </w:rPr>
        <w:t>对未通过资格审查的投标人，采购人或</w:t>
      </w:r>
      <w:r>
        <w:rPr>
          <w:rFonts w:hint="eastAsia" w:ascii="宋体" w:hAnsi="宋体" w:cs="仿宋_GB2312"/>
          <w:sz w:val="21"/>
          <w:szCs w:val="21"/>
        </w:rPr>
        <w:t>采购代理机构</w:t>
      </w:r>
      <w:r>
        <w:rPr>
          <w:rFonts w:ascii="宋体" w:hAnsi="宋体" w:cs="仿宋_GB2312"/>
          <w:sz w:val="21"/>
          <w:szCs w:val="21"/>
        </w:rPr>
        <w:t>告知其未通过的原因。</w:t>
      </w:r>
    </w:p>
    <w:p w14:paraId="78010E12">
      <w:pPr>
        <w:pStyle w:val="99"/>
        <w:adjustRightInd w:val="0"/>
        <w:snapToGrid w:val="0"/>
        <w:spacing w:before="0" w:line="288" w:lineRule="auto"/>
        <w:ind w:firstLine="422" w:firstLineChars="201"/>
        <w:rPr>
          <w:rFonts w:hint="eastAsia" w:ascii="宋体" w:hAnsi="宋体" w:cs="仿宋_GB2312"/>
          <w:sz w:val="21"/>
          <w:szCs w:val="21"/>
        </w:rPr>
      </w:pPr>
      <w:r>
        <w:rPr>
          <w:rFonts w:ascii="宋体" w:hAnsi="宋体" w:cs="仿宋_GB2312"/>
          <w:sz w:val="21"/>
          <w:szCs w:val="21"/>
        </w:rPr>
        <w:t>通过资格审查的投标人不足3家的，不再评标。</w:t>
      </w:r>
    </w:p>
    <w:p w14:paraId="5B85C9F0">
      <w:pPr>
        <w:pStyle w:val="99"/>
        <w:adjustRightInd w:val="0"/>
        <w:snapToGrid w:val="0"/>
        <w:spacing w:before="0" w:line="288" w:lineRule="auto"/>
        <w:ind w:firstLine="424" w:firstLineChars="201"/>
        <w:rPr>
          <w:rFonts w:hint="eastAsia" w:ascii="宋体" w:hAnsi="宋体" w:cs="仿宋_GB2312"/>
          <w:b/>
          <w:sz w:val="21"/>
          <w:szCs w:val="21"/>
        </w:rPr>
      </w:pPr>
      <w:r>
        <w:rPr>
          <w:rFonts w:hint="eastAsia" w:ascii="宋体" w:hAnsi="宋体" w:cs="仿宋_GB2312"/>
          <w:b/>
          <w:sz w:val="21"/>
          <w:szCs w:val="21"/>
        </w:rPr>
        <w:t>（三）</w:t>
      </w:r>
      <w:r>
        <w:rPr>
          <w:rFonts w:ascii="宋体" w:hAnsi="宋体" w:cs="仿宋_GB2312"/>
          <w:b/>
          <w:sz w:val="21"/>
          <w:szCs w:val="21"/>
        </w:rPr>
        <w:t>信用信息查询</w:t>
      </w:r>
    </w:p>
    <w:p w14:paraId="36A0F0B4">
      <w:pPr>
        <w:pStyle w:val="99"/>
        <w:adjustRightInd w:val="0"/>
        <w:snapToGrid w:val="0"/>
        <w:spacing w:before="0" w:line="288" w:lineRule="auto"/>
        <w:ind w:firstLine="422" w:firstLineChars="201"/>
        <w:jc w:val="left"/>
        <w:rPr>
          <w:rFonts w:hint="eastAsia" w:ascii="宋体" w:hAnsi="宋体" w:cs="Arial"/>
          <w:kern w:val="0"/>
          <w:sz w:val="21"/>
          <w:szCs w:val="21"/>
        </w:rPr>
      </w:pPr>
      <w:r>
        <w:rPr>
          <w:rFonts w:hint="eastAsia" w:ascii="宋体" w:hAnsi="宋体" w:cs="Arial"/>
          <w:kern w:val="0"/>
          <w:sz w:val="21"/>
          <w:szCs w:val="21"/>
        </w:rPr>
        <w:t>根据财库</w:t>
      </w:r>
      <w:r>
        <w:rPr>
          <w:rFonts w:ascii="宋体" w:hAnsi="宋体" w:cs="Arial"/>
          <w:kern w:val="0"/>
          <w:sz w:val="21"/>
          <w:szCs w:val="21"/>
        </w:rPr>
        <w:t>[2016]125号《关于在政府采购活动中查询及使用信用记录有关问题的通知》要求，采购代理机构会对投标人信用记录进行查询并甄别。信用信息查询的截止时点：投标截止时间；</w:t>
      </w:r>
    </w:p>
    <w:p w14:paraId="573EEE2C">
      <w:pPr>
        <w:pStyle w:val="99"/>
        <w:adjustRightInd w:val="0"/>
        <w:snapToGrid w:val="0"/>
        <w:spacing w:before="0" w:line="288" w:lineRule="auto"/>
        <w:ind w:firstLine="422" w:firstLineChars="201"/>
        <w:jc w:val="left"/>
        <w:rPr>
          <w:rFonts w:hint="eastAsia" w:ascii="宋体" w:hAnsi="宋体" w:cs="Arial"/>
          <w:kern w:val="0"/>
          <w:sz w:val="21"/>
          <w:szCs w:val="21"/>
        </w:rPr>
      </w:pPr>
      <w:r>
        <w:rPr>
          <w:rFonts w:hint="eastAsia" w:ascii="宋体" w:hAnsi="宋体" w:cs="Arial"/>
          <w:kern w:val="0"/>
          <w:sz w:val="21"/>
          <w:szCs w:val="21"/>
        </w:rPr>
        <w:t>（</w:t>
      </w:r>
      <w:r>
        <w:rPr>
          <w:rFonts w:ascii="宋体" w:hAnsi="宋体" w:cs="Arial"/>
          <w:kern w:val="0"/>
          <w:sz w:val="21"/>
          <w:szCs w:val="21"/>
        </w:rPr>
        <w:t>1）查询渠道：“信用中国”（www.creditchina.gov.cn）、“中国政府采购网”（www.ccgp.gov.cn）；</w:t>
      </w:r>
    </w:p>
    <w:p w14:paraId="24440473">
      <w:pPr>
        <w:pStyle w:val="99"/>
        <w:adjustRightInd w:val="0"/>
        <w:snapToGrid w:val="0"/>
        <w:spacing w:before="0" w:line="288" w:lineRule="auto"/>
        <w:ind w:firstLine="422" w:firstLineChars="201"/>
        <w:jc w:val="left"/>
        <w:rPr>
          <w:rFonts w:hint="eastAsia" w:ascii="宋体" w:hAnsi="宋体" w:cs="Arial"/>
          <w:kern w:val="0"/>
          <w:sz w:val="21"/>
          <w:szCs w:val="21"/>
        </w:rPr>
      </w:pPr>
      <w:r>
        <w:rPr>
          <w:rFonts w:hint="eastAsia" w:ascii="宋体" w:hAnsi="宋体" w:cs="Arial"/>
          <w:kern w:val="0"/>
          <w:sz w:val="21"/>
          <w:szCs w:val="21"/>
        </w:rPr>
        <w:t>（</w:t>
      </w:r>
      <w:r>
        <w:rPr>
          <w:rFonts w:ascii="宋体" w:hAnsi="宋体" w:cs="Arial"/>
          <w:kern w:val="0"/>
          <w:sz w:val="21"/>
          <w:szCs w:val="21"/>
        </w:rPr>
        <w:t>2）信用信息查询记录和证据留存具体方式：采购代理机构经办人和监督人员将查询网页打印、签名与其他采购文件一并保存；</w:t>
      </w:r>
    </w:p>
    <w:p w14:paraId="606B69EC">
      <w:pPr>
        <w:pStyle w:val="99"/>
        <w:adjustRightInd w:val="0"/>
        <w:snapToGrid w:val="0"/>
        <w:spacing w:before="0" w:line="288" w:lineRule="auto"/>
        <w:ind w:firstLine="422" w:firstLineChars="201"/>
        <w:jc w:val="left"/>
        <w:rPr>
          <w:rFonts w:hint="eastAsia" w:ascii="宋体" w:hAnsi="宋体" w:cs="Arial"/>
          <w:kern w:val="0"/>
          <w:sz w:val="21"/>
          <w:szCs w:val="21"/>
        </w:rPr>
      </w:pPr>
      <w:r>
        <w:rPr>
          <w:rFonts w:hint="eastAsia" w:ascii="宋体" w:hAnsi="宋体" w:cs="Arial"/>
          <w:kern w:val="0"/>
          <w:sz w:val="21"/>
          <w:szCs w:val="21"/>
        </w:rPr>
        <w:t>（</w:t>
      </w:r>
      <w:r>
        <w:rPr>
          <w:rFonts w:ascii="宋体" w:hAnsi="宋体" w:cs="Arial"/>
          <w:kern w:val="0"/>
          <w:sz w:val="21"/>
          <w:szCs w:val="21"/>
        </w:rPr>
        <w:t>3）信用信息的使用规则：投标人被列入失信被执行人、重大税收违法案件当事人名单、政府采购严重违法失信行为记录名单的，拒绝其参与政府采购活动。</w:t>
      </w:r>
    </w:p>
    <w:p w14:paraId="13CB5AC7">
      <w:pPr>
        <w:pStyle w:val="99"/>
        <w:adjustRightInd w:val="0"/>
        <w:snapToGrid w:val="0"/>
        <w:spacing w:before="0" w:line="288" w:lineRule="auto"/>
        <w:ind w:firstLine="422" w:firstLineChars="201"/>
        <w:rPr>
          <w:rFonts w:hint="eastAsia" w:ascii="宋体" w:hAnsi="宋体" w:cs="仿宋_GB2312"/>
          <w:sz w:val="21"/>
          <w:szCs w:val="21"/>
        </w:rPr>
      </w:pPr>
      <w:r>
        <w:rPr>
          <w:rFonts w:ascii="宋体" w:hAnsi="宋体" w:cs="Arial"/>
          <w:kern w:val="0"/>
          <w:sz w:val="21"/>
          <w:szCs w:val="21"/>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仿宋_GB2312"/>
          <w:sz w:val="21"/>
          <w:szCs w:val="21"/>
        </w:rPr>
        <w:t>。</w:t>
      </w:r>
    </w:p>
    <w:p w14:paraId="7B66482D">
      <w:pPr>
        <w:adjustRightInd w:val="0"/>
        <w:snapToGrid w:val="0"/>
        <w:spacing w:line="288" w:lineRule="auto"/>
        <w:ind w:firstLine="398" w:firstLineChars="200"/>
        <w:rPr>
          <w:rFonts w:hint="eastAsia" w:ascii="宋体" w:hAnsi="宋体" w:eastAsia="宋体" w:cs="Times New Roman"/>
          <w:b/>
          <w:bCs/>
          <w:spacing w:val="-6"/>
          <w:szCs w:val="21"/>
        </w:rPr>
      </w:pPr>
    </w:p>
    <w:p w14:paraId="1DEBD5EB">
      <w:pPr>
        <w:adjustRightInd w:val="0"/>
        <w:snapToGrid w:val="0"/>
        <w:spacing w:line="288" w:lineRule="auto"/>
        <w:ind w:firstLine="398" w:firstLineChars="200"/>
        <w:rPr>
          <w:rFonts w:hint="eastAsia" w:ascii="宋体" w:hAnsi="宋体" w:eastAsia="宋体" w:cs="Times New Roman"/>
          <w:b/>
          <w:bCs/>
          <w:spacing w:val="-6"/>
          <w:szCs w:val="21"/>
        </w:rPr>
      </w:pPr>
      <w:r>
        <w:rPr>
          <w:rFonts w:hint="eastAsia" w:ascii="宋体" w:hAnsi="宋体" w:eastAsia="宋体" w:cs="Times New Roman"/>
          <w:b/>
          <w:bCs/>
          <w:spacing w:val="-6"/>
          <w:szCs w:val="21"/>
        </w:rPr>
        <w:t>特别说明：如遇政府采购云平台电子化开标或评审程序调整的，按调整后程序执行。</w:t>
      </w:r>
    </w:p>
    <w:bookmarkEnd w:id="53"/>
    <w:p w14:paraId="7B7A5DAD">
      <w:pPr>
        <w:adjustRightInd w:val="0"/>
        <w:snapToGrid w:val="0"/>
        <w:spacing w:line="288" w:lineRule="auto"/>
        <w:jc w:val="center"/>
        <w:outlineLvl w:val="1"/>
        <w:rPr>
          <w:rFonts w:hint="eastAsia" w:ascii="宋体" w:hAnsi="宋体" w:eastAsia="宋体" w:cs="Times New Roman"/>
          <w:b/>
          <w:spacing w:val="-6"/>
          <w:szCs w:val="21"/>
        </w:rPr>
      </w:pPr>
      <w:r>
        <w:rPr>
          <w:rFonts w:ascii="宋体" w:hAnsi="宋体" w:eastAsia="宋体" w:cs="Times New Roman"/>
          <w:b/>
          <w:spacing w:val="-6"/>
          <w:szCs w:val="21"/>
        </w:rPr>
        <w:br w:type="page"/>
      </w:r>
      <w:r>
        <w:rPr>
          <w:rFonts w:hint="eastAsia" w:ascii="宋体" w:hAnsi="宋体" w:eastAsia="宋体" w:cs="Times New Roman"/>
          <w:b/>
          <w:spacing w:val="-6"/>
          <w:szCs w:val="21"/>
        </w:rPr>
        <w:t>六、评  标</w:t>
      </w:r>
    </w:p>
    <w:p w14:paraId="2068B6BA">
      <w:pPr>
        <w:adjustRightInd w:val="0"/>
        <w:snapToGrid w:val="0"/>
        <w:spacing w:line="288" w:lineRule="auto"/>
        <w:ind w:firstLine="420" w:firstLineChars="200"/>
        <w:rPr>
          <w:rFonts w:hint="eastAsia" w:ascii="宋体" w:hAnsi="宋体" w:eastAsia="宋体" w:cs="宋体"/>
          <w:kern w:val="0"/>
          <w:szCs w:val="21"/>
        </w:rPr>
      </w:pPr>
      <w:bookmarkStart w:id="54" w:name="_Hlk94018958"/>
      <w:r>
        <w:rPr>
          <w:rFonts w:ascii="宋体" w:hAnsi="宋体" w:eastAsia="宋体" w:cs="宋体"/>
          <w:kern w:val="0"/>
          <w:szCs w:val="21"/>
        </w:rPr>
        <w:t>评标委员会成员应当按照客观、公正、审慎的原则，根据招标文件规定的评标程序、评标方法和评标标准进行独立评审。招标文件内容违反国家有关强制性规定的，评标委员会应当停止评标并向采购人或者采购代理机构说明情况。</w:t>
      </w:r>
    </w:p>
    <w:p w14:paraId="6C36C13A">
      <w:pPr>
        <w:adjustRightInd w:val="0"/>
        <w:snapToGrid w:val="0"/>
        <w:spacing w:line="288" w:lineRule="auto"/>
        <w:ind w:firstLine="420" w:firstLineChars="200"/>
        <w:rPr>
          <w:rFonts w:hint="eastAsia" w:ascii="宋体" w:hAnsi="宋体" w:eastAsia="宋体" w:cs="宋体"/>
          <w:kern w:val="0"/>
          <w:szCs w:val="21"/>
        </w:rPr>
      </w:pPr>
      <w:r>
        <w:rPr>
          <w:rFonts w:ascii="宋体" w:hAnsi="宋体" w:eastAsia="宋体" w:cs="宋体"/>
          <w:kern w:val="0"/>
          <w:szCs w:val="21"/>
        </w:rPr>
        <w:t>评标中因评标委员会成员缺席、回避或者健康等特殊原因导致评标委员会组成不符合规定的，依法补足后继续评标。被更换的评标委员会成员所作出的评标意见无效。</w:t>
      </w:r>
    </w:p>
    <w:bookmarkEnd w:id="54"/>
    <w:p w14:paraId="0B9FCF1A">
      <w:pPr>
        <w:adjustRightInd w:val="0"/>
        <w:snapToGrid w:val="0"/>
        <w:spacing w:line="288" w:lineRule="auto"/>
        <w:ind w:firstLine="426" w:firstLineChars="202"/>
        <w:rPr>
          <w:rFonts w:hint="eastAsia" w:ascii="宋体" w:hAnsi="宋体" w:eastAsia="宋体" w:cs="Arial"/>
          <w:b/>
          <w:kern w:val="0"/>
          <w:szCs w:val="21"/>
        </w:rPr>
      </w:pPr>
      <w:bookmarkStart w:id="55" w:name="_Hlk94019000"/>
      <w:r>
        <w:rPr>
          <w:rFonts w:hint="eastAsia" w:ascii="宋体" w:hAnsi="宋体" w:eastAsia="宋体" w:cs="Arial"/>
          <w:b/>
          <w:kern w:val="0"/>
          <w:szCs w:val="21"/>
        </w:rPr>
        <w:t>（一）</w:t>
      </w:r>
      <w:r>
        <w:rPr>
          <w:rFonts w:ascii="宋体" w:hAnsi="宋体" w:eastAsia="宋体" w:cs="Arial"/>
          <w:b/>
          <w:kern w:val="0"/>
          <w:szCs w:val="21"/>
        </w:rPr>
        <w:t>符合性审查</w:t>
      </w:r>
    </w:p>
    <w:p w14:paraId="0CD8C3D5">
      <w:pPr>
        <w:adjustRightInd w:val="0"/>
        <w:snapToGrid w:val="0"/>
        <w:spacing w:line="288" w:lineRule="auto"/>
        <w:ind w:firstLine="424" w:firstLineChars="202"/>
        <w:rPr>
          <w:rFonts w:hint="eastAsia" w:ascii="宋体" w:hAnsi="宋体" w:eastAsia="宋体" w:cs="Arial"/>
          <w:kern w:val="0"/>
          <w:szCs w:val="21"/>
        </w:rPr>
      </w:pPr>
      <w:r>
        <w:rPr>
          <w:rFonts w:ascii="宋体" w:hAnsi="宋体" w:eastAsia="宋体" w:cs="Arial"/>
          <w:kern w:val="0"/>
          <w:szCs w:val="21"/>
        </w:rPr>
        <w:t>评标委员会对符合资格的投标人的投标文件进行符合性审查，以确定其是否满足招标文件的实质性要求。</w:t>
      </w:r>
      <w:r>
        <w:rPr>
          <w:rFonts w:hint="eastAsia" w:ascii="宋体" w:hAnsi="宋体" w:eastAsia="宋体" w:cs="Arial"/>
          <w:kern w:val="0"/>
          <w:szCs w:val="21"/>
        </w:rPr>
        <w:t>不</w:t>
      </w:r>
      <w:r>
        <w:rPr>
          <w:rFonts w:ascii="宋体" w:hAnsi="宋体" w:eastAsia="宋体" w:cs="Arial"/>
          <w:kern w:val="0"/>
          <w:szCs w:val="21"/>
        </w:rPr>
        <w:t>满足招标文件的实质性要求</w:t>
      </w:r>
      <w:r>
        <w:rPr>
          <w:rFonts w:hint="eastAsia" w:ascii="宋体" w:hAnsi="宋体" w:eastAsia="宋体" w:cs="Arial"/>
          <w:kern w:val="0"/>
          <w:szCs w:val="21"/>
        </w:rPr>
        <w:t>的，投标无效。</w:t>
      </w:r>
    </w:p>
    <w:p w14:paraId="72DD7C5F">
      <w:pPr>
        <w:adjustRightInd w:val="0"/>
        <w:snapToGrid w:val="0"/>
        <w:spacing w:line="288" w:lineRule="auto"/>
        <w:ind w:firstLine="426" w:firstLineChars="202"/>
        <w:rPr>
          <w:rFonts w:hint="eastAsia" w:ascii="宋体" w:hAnsi="宋体" w:eastAsia="宋体" w:cs="Arial"/>
          <w:b/>
          <w:kern w:val="0"/>
          <w:szCs w:val="21"/>
        </w:rPr>
      </w:pPr>
      <w:r>
        <w:rPr>
          <w:rFonts w:hint="eastAsia" w:ascii="宋体" w:hAnsi="宋体" w:eastAsia="宋体" w:cs="Arial"/>
          <w:b/>
          <w:kern w:val="0"/>
          <w:szCs w:val="21"/>
        </w:rPr>
        <w:t>（二）比较与评价</w:t>
      </w:r>
    </w:p>
    <w:p w14:paraId="35F938FB">
      <w:pPr>
        <w:adjustRightInd w:val="0"/>
        <w:snapToGrid w:val="0"/>
        <w:spacing w:line="288" w:lineRule="auto"/>
        <w:ind w:firstLine="424" w:firstLineChars="202"/>
        <w:rPr>
          <w:rFonts w:hint="eastAsia" w:ascii="宋体" w:hAnsi="宋体" w:eastAsia="宋体" w:cs="Arial"/>
          <w:kern w:val="0"/>
          <w:szCs w:val="21"/>
        </w:rPr>
      </w:pPr>
      <w:r>
        <w:rPr>
          <w:rFonts w:ascii="宋体" w:hAnsi="宋体" w:eastAsia="宋体" w:cs="Arial"/>
          <w:kern w:val="0"/>
          <w:szCs w:val="21"/>
        </w:rPr>
        <w:t>评标委员会按照招标文件中规定的评标方法和标准，对符合性审查合格的投标文件进行商务和技术评估，综合比较与评价。</w:t>
      </w:r>
    </w:p>
    <w:p w14:paraId="350BC163">
      <w:pPr>
        <w:adjustRightInd w:val="0"/>
        <w:snapToGrid w:val="0"/>
        <w:spacing w:line="288" w:lineRule="auto"/>
        <w:ind w:firstLine="424" w:firstLineChars="202"/>
        <w:rPr>
          <w:rFonts w:hint="eastAsia" w:ascii="宋体" w:hAnsi="宋体" w:eastAsia="宋体" w:cs="Arial"/>
          <w:kern w:val="0"/>
          <w:szCs w:val="21"/>
        </w:rPr>
      </w:pPr>
      <w:r>
        <w:rPr>
          <w:rFonts w:hint="eastAsia" w:ascii="宋体" w:hAnsi="宋体" w:eastAsia="宋体" w:cs="Arial"/>
          <w:kern w:val="0"/>
          <w:szCs w:val="21"/>
        </w:rPr>
        <w:t>现场监督员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1F06C264">
      <w:pPr>
        <w:adjustRightInd w:val="0"/>
        <w:snapToGrid w:val="0"/>
        <w:spacing w:line="288" w:lineRule="auto"/>
        <w:ind w:firstLine="426" w:firstLineChars="202"/>
        <w:rPr>
          <w:rFonts w:hint="eastAsia" w:ascii="宋体" w:hAnsi="宋体" w:eastAsia="宋体" w:cs="Arial"/>
          <w:b/>
          <w:kern w:val="0"/>
          <w:szCs w:val="21"/>
        </w:rPr>
      </w:pPr>
      <w:r>
        <w:rPr>
          <w:rFonts w:hint="eastAsia" w:ascii="宋体" w:hAnsi="宋体" w:eastAsia="宋体" w:cs="Arial"/>
          <w:b/>
          <w:kern w:val="0"/>
          <w:szCs w:val="21"/>
        </w:rPr>
        <w:t>（三）</w:t>
      </w:r>
      <w:r>
        <w:rPr>
          <w:rFonts w:ascii="宋体" w:hAnsi="宋体" w:eastAsia="宋体" w:cs="Arial"/>
          <w:b/>
          <w:kern w:val="0"/>
          <w:szCs w:val="21"/>
        </w:rPr>
        <w:t>汇总商务技术得分</w:t>
      </w:r>
    </w:p>
    <w:p w14:paraId="615C3E7B">
      <w:pPr>
        <w:adjustRightInd w:val="0"/>
        <w:snapToGrid w:val="0"/>
        <w:spacing w:line="288" w:lineRule="auto"/>
        <w:ind w:firstLine="424" w:firstLineChars="202"/>
        <w:rPr>
          <w:rFonts w:hint="eastAsia" w:ascii="宋体" w:hAnsi="宋体" w:eastAsia="宋体" w:cs="Arial"/>
          <w:kern w:val="0"/>
          <w:szCs w:val="21"/>
        </w:rPr>
      </w:pPr>
      <w:r>
        <w:rPr>
          <w:rFonts w:hint="eastAsia" w:ascii="宋体" w:hAnsi="宋体" w:eastAsia="宋体" w:cs="Arial"/>
          <w:kern w:val="0"/>
          <w:szCs w:val="21"/>
        </w:rPr>
        <w:t>评标委员会各成员独立对每个投标人的商务和技术文件进行评价，并汇总商务技术得分情况。</w:t>
      </w:r>
    </w:p>
    <w:p w14:paraId="2AD5F1D1">
      <w:pPr>
        <w:adjustRightInd w:val="0"/>
        <w:snapToGrid w:val="0"/>
        <w:spacing w:line="288" w:lineRule="auto"/>
        <w:ind w:firstLine="426" w:firstLineChars="202"/>
        <w:rPr>
          <w:rFonts w:hint="eastAsia" w:ascii="宋体" w:hAnsi="宋体" w:eastAsia="宋体" w:cs="Arial"/>
          <w:b/>
          <w:kern w:val="0"/>
          <w:szCs w:val="21"/>
        </w:rPr>
      </w:pPr>
      <w:r>
        <w:rPr>
          <w:rFonts w:hint="eastAsia" w:ascii="宋体" w:hAnsi="宋体" w:eastAsia="宋体" w:cs="Arial"/>
          <w:b/>
          <w:kern w:val="0"/>
          <w:szCs w:val="21"/>
        </w:rPr>
        <w:t>（四）</w:t>
      </w:r>
      <w:r>
        <w:rPr>
          <w:rFonts w:ascii="宋体" w:hAnsi="宋体" w:eastAsia="宋体" w:cs="Arial"/>
          <w:b/>
          <w:kern w:val="0"/>
          <w:szCs w:val="21"/>
        </w:rPr>
        <w:t>报价评审</w:t>
      </w:r>
    </w:p>
    <w:p w14:paraId="6CAA9F70">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政府采购云平台上传的电子投标文件报价与政府采购云平台录入报价不一致的，以上传的电子投标文件报价为准。</w:t>
      </w:r>
    </w:p>
    <w:p w14:paraId="68B37496">
      <w:pPr>
        <w:adjustRightInd w:val="0"/>
        <w:snapToGrid w:val="0"/>
        <w:spacing w:line="288" w:lineRule="auto"/>
        <w:ind w:firstLine="426" w:firstLineChars="202"/>
        <w:rPr>
          <w:rFonts w:hint="eastAsia" w:ascii="宋体" w:hAnsi="宋体" w:eastAsia="宋体" w:cs="Arial"/>
          <w:b/>
          <w:kern w:val="0"/>
          <w:szCs w:val="21"/>
        </w:rPr>
      </w:pPr>
      <w:r>
        <w:rPr>
          <w:rFonts w:ascii="宋体" w:hAnsi="宋体" w:eastAsia="宋体" w:cs="Arial"/>
          <w:b/>
          <w:kern w:val="0"/>
          <w:szCs w:val="21"/>
        </w:rPr>
        <w:t>投标文件报价出现前后不一致的，按照下列规定修正：</w:t>
      </w:r>
    </w:p>
    <w:p w14:paraId="478C83B8">
      <w:pPr>
        <w:pStyle w:val="99"/>
        <w:adjustRightInd w:val="0"/>
        <w:snapToGrid w:val="0"/>
        <w:spacing w:before="0" w:line="288" w:lineRule="auto"/>
        <w:ind w:firstLine="424" w:firstLineChars="202"/>
        <w:rPr>
          <w:rFonts w:hint="eastAsia" w:ascii="宋体" w:hAnsi="宋体" w:cs="仿宋"/>
          <w:kern w:val="0"/>
          <w:sz w:val="21"/>
          <w:szCs w:val="21"/>
        </w:rPr>
      </w:pPr>
      <w:r>
        <w:rPr>
          <w:rFonts w:ascii="宋体" w:hAnsi="宋体" w:cs="仿宋"/>
          <w:kern w:val="0"/>
          <w:sz w:val="21"/>
          <w:szCs w:val="21"/>
        </w:rPr>
        <w:t>投标文件中开标一览表(报价表)内容与投标文件中相应内容不一致的，以开标一览表(报价表)为准；</w:t>
      </w:r>
    </w:p>
    <w:p w14:paraId="74A612E4">
      <w:pPr>
        <w:pStyle w:val="99"/>
        <w:adjustRightInd w:val="0"/>
        <w:snapToGrid w:val="0"/>
        <w:spacing w:before="0" w:line="288" w:lineRule="auto"/>
        <w:ind w:firstLine="424" w:firstLineChars="202"/>
        <w:rPr>
          <w:rFonts w:hint="eastAsia" w:ascii="宋体" w:hAnsi="宋体" w:cs="仿宋"/>
          <w:kern w:val="0"/>
          <w:sz w:val="21"/>
          <w:szCs w:val="21"/>
        </w:rPr>
      </w:pPr>
      <w:r>
        <w:rPr>
          <w:rFonts w:ascii="宋体" w:hAnsi="宋体" w:cs="仿宋"/>
          <w:kern w:val="0"/>
          <w:sz w:val="21"/>
          <w:szCs w:val="21"/>
        </w:rPr>
        <w:t>大写金额和小写金额不一致的，以大写金额为准；</w:t>
      </w:r>
    </w:p>
    <w:p w14:paraId="222FA7FF">
      <w:pPr>
        <w:pStyle w:val="99"/>
        <w:adjustRightInd w:val="0"/>
        <w:snapToGrid w:val="0"/>
        <w:spacing w:before="0" w:line="288" w:lineRule="auto"/>
        <w:ind w:firstLine="424" w:firstLineChars="202"/>
        <w:rPr>
          <w:rFonts w:hint="eastAsia" w:ascii="宋体" w:hAnsi="宋体" w:cs="仿宋"/>
          <w:kern w:val="0"/>
          <w:sz w:val="21"/>
          <w:szCs w:val="21"/>
        </w:rPr>
      </w:pPr>
      <w:r>
        <w:rPr>
          <w:rFonts w:ascii="宋体" w:hAnsi="宋体" w:cs="仿宋"/>
          <w:kern w:val="0"/>
          <w:sz w:val="21"/>
          <w:szCs w:val="21"/>
        </w:rPr>
        <w:t>单价金额小数点或者百分比有明显错位的，以开标一览表的总价为准，并修改单价；</w:t>
      </w:r>
    </w:p>
    <w:p w14:paraId="194C9C29">
      <w:pPr>
        <w:pStyle w:val="99"/>
        <w:adjustRightInd w:val="0"/>
        <w:snapToGrid w:val="0"/>
        <w:spacing w:before="0" w:line="288" w:lineRule="auto"/>
        <w:ind w:firstLine="424" w:firstLineChars="202"/>
        <w:rPr>
          <w:rFonts w:hint="eastAsia" w:ascii="宋体" w:hAnsi="宋体" w:cs="仿宋"/>
          <w:kern w:val="0"/>
          <w:sz w:val="21"/>
          <w:szCs w:val="21"/>
        </w:rPr>
      </w:pPr>
      <w:r>
        <w:rPr>
          <w:rFonts w:ascii="宋体" w:hAnsi="宋体" w:cs="仿宋"/>
          <w:kern w:val="0"/>
          <w:sz w:val="21"/>
          <w:szCs w:val="21"/>
        </w:rPr>
        <w:t>总价金额与按单价汇总金额不一致的，以单价金额计算结果为准。</w:t>
      </w:r>
    </w:p>
    <w:p w14:paraId="2B0F7F0D">
      <w:pPr>
        <w:pStyle w:val="99"/>
        <w:adjustRightInd w:val="0"/>
        <w:snapToGrid w:val="0"/>
        <w:spacing w:before="0" w:line="288" w:lineRule="auto"/>
        <w:ind w:firstLine="424" w:firstLineChars="202"/>
        <w:rPr>
          <w:rFonts w:hint="eastAsia" w:ascii="宋体" w:hAnsi="宋体" w:cs="仿宋"/>
          <w:kern w:val="0"/>
          <w:sz w:val="21"/>
          <w:szCs w:val="21"/>
        </w:rPr>
      </w:pPr>
      <w:r>
        <w:rPr>
          <w:rFonts w:hint="eastAsia" w:ascii="宋体" w:hAnsi="宋体" w:cs="仿宋"/>
          <w:kern w:val="0"/>
          <w:sz w:val="21"/>
          <w:szCs w:val="21"/>
        </w:rPr>
        <w:t>同时出现两种以上不一致的，按照前款规定的顺序修正。修正后的报价按照财政部第</w:t>
      </w:r>
      <w:r>
        <w:rPr>
          <w:rFonts w:ascii="宋体" w:hAnsi="宋体" w:cs="仿宋"/>
          <w:kern w:val="0"/>
          <w:sz w:val="21"/>
          <w:szCs w:val="21"/>
        </w:rPr>
        <w:t>87号令《政府采购货物和服务招标投标管理办法》第五十一条第二款的规定“投标人的澄清、说明或者补正应当采用书面形式，并加盖公章，或者由投标人代表签名。投标人的澄清、说明或者补正不得超出投标文件的范围或者改变投标文件的实质性内容。”经投标人确认后产生约束力。投标人不确认的，其投标无效。</w:t>
      </w:r>
    </w:p>
    <w:p w14:paraId="0C89EB5F">
      <w:pPr>
        <w:pStyle w:val="99"/>
        <w:adjustRightInd w:val="0"/>
        <w:snapToGrid w:val="0"/>
        <w:spacing w:before="0" w:line="288" w:lineRule="auto"/>
        <w:ind w:firstLine="424" w:firstLineChars="202"/>
        <w:rPr>
          <w:rFonts w:hint="eastAsia" w:ascii="宋体" w:hAnsi="宋体" w:cs="仿宋"/>
          <w:kern w:val="0"/>
          <w:sz w:val="21"/>
          <w:szCs w:val="21"/>
        </w:rPr>
      </w:pPr>
      <w:r>
        <w:rPr>
          <w:rFonts w:hint="eastAsia" w:ascii="宋体" w:hAnsi="宋体" w:cs="仿宋"/>
          <w:kern w:val="0"/>
          <w:sz w:val="21"/>
          <w:szCs w:val="21"/>
        </w:rPr>
        <w:t>投标人收到修正确认文件后，在规定时间内未做出回复的，视为不确认。</w:t>
      </w:r>
    </w:p>
    <w:p w14:paraId="2217403B">
      <w:pPr>
        <w:adjustRightInd w:val="0"/>
        <w:snapToGrid w:val="0"/>
        <w:spacing w:line="288" w:lineRule="auto"/>
        <w:ind w:firstLine="426" w:firstLineChars="202"/>
        <w:rPr>
          <w:rFonts w:hint="eastAsia" w:ascii="宋体" w:hAnsi="宋体" w:eastAsia="宋体" w:cs="Arial"/>
          <w:b/>
          <w:kern w:val="0"/>
          <w:szCs w:val="21"/>
        </w:rPr>
      </w:pPr>
      <w:r>
        <w:rPr>
          <w:rFonts w:hint="eastAsia" w:ascii="宋体" w:hAnsi="宋体" w:eastAsia="宋体" w:cs="Arial"/>
          <w:b/>
          <w:kern w:val="0"/>
          <w:szCs w:val="21"/>
        </w:rPr>
        <w:t>（五）投标人澄清、说明或者补正</w:t>
      </w:r>
    </w:p>
    <w:p w14:paraId="7107CB0E">
      <w:pPr>
        <w:pStyle w:val="99"/>
        <w:adjustRightInd w:val="0"/>
        <w:snapToGrid w:val="0"/>
        <w:spacing w:before="0" w:line="288" w:lineRule="auto"/>
        <w:ind w:firstLine="424" w:firstLineChars="202"/>
        <w:rPr>
          <w:rFonts w:hint="eastAsia" w:ascii="宋体" w:hAnsi="宋体" w:cs="Arial"/>
          <w:kern w:val="0"/>
          <w:sz w:val="21"/>
          <w:szCs w:val="21"/>
        </w:rPr>
      </w:pPr>
      <w:r>
        <w:rPr>
          <w:rFonts w:hint="eastAsia" w:ascii="宋体" w:hAnsi="宋体" w:cs="Arial"/>
          <w:kern w:val="0"/>
          <w:sz w:val="21"/>
          <w:szCs w:val="21"/>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305DE0F">
      <w:pPr>
        <w:adjustRightInd w:val="0"/>
        <w:snapToGrid w:val="0"/>
        <w:spacing w:line="288"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投标人的书面澄清、说明或者补正无法通过政府采购云平台上传的，可在规定时间内（不少于半小时）通过指定的电子邮箱（zb03@qszb.net</w:t>
      </w:r>
      <w:r>
        <w:rPr>
          <w:rFonts w:ascii="宋体" w:hAnsi="宋体" w:eastAsia="宋体" w:cs="宋体"/>
          <w:kern w:val="0"/>
          <w:szCs w:val="21"/>
        </w:rPr>
        <w:t>）或传真号码（0571-87666116）提交。</w:t>
      </w:r>
    </w:p>
    <w:p w14:paraId="2324B699">
      <w:pPr>
        <w:adjustRightInd w:val="0"/>
        <w:snapToGrid w:val="0"/>
        <w:spacing w:line="288" w:lineRule="auto"/>
        <w:ind w:firstLine="426" w:firstLineChars="202"/>
        <w:rPr>
          <w:rFonts w:hint="eastAsia" w:ascii="宋体" w:hAnsi="宋体" w:eastAsia="宋体" w:cs="Arial"/>
          <w:b/>
          <w:kern w:val="0"/>
          <w:szCs w:val="21"/>
        </w:rPr>
      </w:pPr>
      <w:r>
        <w:rPr>
          <w:rFonts w:hint="eastAsia" w:ascii="宋体" w:hAnsi="宋体" w:eastAsia="宋体" w:cs="Arial"/>
          <w:b/>
          <w:kern w:val="0"/>
          <w:szCs w:val="21"/>
        </w:rPr>
        <w:t>（六）排序与推荐</w:t>
      </w:r>
    </w:p>
    <w:p w14:paraId="527DDA8E">
      <w:pPr>
        <w:adjustRightInd w:val="0"/>
        <w:snapToGrid w:val="0"/>
        <w:spacing w:line="288" w:lineRule="auto"/>
        <w:ind w:firstLine="424" w:firstLineChars="202"/>
        <w:rPr>
          <w:rFonts w:hint="eastAsia" w:ascii="宋体" w:hAnsi="宋体" w:eastAsia="宋体" w:cs="Arial"/>
          <w:kern w:val="0"/>
          <w:szCs w:val="21"/>
        </w:rPr>
      </w:pPr>
      <w:r>
        <w:rPr>
          <w:rFonts w:hint="eastAsia" w:ascii="宋体" w:hAnsi="宋体" w:eastAsia="宋体" w:cs="Arial"/>
          <w:kern w:val="0"/>
          <w:szCs w:val="21"/>
        </w:rPr>
        <w:t>评标方法：本项目评标方法是综合评分法，具体评标方法和评标标准详见“第四章：评标方法和评标标准”。</w:t>
      </w:r>
    </w:p>
    <w:p w14:paraId="413664A9">
      <w:pPr>
        <w:adjustRightInd w:val="0"/>
        <w:snapToGrid w:val="0"/>
        <w:spacing w:line="288" w:lineRule="auto"/>
        <w:ind w:firstLine="424" w:firstLineChars="202"/>
        <w:rPr>
          <w:rFonts w:hint="eastAsia" w:ascii="宋体" w:hAnsi="宋体" w:eastAsia="宋体" w:cs="Times New Roman"/>
          <w:bCs/>
          <w:spacing w:val="-6"/>
          <w:szCs w:val="21"/>
        </w:rPr>
      </w:pPr>
      <w:r>
        <w:rPr>
          <w:rFonts w:ascii="宋体" w:hAnsi="宋体" w:eastAsia="宋体" w:cs="Arial"/>
          <w:kern w:val="0"/>
          <w:szCs w:val="21"/>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eastAsia="宋体" w:cs="Arial"/>
          <w:kern w:val="0"/>
          <w:szCs w:val="21"/>
        </w:rPr>
        <w:t>。本项目推荐</w:t>
      </w:r>
      <w:r>
        <w:rPr>
          <w:rFonts w:ascii="宋体" w:hAnsi="宋体" w:eastAsia="宋体" w:cs="Arial"/>
          <w:kern w:val="0"/>
          <w:szCs w:val="21"/>
        </w:rPr>
        <w:t>1</w:t>
      </w:r>
      <w:r>
        <w:rPr>
          <w:rFonts w:hint="eastAsia" w:ascii="宋体" w:hAnsi="宋体" w:eastAsia="宋体" w:cs="Arial"/>
          <w:kern w:val="0"/>
          <w:szCs w:val="21"/>
        </w:rPr>
        <w:t>名中标候选人。</w:t>
      </w:r>
    </w:p>
    <w:p w14:paraId="5EC07086">
      <w:pPr>
        <w:adjustRightInd w:val="0"/>
        <w:snapToGrid w:val="0"/>
        <w:spacing w:line="288" w:lineRule="auto"/>
        <w:ind w:firstLine="424" w:firstLineChars="202"/>
        <w:rPr>
          <w:rFonts w:hint="eastAsia" w:ascii="宋体" w:hAnsi="宋体" w:eastAsia="宋体" w:cs="Arial"/>
          <w:kern w:val="0"/>
          <w:szCs w:val="21"/>
        </w:rPr>
      </w:pPr>
      <w:r>
        <w:rPr>
          <w:rFonts w:hint="eastAsia" w:ascii="宋体" w:hAnsi="宋体" w:eastAsia="宋体" w:cs="Arial"/>
          <w:kern w:val="0"/>
          <w:szCs w:val="21"/>
        </w:rPr>
        <w:t>提供相同品牌产品且通过资格审查、符合性审查的不同投标人参加同一合同项下投标的，按一家投标人计算，评审后得分最高的同品牌投标人获得中标人推荐资格；评审得分相同的，按投标报价由低到高顺序排列。得分且投标报价相同的，由采购人确定一个投标人获得中标人推荐资格，其他同品牌投标人不作为中标候选人。</w:t>
      </w:r>
    </w:p>
    <w:p w14:paraId="17A9A950">
      <w:pPr>
        <w:adjustRightInd w:val="0"/>
        <w:snapToGrid w:val="0"/>
        <w:spacing w:line="288" w:lineRule="auto"/>
        <w:ind w:firstLine="424" w:firstLineChars="202"/>
        <w:rPr>
          <w:rFonts w:hint="eastAsia" w:ascii="宋体" w:hAnsi="宋体" w:eastAsia="宋体" w:cs="Arial"/>
          <w:kern w:val="0"/>
          <w:szCs w:val="21"/>
        </w:rPr>
      </w:pPr>
      <w:r>
        <w:rPr>
          <w:rFonts w:hint="eastAsia" w:ascii="宋体" w:hAnsi="宋体" w:eastAsia="宋体" w:cs="Arial"/>
          <w:kern w:val="0"/>
          <w:szCs w:val="21"/>
        </w:rPr>
        <w:t>非单一产品采购项目，采购人应当根据采购项目技术构成、产品价格比重等合理确定核心产品，并在招标文件中载明。多家投标人提供的核心产品品牌相同的，按前款规定处理。</w:t>
      </w:r>
    </w:p>
    <w:p w14:paraId="62D1135D">
      <w:pPr>
        <w:adjustRightInd w:val="0"/>
        <w:snapToGrid w:val="0"/>
        <w:spacing w:line="288" w:lineRule="auto"/>
        <w:ind w:firstLine="426" w:firstLineChars="202"/>
        <w:rPr>
          <w:rFonts w:hint="eastAsia" w:ascii="宋体" w:hAnsi="宋体" w:eastAsia="宋体" w:cs="Arial"/>
          <w:b/>
          <w:kern w:val="0"/>
          <w:szCs w:val="21"/>
        </w:rPr>
      </w:pPr>
      <w:r>
        <w:rPr>
          <w:rFonts w:hint="eastAsia" w:ascii="宋体" w:hAnsi="宋体" w:eastAsia="宋体" w:cs="Arial"/>
          <w:b/>
          <w:kern w:val="0"/>
          <w:szCs w:val="21"/>
        </w:rPr>
        <w:t>（七）</w:t>
      </w:r>
      <w:r>
        <w:rPr>
          <w:rFonts w:ascii="宋体" w:hAnsi="宋体" w:eastAsia="宋体" w:cs="Arial"/>
          <w:b/>
          <w:kern w:val="0"/>
          <w:szCs w:val="21"/>
        </w:rPr>
        <w:t>编写评标报告</w:t>
      </w:r>
    </w:p>
    <w:p w14:paraId="09E0C48F">
      <w:pPr>
        <w:adjustRightInd w:val="0"/>
        <w:snapToGrid w:val="0"/>
        <w:spacing w:line="288" w:lineRule="auto"/>
        <w:ind w:firstLine="424" w:firstLineChars="202"/>
        <w:rPr>
          <w:rFonts w:hint="eastAsia" w:ascii="宋体" w:hAnsi="宋体" w:eastAsia="宋体" w:cs="Arial"/>
          <w:kern w:val="0"/>
          <w:szCs w:val="21"/>
        </w:rPr>
      </w:pPr>
      <w:r>
        <w:rPr>
          <w:rFonts w:ascii="宋体" w:hAnsi="宋体" w:eastAsia="宋体" w:cs="Arial"/>
          <w:kern w:val="0"/>
          <w:szCs w:val="21"/>
        </w:rPr>
        <w:t>评标委员会根据全体评标成员签名的原始评标记录和评标结果编写评标报告。</w:t>
      </w:r>
      <w:r>
        <w:rPr>
          <w:rFonts w:hint="eastAsia" w:ascii="宋体" w:hAnsi="宋体" w:eastAsia="宋体" w:cs="Arial"/>
          <w:kern w:val="0"/>
          <w:szCs w:val="21"/>
        </w:rPr>
        <w:t>评标委员会成员对需要共同认定的事项存在争议的，应当按照少数服从多数的原则作出结论。持不同意见的评标委员会成员应当在评标报告上签署不同意见及理由，否则视为同意评标报告。</w:t>
      </w:r>
    </w:p>
    <w:bookmarkEnd w:id="55"/>
    <w:p w14:paraId="0EE15966">
      <w:pPr>
        <w:widowControl/>
        <w:adjustRightInd w:val="0"/>
        <w:snapToGrid w:val="0"/>
        <w:spacing w:line="288" w:lineRule="auto"/>
        <w:jc w:val="left"/>
        <w:rPr>
          <w:rFonts w:hint="eastAsia" w:ascii="宋体" w:hAnsi="宋体" w:eastAsia="宋体" w:cs="Times New Roman"/>
          <w:b/>
          <w:spacing w:val="-6"/>
          <w:szCs w:val="21"/>
        </w:rPr>
      </w:pPr>
      <w:r>
        <w:rPr>
          <w:rFonts w:ascii="宋体" w:hAnsi="宋体" w:eastAsia="宋体" w:cs="Times New Roman"/>
          <w:b/>
          <w:spacing w:val="-6"/>
          <w:szCs w:val="21"/>
        </w:rPr>
        <w:br w:type="page"/>
      </w:r>
    </w:p>
    <w:p w14:paraId="762F616A">
      <w:pPr>
        <w:adjustRightInd w:val="0"/>
        <w:snapToGrid w:val="0"/>
        <w:spacing w:line="288" w:lineRule="auto"/>
        <w:jc w:val="center"/>
        <w:outlineLvl w:val="1"/>
        <w:rPr>
          <w:rFonts w:hint="eastAsia" w:ascii="宋体" w:hAnsi="宋体" w:eastAsia="宋体" w:cs="Times New Roman"/>
          <w:b/>
          <w:spacing w:val="-6"/>
          <w:szCs w:val="21"/>
        </w:rPr>
      </w:pPr>
      <w:r>
        <w:rPr>
          <w:rFonts w:hint="eastAsia" w:ascii="宋体" w:hAnsi="宋体" w:eastAsia="宋体" w:cs="Times New Roman"/>
          <w:b/>
          <w:spacing w:val="-6"/>
          <w:szCs w:val="21"/>
        </w:rPr>
        <w:t>七、中标与合同</w:t>
      </w:r>
    </w:p>
    <w:p w14:paraId="12B904AA">
      <w:pPr>
        <w:adjustRightInd w:val="0"/>
        <w:snapToGrid w:val="0"/>
        <w:spacing w:line="288" w:lineRule="auto"/>
        <w:rPr>
          <w:rFonts w:hint="eastAsia" w:ascii="宋体" w:hAnsi="宋体" w:eastAsia="宋体" w:cs="Times New Roman"/>
          <w:b/>
          <w:spacing w:val="-6"/>
          <w:szCs w:val="21"/>
        </w:rPr>
      </w:pPr>
      <w:r>
        <w:rPr>
          <w:rFonts w:hint="eastAsia" w:ascii="宋体" w:hAnsi="宋体" w:eastAsia="宋体" w:cs="Times New Roman"/>
          <w:b/>
          <w:spacing w:val="-6"/>
          <w:szCs w:val="21"/>
        </w:rPr>
        <w:t>（一）中标</w:t>
      </w:r>
    </w:p>
    <w:p w14:paraId="5EF4A9A0">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1.采购代理机构应当在评标结束后</w:t>
      </w:r>
      <w:r>
        <w:rPr>
          <w:rFonts w:ascii="宋体" w:hAnsi="宋体" w:eastAsia="宋体" w:cs="Times New Roman"/>
          <w:spacing w:val="-6"/>
          <w:szCs w:val="21"/>
        </w:rPr>
        <w:t>2个工作日内将评标报告送采购人。</w:t>
      </w:r>
      <w:r>
        <w:rPr>
          <w:rFonts w:hint="eastAsia" w:ascii="宋体" w:hAnsi="宋体" w:eastAsia="宋体" w:cs="Times New Roman"/>
          <w:spacing w:val="-6"/>
          <w:szCs w:val="21"/>
        </w:rPr>
        <w:t>采购人应当自收到评标报告之日起</w:t>
      </w:r>
      <w:r>
        <w:rPr>
          <w:rFonts w:ascii="宋体" w:hAnsi="宋体" w:eastAsia="宋体" w:cs="Times New Roman"/>
          <w:spacing w:val="-6"/>
          <w:szCs w:val="21"/>
        </w:rPr>
        <w:t>5个工作日内，在评标报告确定的中标候选人名单中按顺序确定中标人</w:t>
      </w:r>
      <w:r>
        <w:rPr>
          <w:rFonts w:hint="eastAsia" w:ascii="宋体" w:hAnsi="宋体" w:eastAsia="宋体" w:cs="Times New Roman"/>
          <w:spacing w:val="-6"/>
          <w:szCs w:val="21"/>
        </w:rPr>
        <w:t>，也可以书面授权评标委员会直接确定中标人。</w:t>
      </w:r>
    </w:p>
    <w:p w14:paraId="6B1C3DFB">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2.采购代理机构自中标人确定之日起</w:t>
      </w:r>
      <w:r>
        <w:rPr>
          <w:rFonts w:ascii="宋体" w:hAnsi="宋体" w:eastAsia="宋体" w:cs="Times New Roman"/>
          <w:spacing w:val="-6"/>
          <w:szCs w:val="21"/>
        </w:rPr>
        <w:t>2</w:t>
      </w:r>
      <w:r>
        <w:rPr>
          <w:rFonts w:hint="eastAsia" w:ascii="宋体" w:hAnsi="宋体" w:eastAsia="宋体" w:cs="Times New Roman"/>
          <w:spacing w:val="-6"/>
          <w:szCs w:val="21"/>
        </w:rPr>
        <w:t>个工作日内，公告中标结果，并发出中标通知书。</w:t>
      </w:r>
    </w:p>
    <w:p w14:paraId="3582C4BD">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3</w:t>
      </w:r>
      <w:r>
        <w:rPr>
          <w:rFonts w:ascii="宋体" w:hAnsi="宋体" w:eastAsia="宋体" w:cs="Times New Roman"/>
          <w:spacing w:val="-6"/>
          <w:szCs w:val="21"/>
        </w:rPr>
        <w:t>.</w:t>
      </w:r>
      <w:r>
        <w:rPr>
          <w:rFonts w:hint="eastAsia" w:ascii="宋体" w:hAnsi="宋体" w:eastAsia="宋体" w:cs="Times New Roman"/>
          <w:szCs w:val="21"/>
        </w:rPr>
        <w:t>评标结果公示媒体：浙江政府采购网（http://zfcg.czt.zj.gov.cn）。</w:t>
      </w:r>
    </w:p>
    <w:p w14:paraId="74C2588E">
      <w:pPr>
        <w:adjustRightInd w:val="0"/>
        <w:snapToGrid w:val="0"/>
        <w:spacing w:line="288" w:lineRule="auto"/>
        <w:rPr>
          <w:rFonts w:hint="eastAsia" w:ascii="宋体" w:hAnsi="宋体" w:eastAsia="宋体" w:cs="Times New Roman"/>
          <w:b/>
          <w:spacing w:val="-6"/>
          <w:szCs w:val="21"/>
        </w:rPr>
      </w:pPr>
      <w:r>
        <w:rPr>
          <w:rFonts w:hint="eastAsia" w:ascii="宋体" w:hAnsi="宋体" w:eastAsia="宋体" w:cs="Times New Roman"/>
          <w:b/>
          <w:spacing w:val="-6"/>
          <w:szCs w:val="21"/>
        </w:rPr>
        <w:t>（二）合同</w:t>
      </w:r>
    </w:p>
    <w:p w14:paraId="5ECC2DE1">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1</w:t>
      </w:r>
      <w:r>
        <w:rPr>
          <w:rFonts w:ascii="宋体" w:hAnsi="宋体" w:eastAsia="宋体" w:cs="Times New Roman"/>
          <w:spacing w:val="-6"/>
          <w:szCs w:val="21"/>
        </w:rPr>
        <w:t>.</w:t>
      </w:r>
      <w:r>
        <w:rPr>
          <w:rFonts w:hint="eastAsia" w:ascii="宋体" w:hAnsi="宋体" w:eastAsia="宋体" w:cs="Times New Roman"/>
          <w:spacing w:val="-6"/>
          <w:szCs w:val="21"/>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5A08F8F6">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2.中标后无正当理由拒不与采购人签订政府采购合同，将被取消中标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14:paraId="2543E89C">
      <w:pPr>
        <w:adjustRightInd w:val="0"/>
        <w:snapToGrid w:val="0"/>
        <w:spacing w:line="288" w:lineRule="auto"/>
        <w:ind w:firstLine="396" w:firstLineChars="200"/>
        <w:rPr>
          <w:rFonts w:hint="eastAsia" w:ascii="宋体" w:hAnsi="宋体" w:eastAsia="宋体" w:cs="Times New Roman"/>
          <w:spacing w:val="-6"/>
          <w:szCs w:val="21"/>
        </w:rPr>
      </w:pPr>
    </w:p>
    <w:p w14:paraId="393F6A16">
      <w:pPr>
        <w:adjustRightInd w:val="0"/>
        <w:snapToGrid w:val="0"/>
        <w:spacing w:line="288" w:lineRule="auto"/>
        <w:jc w:val="center"/>
        <w:outlineLvl w:val="1"/>
        <w:rPr>
          <w:rFonts w:hint="eastAsia" w:ascii="宋体" w:hAnsi="宋体" w:eastAsia="宋体" w:cs="Times New Roman"/>
          <w:b/>
          <w:spacing w:val="-6"/>
          <w:szCs w:val="21"/>
        </w:rPr>
      </w:pPr>
      <w:r>
        <w:rPr>
          <w:rFonts w:hint="eastAsia" w:ascii="宋体" w:hAnsi="宋体" w:eastAsia="宋体" w:cs="Times New Roman"/>
          <w:b/>
          <w:spacing w:val="-6"/>
          <w:szCs w:val="21"/>
        </w:rPr>
        <w:t>八、</w:t>
      </w:r>
      <w:r>
        <w:rPr>
          <w:rFonts w:ascii="宋体" w:hAnsi="宋体" w:eastAsia="宋体" w:cs="Times New Roman"/>
          <w:b/>
          <w:spacing w:val="-6"/>
          <w:szCs w:val="21"/>
        </w:rPr>
        <w:t>验</w:t>
      </w:r>
      <w:r>
        <w:rPr>
          <w:rFonts w:hint="eastAsia" w:ascii="宋体" w:hAnsi="宋体" w:eastAsia="宋体" w:cs="Times New Roman"/>
          <w:b/>
          <w:spacing w:val="-6"/>
          <w:szCs w:val="21"/>
        </w:rPr>
        <w:t xml:space="preserve"> </w:t>
      </w:r>
      <w:r>
        <w:rPr>
          <w:rFonts w:ascii="宋体" w:hAnsi="宋体" w:eastAsia="宋体" w:cs="Times New Roman"/>
          <w:b/>
          <w:spacing w:val="-6"/>
          <w:szCs w:val="21"/>
        </w:rPr>
        <w:t xml:space="preserve"> 收</w:t>
      </w:r>
    </w:p>
    <w:p w14:paraId="50D5976C">
      <w:pPr>
        <w:tabs>
          <w:tab w:val="left" w:pos="0"/>
        </w:tabs>
        <w:adjustRightInd w:val="0"/>
        <w:snapToGrid w:val="0"/>
        <w:spacing w:line="288" w:lineRule="auto"/>
        <w:ind w:firstLine="422" w:firstLineChars="201"/>
        <w:rPr>
          <w:rFonts w:hint="eastAsia" w:ascii="宋体" w:hAnsi="宋体" w:eastAsia="宋体" w:cs="Helvetica"/>
          <w:kern w:val="0"/>
          <w:szCs w:val="21"/>
        </w:rPr>
      </w:pPr>
      <w:r>
        <w:rPr>
          <w:rFonts w:ascii="宋体" w:hAnsi="宋体" w:eastAsia="宋体" w:cs="Helvetica"/>
          <w:kern w:val="0"/>
          <w:szCs w:val="21"/>
        </w:rPr>
        <w:t>采购人组织对供应商履约的验收。大型或者复杂的政府采购项目，应当邀请国家认可的质量检测机构参加验收工作。验收方成员应当在验收书上签名，并承担相应的法律责任。如果发现与合同中要求不符，供应商须承担由此发生的一切损失和费用，并接受相应的处理。</w:t>
      </w:r>
    </w:p>
    <w:p w14:paraId="2D1EE460">
      <w:pPr>
        <w:tabs>
          <w:tab w:val="left" w:pos="0"/>
        </w:tabs>
        <w:adjustRightInd w:val="0"/>
        <w:snapToGrid w:val="0"/>
        <w:spacing w:line="288" w:lineRule="auto"/>
        <w:ind w:firstLine="422" w:firstLineChars="201"/>
        <w:rPr>
          <w:rFonts w:hint="eastAsia" w:ascii="宋体" w:hAnsi="宋体" w:eastAsia="宋体" w:cs="Helvetica"/>
          <w:kern w:val="0"/>
          <w:szCs w:val="21"/>
        </w:rPr>
      </w:pPr>
      <w:r>
        <w:rPr>
          <w:rFonts w:ascii="宋体" w:hAnsi="宋体" w:eastAsia="宋体" w:cs="Helvetica"/>
          <w:kern w:val="0"/>
          <w:szCs w:val="21"/>
        </w:rPr>
        <w:t>采购人可以邀请参加本项目的其他投标人或者第三方机构参与验收。参与验收的投标人或者第三方机构的意见作为</w:t>
      </w:r>
      <w:r>
        <w:rPr>
          <w:rFonts w:hint="eastAsia" w:ascii="宋体" w:hAnsi="宋体" w:eastAsia="宋体" w:cs="Helvetica"/>
          <w:kern w:val="0"/>
          <w:szCs w:val="21"/>
        </w:rPr>
        <w:t>验收书的参考资料一并存档。</w:t>
      </w:r>
    </w:p>
    <w:p w14:paraId="152BFE0F">
      <w:pPr>
        <w:tabs>
          <w:tab w:val="left" w:pos="0"/>
        </w:tabs>
        <w:adjustRightInd w:val="0"/>
        <w:snapToGrid w:val="0"/>
        <w:spacing w:line="288" w:lineRule="auto"/>
        <w:ind w:firstLine="422" w:firstLineChars="201"/>
        <w:rPr>
          <w:rFonts w:hint="eastAsia" w:ascii="宋体" w:hAnsi="宋体" w:eastAsia="宋体" w:cs="Helvetica"/>
          <w:kern w:val="0"/>
          <w:szCs w:val="21"/>
        </w:rPr>
      </w:pPr>
      <w:r>
        <w:rPr>
          <w:rFonts w:ascii="宋体" w:hAnsi="宋体" w:eastAsia="宋体" w:cs="Helvetica"/>
          <w:kern w:val="0"/>
          <w:szCs w:val="21"/>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3BE4E5B">
      <w:pPr>
        <w:tabs>
          <w:tab w:val="left" w:pos="0"/>
        </w:tabs>
        <w:adjustRightInd w:val="0"/>
        <w:snapToGrid w:val="0"/>
        <w:spacing w:line="288" w:lineRule="auto"/>
        <w:ind w:firstLine="422" w:firstLineChars="201"/>
        <w:rPr>
          <w:rFonts w:hint="eastAsia" w:ascii="宋体" w:hAnsi="宋体" w:eastAsia="宋体" w:cs="Helvetica"/>
          <w:kern w:val="0"/>
          <w:szCs w:val="21"/>
        </w:rPr>
      </w:pPr>
      <w:r>
        <w:rPr>
          <w:rFonts w:ascii="宋体" w:hAnsi="宋体" w:eastAsia="宋体" w:cs="Helvetica"/>
          <w:kern w:val="0"/>
          <w:szCs w:val="21"/>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6D0C8C8">
      <w:pPr>
        <w:tabs>
          <w:tab w:val="left" w:pos="0"/>
        </w:tabs>
        <w:adjustRightInd w:val="0"/>
        <w:snapToGrid w:val="0"/>
        <w:spacing w:line="288" w:lineRule="auto"/>
        <w:ind w:firstLine="400" w:firstLineChars="201"/>
        <w:rPr>
          <w:rFonts w:hint="eastAsia" w:ascii="宋体" w:hAnsi="宋体" w:eastAsia="宋体" w:cs="Times New Roman"/>
          <w:b/>
          <w:spacing w:val="-6"/>
          <w:szCs w:val="21"/>
        </w:rPr>
      </w:pPr>
    </w:p>
    <w:p w14:paraId="52B384AF">
      <w:pPr>
        <w:adjustRightInd w:val="0"/>
        <w:snapToGrid w:val="0"/>
        <w:spacing w:line="288" w:lineRule="auto"/>
        <w:ind w:firstLine="398" w:firstLineChars="200"/>
        <w:jc w:val="center"/>
        <w:outlineLvl w:val="1"/>
        <w:rPr>
          <w:rFonts w:hint="eastAsia" w:ascii="宋体" w:hAnsi="宋体" w:eastAsia="宋体" w:cs="Times New Roman"/>
          <w:szCs w:val="21"/>
        </w:rPr>
      </w:pPr>
      <w:r>
        <w:rPr>
          <w:rFonts w:hint="eastAsia" w:ascii="宋体" w:hAnsi="宋体" w:eastAsia="宋体" w:cs="Times New Roman"/>
          <w:b/>
          <w:spacing w:val="-6"/>
          <w:szCs w:val="21"/>
        </w:rPr>
        <w:t>九、可中止电子交易活动的情形</w:t>
      </w:r>
    </w:p>
    <w:p w14:paraId="4BF61A38">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采购过程中出现以下情形，导致电子交易平台无法正常运行，或者无法保证电子交易的公平、公正和安全时，采购代理机构可中止电子交易活动：</w:t>
      </w:r>
    </w:p>
    <w:p w14:paraId="3B58BEB8">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1.电子交易平台发生故障而无法登录访问的；</w:t>
      </w:r>
    </w:p>
    <w:p w14:paraId="569973A8">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2.电子交易平台应用或数据库出现错误，不能进行正常操作的；</w:t>
      </w:r>
    </w:p>
    <w:p w14:paraId="57F6D390">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3.电子交易平台发现严重安全漏洞，有潜在泄密危险的；</w:t>
      </w:r>
    </w:p>
    <w:p w14:paraId="331F2BDB">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4.病毒发作导致不能进行正常操作的；</w:t>
      </w:r>
    </w:p>
    <w:p w14:paraId="4DE243A7">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5.其他无法保证电子交易的公平、公正和安全的情况。</w:t>
      </w:r>
    </w:p>
    <w:p w14:paraId="7C4A485D">
      <w:pPr>
        <w:adjustRightInd w:val="0"/>
        <w:snapToGrid w:val="0"/>
        <w:spacing w:line="288" w:lineRule="auto"/>
        <w:ind w:firstLine="396" w:firstLineChars="200"/>
        <w:rPr>
          <w:rFonts w:hint="eastAsia" w:ascii="宋体" w:hAnsi="宋体" w:eastAsia="宋体"/>
          <w:szCs w:val="21"/>
        </w:rPr>
      </w:pPr>
      <w:r>
        <w:rPr>
          <w:rFonts w:hint="eastAsia" w:ascii="宋体" w:hAnsi="宋体" w:eastAsia="宋体" w:cs="Times New Roman"/>
          <w:spacing w:val="-6"/>
          <w:szCs w:val="21"/>
        </w:rPr>
        <w:t>出现前款规定情形，不影响采购公平、公正性的，采购代理机构可以待上述情形消除后继续组织电子交易活动；影响或可能影响采购公平、公正性的，应当重新采购。</w:t>
      </w:r>
    </w:p>
    <w:p w14:paraId="48C70ACD">
      <w:pPr>
        <w:adjustRightInd w:val="0"/>
        <w:snapToGrid w:val="0"/>
        <w:spacing w:line="288" w:lineRule="auto"/>
        <w:ind w:firstLine="420" w:firstLineChars="200"/>
        <w:rPr>
          <w:rFonts w:hint="eastAsia" w:ascii="宋体" w:hAnsi="宋体" w:eastAsia="宋体" w:cs="Times New Roman"/>
          <w:szCs w:val="21"/>
        </w:rPr>
      </w:pPr>
      <w:r>
        <w:rPr>
          <w:rFonts w:hint="eastAsia" w:ascii="宋体" w:hAnsi="宋体" w:eastAsia="宋体" w:cs="Times New Roman"/>
          <w:szCs w:val="21"/>
        </w:rPr>
        <w:br w:type="page"/>
      </w:r>
    </w:p>
    <w:p w14:paraId="16F62D6C">
      <w:pPr>
        <w:adjustRightInd w:val="0"/>
        <w:snapToGrid w:val="0"/>
        <w:spacing w:line="288" w:lineRule="auto"/>
        <w:jc w:val="center"/>
        <w:outlineLvl w:val="0"/>
        <w:rPr>
          <w:rFonts w:hint="eastAsia" w:ascii="宋体" w:hAnsi="宋体" w:eastAsia="宋体" w:cs="Times New Roman"/>
          <w:b/>
          <w:spacing w:val="-6"/>
          <w:sz w:val="32"/>
          <w:szCs w:val="32"/>
        </w:rPr>
      </w:pPr>
      <w:r>
        <w:rPr>
          <w:rFonts w:hint="eastAsia" w:ascii="宋体" w:hAnsi="宋体" w:eastAsia="宋体" w:cs="Times New Roman"/>
          <w:b/>
          <w:sz w:val="32"/>
          <w:szCs w:val="32"/>
        </w:rPr>
        <w:t>第四章  评标方法和评标标准</w:t>
      </w:r>
    </w:p>
    <w:p w14:paraId="7D393EA1">
      <w:pPr>
        <w:adjustRightInd w:val="0"/>
        <w:snapToGrid w:val="0"/>
        <w:spacing w:line="288" w:lineRule="auto"/>
        <w:rPr>
          <w:rFonts w:hint="eastAsia" w:ascii="宋体" w:hAnsi="宋体" w:eastAsia="宋体" w:cs="Times New Roman"/>
          <w:b/>
          <w:spacing w:val="-6"/>
          <w:szCs w:val="21"/>
        </w:rPr>
      </w:pPr>
      <w:r>
        <w:rPr>
          <w:rFonts w:hint="eastAsia" w:ascii="宋体" w:hAnsi="宋体" w:eastAsia="宋体" w:cs="Times New Roman"/>
          <w:b/>
          <w:spacing w:val="-6"/>
          <w:szCs w:val="21"/>
        </w:rPr>
        <w:t>一、评标方法</w:t>
      </w:r>
    </w:p>
    <w:p w14:paraId="1824A1C0">
      <w:pPr>
        <w:adjustRightInd w:val="0"/>
        <w:snapToGrid w:val="0"/>
        <w:spacing w:line="288" w:lineRule="auto"/>
        <w:ind w:firstLine="396" w:firstLineChars="200"/>
        <w:rPr>
          <w:rFonts w:hint="eastAsia" w:ascii="宋体" w:hAnsi="宋体" w:eastAsia="宋体" w:cs="Times New Roman"/>
          <w:bCs/>
          <w:spacing w:val="-6"/>
          <w:szCs w:val="21"/>
        </w:rPr>
      </w:pPr>
      <w:r>
        <w:rPr>
          <w:rFonts w:hint="eastAsia" w:ascii="宋体" w:hAnsi="宋体" w:eastAsia="宋体" w:cs="Times New Roman"/>
          <w:bCs/>
          <w:spacing w:val="-6"/>
          <w:szCs w:val="21"/>
        </w:rPr>
        <w:t>本次评标采用综合评分法，总分为100分。评分过程中采用四舍五入法，并保留小数2位。</w:t>
      </w:r>
    </w:p>
    <w:p w14:paraId="505DEE95">
      <w:pPr>
        <w:adjustRightInd w:val="0"/>
        <w:snapToGrid w:val="0"/>
        <w:spacing w:line="288" w:lineRule="auto"/>
        <w:ind w:firstLine="396" w:firstLineChars="200"/>
        <w:rPr>
          <w:rFonts w:hint="eastAsia" w:ascii="宋体" w:hAnsi="宋体" w:eastAsia="宋体" w:cs="Times New Roman"/>
          <w:bCs/>
          <w:spacing w:val="-6"/>
          <w:szCs w:val="21"/>
        </w:rPr>
      </w:pPr>
      <w:r>
        <w:rPr>
          <w:rFonts w:hint="eastAsia" w:ascii="宋体" w:hAnsi="宋体" w:eastAsia="宋体" w:cs="Times New Roman"/>
          <w:spacing w:val="-6"/>
          <w:szCs w:val="21"/>
        </w:rPr>
        <w:t>投标人评标</w:t>
      </w:r>
      <w:r>
        <w:rPr>
          <w:rFonts w:hint="eastAsia" w:ascii="宋体" w:hAnsi="宋体" w:eastAsia="宋体" w:cs="Times New Roman"/>
          <w:bCs/>
          <w:spacing w:val="-6"/>
          <w:szCs w:val="21"/>
        </w:rPr>
        <w:t>综合得分=商务分+技术分+价格分</w:t>
      </w:r>
    </w:p>
    <w:p w14:paraId="3E96ADEF">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bCs/>
          <w:spacing w:val="-6"/>
          <w:szCs w:val="21"/>
        </w:rPr>
        <w:t>商务和技术分按照评标委员会成员的独立评分结果的算术平均分计算，计算公式为：商务分</w:t>
      </w:r>
      <w:r>
        <w:rPr>
          <w:rFonts w:ascii="宋体" w:hAnsi="宋体" w:eastAsia="宋体" w:cs="Times New Roman"/>
          <w:bCs/>
          <w:spacing w:val="-6"/>
          <w:szCs w:val="21"/>
        </w:rPr>
        <w:t>、</w:t>
      </w:r>
      <w:r>
        <w:rPr>
          <w:rFonts w:hint="eastAsia" w:ascii="宋体" w:hAnsi="宋体" w:eastAsia="宋体" w:cs="Times New Roman"/>
          <w:bCs/>
          <w:spacing w:val="-6"/>
          <w:szCs w:val="21"/>
        </w:rPr>
        <w:t>技术分=评标委员会所有成员评分合计数</w:t>
      </w:r>
      <w:r>
        <w:rPr>
          <w:rFonts w:ascii="宋体" w:hAnsi="宋体" w:eastAsia="宋体" w:cs="Times New Roman"/>
          <w:bCs/>
          <w:spacing w:val="-6"/>
          <w:szCs w:val="21"/>
        </w:rPr>
        <w:t>/</w:t>
      </w:r>
      <w:r>
        <w:rPr>
          <w:rFonts w:hint="eastAsia" w:ascii="宋体" w:hAnsi="宋体" w:eastAsia="宋体" w:cs="Times New Roman"/>
          <w:bCs/>
          <w:spacing w:val="-6"/>
          <w:szCs w:val="21"/>
        </w:rPr>
        <w:t>评标委员会组成人员数</w:t>
      </w:r>
    </w:p>
    <w:p w14:paraId="359B8191">
      <w:pPr>
        <w:adjustRightInd w:val="0"/>
        <w:snapToGrid w:val="0"/>
        <w:spacing w:line="288" w:lineRule="auto"/>
        <w:rPr>
          <w:rFonts w:hint="eastAsia" w:ascii="宋体" w:hAnsi="宋体" w:eastAsia="宋体" w:cs="Times New Roman"/>
          <w:b/>
          <w:spacing w:val="-6"/>
          <w:szCs w:val="21"/>
        </w:rPr>
      </w:pPr>
      <w:r>
        <w:rPr>
          <w:rFonts w:hint="eastAsia" w:ascii="宋体" w:hAnsi="宋体" w:eastAsia="宋体" w:cs="Times New Roman"/>
          <w:b/>
          <w:spacing w:val="-6"/>
          <w:szCs w:val="21"/>
        </w:rPr>
        <w:t>二、评标标准</w:t>
      </w:r>
    </w:p>
    <w:tbl>
      <w:tblPr>
        <w:tblStyle w:val="2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654"/>
        <w:gridCol w:w="7072"/>
      </w:tblGrid>
      <w:tr w14:paraId="76ECA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29C6660D">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评审因素</w:t>
            </w:r>
          </w:p>
        </w:tc>
        <w:tc>
          <w:tcPr>
            <w:tcW w:w="654" w:type="dxa"/>
            <w:vAlign w:val="center"/>
          </w:tcPr>
          <w:p w14:paraId="3B45DA6A">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分值</w:t>
            </w:r>
          </w:p>
        </w:tc>
        <w:tc>
          <w:tcPr>
            <w:tcW w:w="7072" w:type="dxa"/>
            <w:vAlign w:val="center"/>
          </w:tcPr>
          <w:p w14:paraId="01D8D83F">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评分标准</w:t>
            </w:r>
          </w:p>
        </w:tc>
      </w:tr>
      <w:tr w14:paraId="2C0A1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6F626002">
            <w:pPr>
              <w:adjustRightInd w:val="0"/>
              <w:snapToGrid w:val="0"/>
              <w:spacing w:line="288" w:lineRule="auto"/>
              <w:jc w:val="left"/>
              <w:rPr>
                <w:rFonts w:hint="eastAsia" w:ascii="宋体" w:hAnsi="宋体" w:eastAsia="宋体" w:cs="宋体"/>
                <w:b/>
                <w:bCs/>
                <w:szCs w:val="21"/>
              </w:rPr>
            </w:pPr>
            <w:r>
              <w:rPr>
                <w:rFonts w:hint="eastAsia" w:ascii="宋体" w:hAnsi="宋体" w:eastAsia="宋体" w:cs="宋体"/>
                <w:b/>
                <w:bCs/>
                <w:szCs w:val="21"/>
              </w:rPr>
              <w:t>价格分</w:t>
            </w:r>
          </w:p>
        </w:tc>
      </w:tr>
      <w:tr w14:paraId="3F3D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vAlign w:val="center"/>
          </w:tcPr>
          <w:p w14:paraId="1A11DEC0">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投标报价</w:t>
            </w:r>
          </w:p>
        </w:tc>
        <w:tc>
          <w:tcPr>
            <w:tcW w:w="654" w:type="dxa"/>
            <w:tcBorders>
              <w:top w:val="single" w:color="auto" w:sz="4" w:space="0"/>
              <w:left w:val="single" w:color="auto" w:sz="4" w:space="0"/>
              <w:bottom w:val="single" w:color="auto" w:sz="4" w:space="0"/>
              <w:right w:val="single" w:color="auto" w:sz="4" w:space="0"/>
            </w:tcBorders>
            <w:vAlign w:val="center"/>
          </w:tcPr>
          <w:p w14:paraId="3A9B2632">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30</w:t>
            </w:r>
          </w:p>
        </w:tc>
        <w:tc>
          <w:tcPr>
            <w:tcW w:w="7072" w:type="dxa"/>
            <w:tcBorders>
              <w:top w:val="single" w:color="auto" w:sz="4" w:space="0"/>
              <w:left w:val="single" w:color="auto" w:sz="4" w:space="0"/>
              <w:bottom w:val="single" w:color="auto" w:sz="4" w:space="0"/>
              <w:right w:val="single" w:color="auto" w:sz="4" w:space="0"/>
            </w:tcBorders>
            <w:vAlign w:val="center"/>
          </w:tcPr>
          <w:p w14:paraId="6D1519B6">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价格分采用低价优先法计算，即满足招标文件要求且投标价格最低的投标报价为评标基准价，其他投标人的价格分按照下列公式计算：</w:t>
            </w:r>
          </w:p>
          <w:p w14:paraId="5D885B3E">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价格分=（评标基准价/投标报价）×30%×100</w:t>
            </w:r>
          </w:p>
          <w:p w14:paraId="53214ABD">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注：本项目</w:t>
            </w:r>
            <w:r>
              <w:rPr>
                <w:rFonts w:hint="eastAsia" w:ascii="宋体" w:hAnsi="宋体" w:eastAsia="宋体" w:cs="Times New Roman"/>
                <w:szCs w:val="21"/>
              </w:rPr>
              <w:t>对符合规定的小微企业报价给予【10】%的扣除后计算价格得分。</w:t>
            </w:r>
            <w:r>
              <w:rPr>
                <w:rFonts w:hint="eastAsia" w:ascii="宋体" w:hAnsi="宋体" w:eastAsia="宋体" w:cs="Times New Roman"/>
                <w:spacing w:val="-6"/>
                <w:szCs w:val="21"/>
              </w:rPr>
              <w:t>对于联合协议或者分包意向协议约定小微企业的合同份额占到合同总金额30%以上的，对联合体或者大中型企业的报价给予【4】%的扣除，用扣除后的价格参加评审。</w:t>
            </w:r>
          </w:p>
        </w:tc>
      </w:tr>
      <w:tr w14:paraId="1C9C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270597C8">
            <w:pPr>
              <w:adjustRightInd w:val="0"/>
              <w:snapToGrid w:val="0"/>
              <w:spacing w:line="288" w:lineRule="auto"/>
              <w:jc w:val="left"/>
              <w:rPr>
                <w:rFonts w:hint="eastAsia" w:ascii="宋体" w:hAnsi="宋体" w:eastAsia="宋体" w:cs="宋体"/>
                <w:b/>
                <w:bCs/>
                <w:szCs w:val="21"/>
              </w:rPr>
            </w:pPr>
            <w:r>
              <w:rPr>
                <w:rFonts w:hint="eastAsia" w:ascii="宋体" w:hAnsi="宋体" w:eastAsia="宋体" w:cs="宋体"/>
                <w:b/>
                <w:bCs/>
                <w:szCs w:val="21"/>
              </w:rPr>
              <w:t>商务分</w:t>
            </w:r>
          </w:p>
        </w:tc>
      </w:tr>
      <w:tr w14:paraId="08D27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404023C0">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质保期</w:t>
            </w:r>
          </w:p>
        </w:tc>
        <w:tc>
          <w:tcPr>
            <w:tcW w:w="654" w:type="dxa"/>
            <w:vAlign w:val="center"/>
          </w:tcPr>
          <w:p w14:paraId="77A858E9">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1</w:t>
            </w:r>
          </w:p>
        </w:tc>
        <w:tc>
          <w:tcPr>
            <w:tcW w:w="7072" w:type="dxa"/>
            <w:vAlign w:val="center"/>
          </w:tcPr>
          <w:p w14:paraId="1067CC85">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【客观分】</w:t>
            </w:r>
          </w:p>
          <w:p w14:paraId="791DD71D">
            <w:pPr>
              <w:adjustRightInd w:val="0"/>
              <w:snapToGrid w:val="0"/>
              <w:spacing w:line="288" w:lineRule="auto"/>
              <w:jc w:val="left"/>
              <w:rPr>
                <w:rFonts w:hint="eastAsia" w:ascii="宋体" w:hAnsi="宋体" w:eastAsia="宋体" w:cs="宋体"/>
                <w:b/>
                <w:bCs/>
                <w:szCs w:val="21"/>
              </w:rPr>
            </w:pPr>
            <w:r>
              <w:rPr>
                <w:rFonts w:hint="eastAsia" w:ascii="宋体" w:hAnsi="宋体" w:eastAsia="宋体" w:cs="宋体"/>
                <w:szCs w:val="21"/>
              </w:rPr>
              <w:t>满足招标文件最低要求基础上每延长1年得0.5分（最高1分），延长时间不足1年不计入得分。</w:t>
            </w:r>
          </w:p>
        </w:tc>
      </w:tr>
      <w:tr w14:paraId="09CC3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0DBA3F4F">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业绩</w:t>
            </w:r>
          </w:p>
        </w:tc>
        <w:tc>
          <w:tcPr>
            <w:tcW w:w="654" w:type="dxa"/>
            <w:vAlign w:val="center"/>
          </w:tcPr>
          <w:p w14:paraId="3D1B6D1A">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3</w:t>
            </w:r>
          </w:p>
        </w:tc>
        <w:tc>
          <w:tcPr>
            <w:tcW w:w="7072" w:type="dxa"/>
            <w:vAlign w:val="center"/>
          </w:tcPr>
          <w:p w14:paraId="60354926">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【客观分】</w:t>
            </w:r>
          </w:p>
          <w:p w14:paraId="77441450">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投标人自2021年1月1日以来（以合同签订时间为准）同类合同业绩（以提供的合同扫描件为准）：每提供1份合同业绩得1分，最高得3分。</w:t>
            </w:r>
          </w:p>
        </w:tc>
      </w:tr>
      <w:tr w14:paraId="45F29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7A24B424">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政策功能</w:t>
            </w:r>
          </w:p>
        </w:tc>
        <w:tc>
          <w:tcPr>
            <w:tcW w:w="654" w:type="dxa"/>
            <w:vAlign w:val="center"/>
          </w:tcPr>
          <w:p w14:paraId="6D1FB0A0">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1</w:t>
            </w:r>
          </w:p>
        </w:tc>
        <w:tc>
          <w:tcPr>
            <w:tcW w:w="7072" w:type="dxa"/>
            <w:vAlign w:val="center"/>
          </w:tcPr>
          <w:p w14:paraId="73C7EB86">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【客观分】</w:t>
            </w:r>
          </w:p>
          <w:p w14:paraId="57A36831">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投标产品属于品目清单范围且提供国家确定的认证机构出具的有效的节能产品认证证书（扫描件）的得0.5分；</w:t>
            </w:r>
          </w:p>
          <w:p w14:paraId="32E10B06">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投标产品属于品目清单范围且提供国家确定的认证机构出具的有效的环境标志产品认证证书（扫描件）的得0.5分；</w:t>
            </w:r>
          </w:p>
          <w:p w14:paraId="7E70BC3E">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注：政府强制采购的节能产品的除外。</w:t>
            </w:r>
          </w:p>
        </w:tc>
      </w:tr>
      <w:tr w14:paraId="16B72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06EEEAEC">
            <w:pPr>
              <w:adjustRightInd w:val="0"/>
              <w:snapToGrid w:val="0"/>
              <w:spacing w:line="288" w:lineRule="auto"/>
              <w:jc w:val="left"/>
              <w:rPr>
                <w:rFonts w:hint="eastAsia" w:ascii="宋体" w:hAnsi="宋体" w:eastAsia="宋体" w:cs="宋体"/>
                <w:b/>
                <w:bCs/>
                <w:szCs w:val="21"/>
              </w:rPr>
            </w:pPr>
            <w:r>
              <w:rPr>
                <w:rFonts w:hint="eastAsia" w:ascii="宋体" w:hAnsi="宋体" w:eastAsia="宋体" w:cs="宋体"/>
                <w:b/>
                <w:bCs/>
                <w:szCs w:val="21"/>
              </w:rPr>
              <w:t>技术分</w:t>
            </w:r>
          </w:p>
        </w:tc>
      </w:tr>
      <w:tr w14:paraId="1F53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restart"/>
            <w:vAlign w:val="center"/>
          </w:tcPr>
          <w:p w14:paraId="0B628E05">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技术响应程度</w:t>
            </w:r>
          </w:p>
        </w:tc>
        <w:tc>
          <w:tcPr>
            <w:tcW w:w="654" w:type="dxa"/>
            <w:vAlign w:val="center"/>
          </w:tcPr>
          <w:p w14:paraId="5EEF1D4C">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11</w:t>
            </w:r>
          </w:p>
        </w:tc>
        <w:tc>
          <w:tcPr>
            <w:tcW w:w="7072" w:type="dxa"/>
            <w:vAlign w:val="center"/>
          </w:tcPr>
          <w:p w14:paraId="1643D164">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【客观分】</w:t>
            </w:r>
          </w:p>
          <w:p w14:paraId="42C4A891">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投标产品对采购需求中“</w:t>
            </w:r>
            <w:r>
              <w:rPr>
                <w:rFonts w:hint="eastAsia" w:ascii="宋体" w:hAnsi="宋体" w:eastAsia="宋体" w:cs="宋体"/>
                <w:b/>
                <w:bCs/>
                <w:spacing w:val="-4"/>
                <w:szCs w:val="21"/>
              </w:rPr>
              <w:t>需满足的质量、安全、技术规格、物理特性等要求</w:t>
            </w:r>
            <w:r>
              <w:rPr>
                <w:rFonts w:hint="eastAsia" w:ascii="宋体" w:hAnsi="宋体" w:eastAsia="宋体" w:cs="宋体"/>
                <w:szCs w:val="21"/>
              </w:rPr>
              <w:t>”中</w:t>
            </w:r>
            <w:r>
              <w:rPr>
                <w:rFonts w:hint="eastAsia" w:ascii="宋体" w:hAnsi="宋体" w:eastAsia="宋体" w:cs="宋体"/>
                <w:b/>
                <w:bCs/>
                <w:szCs w:val="21"/>
              </w:rPr>
              <w:t>非标★条款</w:t>
            </w:r>
            <w:r>
              <w:rPr>
                <w:rFonts w:hint="eastAsia" w:ascii="宋体" w:hAnsi="宋体" w:eastAsia="宋体" w:cs="宋体"/>
                <w:szCs w:val="21"/>
              </w:rPr>
              <w:t>的响应程度：不符合（负偏离）技术要求中标注“▲”条款（不可偏离）的投标无效；</w:t>
            </w:r>
          </w:p>
          <w:p w14:paraId="0D83A835">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满足招标文件明确的全部技术条款要求的该项得满分；</w:t>
            </w:r>
          </w:p>
          <w:p w14:paraId="0ED8B174">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技术条款低于技术要求（负偏离）的每项扣0.5分；</w:t>
            </w:r>
          </w:p>
          <w:p w14:paraId="2A1C6B76">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负偏离22项及以上的，视为采购人不能接受的附加条件。</w:t>
            </w:r>
          </w:p>
        </w:tc>
      </w:tr>
      <w:tr w14:paraId="02DA0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vAlign w:val="center"/>
          </w:tcPr>
          <w:p w14:paraId="59437007">
            <w:pPr>
              <w:adjustRightInd w:val="0"/>
              <w:snapToGrid w:val="0"/>
              <w:spacing w:line="288" w:lineRule="auto"/>
              <w:jc w:val="center"/>
              <w:rPr>
                <w:rFonts w:hint="eastAsia" w:ascii="宋体" w:hAnsi="宋体" w:eastAsia="宋体" w:cs="宋体"/>
                <w:b/>
                <w:bCs/>
                <w:szCs w:val="21"/>
              </w:rPr>
            </w:pPr>
          </w:p>
        </w:tc>
        <w:tc>
          <w:tcPr>
            <w:tcW w:w="654" w:type="dxa"/>
            <w:vAlign w:val="center"/>
          </w:tcPr>
          <w:p w14:paraId="0B2D909E">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13</w:t>
            </w:r>
          </w:p>
        </w:tc>
        <w:tc>
          <w:tcPr>
            <w:tcW w:w="7072" w:type="dxa"/>
            <w:vAlign w:val="center"/>
          </w:tcPr>
          <w:p w14:paraId="6E11A93B">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投标产品对采购需求中“</w:t>
            </w:r>
            <w:r>
              <w:rPr>
                <w:rFonts w:hint="eastAsia" w:ascii="宋体" w:hAnsi="宋体" w:eastAsia="宋体" w:cs="宋体"/>
                <w:b/>
                <w:bCs/>
                <w:spacing w:val="-4"/>
                <w:szCs w:val="21"/>
              </w:rPr>
              <w:t>需满足的质量、安全、技术规格、物理特性等要求</w:t>
            </w:r>
            <w:r>
              <w:rPr>
                <w:rFonts w:hint="eastAsia" w:ascii="宋体" w:hAnsi="宋体" w:eastAsia="宋体" w:cs="宋体"/>
                <w:szCs w:val="21"/>
              </w:rPr>
              <w:t>”中</w:t>
            </w:r>
            <w:r>
              <w:rPr>
                <w:rFonts w:hint="eastAsia" w:ascii="宋体" w:hAnsi="宋体" w:eastAsia="宋体" w:cs="宋体"/>
                <w:b/>
                <w:bCs/>
                <w:szCs w:val="21"/>
              </w:rPr>
              <w:t>标★条款</w:t>
            </w:r>
            <w:r>
              <w:rPr>
                <w:rFonts w:hint="eastAsia" w:ascii="宋体" w:hAnsi="宋体" w:eastAsia="宋体" w:cs="宋体"/>
                <w:szCs w:val="21"/>
              </w:rPr>
              <w:t>响应程度：不符合（负偏离）技术要求中标注“▲”条款（不可偏离）的投标无效；</w:t>
            </w:r>
          </w:p>
          <w:p w14:paraId="3696203D">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满足招标文件明确的全部技术条款要求的该项得满分；</w:t>
            </w:r>
          </w:p>
          <w:p w14:paraId="385F9BE7">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技术条款低于技术要求（负偏离）的每项扣1分；</w:t>
            </w:r>
          </w:p>
          <w:p w14:paraId="46ECBB4B">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负偏离13项及以上的，视为采购人不能接受的附加条件。</w:t>
            </w:r>
          </w:p>
        </w:tc>
      </w:tr>
      <w:tr w14:paraId="5F4F3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67" w:type="dxa"/>
            <w:vMerge w:val="restart"/>
            <w:vAlign w:val="center"/>
          </w:tcPr>
          <w:p w14:paraId="01228BED">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技术方案</w:t>
            </w:r>
          </w:p>
        </w:tc>
        <w:tc>
          <w:tcPr>
            <w:tcW w:w="654" w:type="dxa"/>
            <w:shd w:val="clear" w:color="auto" w:fill="auto"/>
            <w:vAlign w:val="center"/>
          </w:tcPr>
          <w:p w14:paraId="255EBE5F">
            <w:pPr>
              <w:snapToGrid w:val="0"/>
              <w:jc w:val="center"/>
              <w:rPr>
                <w:rFonts w:hint="eastAsia" w:ascii="宋体" w:hAnsi="宋体" w:eastAsia="宋体" w:cs="宋体"/>
                <w:b/>
                <w:bCs/>
                <w:szCs w:val="21"/>
              </w:rPr>
            </w:pPr>
            <w:r>
              <w:rPr>
                <w:rFonts w:hint="eastAsia" w:ascii="宋体" w:hAnsi="宋体" w:eastAsia="宋体" w:cs="宋体"/>
                <w:b/>
                <w:bCs/>
                <w:szCs w:val="21"/>
              </w:rPr>
              <w:t>4</w:t>
            </w:r>
          </w:p>
        </w:tc>
        <w:tc>
          <w:tcPr>
            <w:tcW w:w="7072" w:type="dxa"/>
            <w:shd w:val="clear" w:color="auto" w:fill="auto"/>
            <w:vAlign w:val="center"/>
          </w:tcPr>
          <w:p w14:paraId="3EBA009F">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【主观分】</w:t>
            </w:r>
          </w:p>
          <w:p w14:paraId="00B6B0B7">
            <w:pPr>
              <w:snapToGrid w:val="0"/>
              <w:jc w:val="left"/>
              <w:rPr>
                <w:rFonts w:hint="eastAsia" w:ascii="宋体" w:hAnsi="宋体" w:eastAsia="宋体" w:cs="宋体"/>
                <w:b/>
                <w:bCs/>
                <w:szCs w:val="21"/>
              </w:rPr>
            </w:pPr>
            <w:r>
              <w:rPr>
                <w:rFonts w:hint="eastAsia" w:ascii="宋体" w:hAnsi="宋体" w:eastAsia="宋体" w:cs="宋体"/>
                <w:b/>
                <w:bCs/>
                <w:szCs w:val="21"/>
              </w:rPr>
              <w:t>投标产品超模态行为洞察平台：</w:t>
            </w:r>
          </w:p>
          <w:p w14:paraId="7BA60949">
            <w:pPr>
              <w:snapToGrid w:val="0"/>
              <w:jc w:val="left"/>
              <w:rPr>
                <w:rFonts w:hint="eastAsia" w:ascii="宋体" w:hAnsi="宋体" w:eastAsia="宋体" w:cs="宋体"/>
                <w:szCs w:val="21"/>
              </w:rPr>
            </w:pPr>
            <w:r>
              <w:rPr>
                <w:rFonts w:hint="eastAsia" w:ascii="宋体" w:hAnsi="宋体" w:eastAsia="宋体" w:cs="宋体"/>
                <w:szCs w:val="21"/>
              </w:rPr>
              <w:t>产品配置、产品功能（基础、扩展升级、软件等）[根据产品制造商公开发布的印刷资料（官网材料、彩页、Datasheet）或由有关政府部门或检测机构合法出具的文件或报告、配置清单等评审]：专业、全面、详尽、针对采购需求及实际特点、对教学或科研有实质性辅助提升。</w:t>
            </w:r>
          </w:p>
          <w:p w14:paraId="2BBF2730">
            <w:pPr>
              <w:snapToGrid w:val="0"/>
              <w:jc w:val="left"/>
              <w:rPr>
                <w:rFonts w:hint="eastAsia" w:ascii="宋体" w:hAnsi="宋体" w:eastAsia="宋体" w:cs="宋体"/>
                <w:szCs w:val="21"/>
              </w:rPr>
            </w:pPr>
            <w:r>
              <w:rPr>
                <w:rFonts w:hint="eastAsia" w:ascii="宋体" w:hAnsi="宋体" w:eastAsia="宋体" w:cs="宋体"/>
                <w:b/>
                <w:bCs/>
                <w:szCs w:val="21"/>
              </w:rPr>
              <w:t>（评分范围：4,3,2,1,0）</w:t>
            </w:r>
          </w:p>
        </w:tc>
      </w:tr>
      <w:tr w14:paraId="5DAB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vAlign w:val="center"/>
          </w:tcPr>
          <w:p w14:paraId="7C079D4A">
            <w:pPr>
              <w:adjustRightInd w:val="0"/>
              <w:snapToGrid w:val="0"/>
              <w:spacing w:line="288" w:lineRule="auto"/>
              <w:jc w:val="center"/>
              <w:rPr>
                <w:rFonts w:hint="eastAsia" w:ascii="宋体" w:hAnsi="宋体" w:eastAsia="宋体" w:cs="宋体"/>
                <w:b/>
                <w:bCs/>
                <w:szCs w:val="21"/>
              </w:rPr>
            </w:pPr>
          </w:p>
        </w:tc>
        <w:tc>
          <w:tcPr>
            <w:tcW w:w="654" w:type="dxa"/>
            <w:shd w:val="clear" w:color="auto" w:fill="auto"/>
            <w:vAlign w:val="center"/>
          </w:tcPr>
          <w:p w14:paraId="4B2A25EE">
            <w:pPr>
              <w:snapToGrid w:val="0"/>
              <w:jc w:val="center"/>
              <w:rPr>
                <w:rFonts w:hint="eastAsia" w:ascii="宋体" w:hAnsi="宋体" w:eastAsia="宋体" w:cs="宋体"/>
                <w:b/>
                <w:bCs/>
                <w:szCs w:val="21"/>
              </w:rPr>
            </w:pPr>
            <w:r>
              <w:rPr>
                <w:rFonts w:hint="eastAsia" w:ascii="宋体" w:hAnsi="宋体" w:eastAsia="宋体" w:cs="宋体"/>
                <w:b/>
                <w:bCs/>
                <w:szCs w:val="21"/>
              </w:rPr>
              <w:t>4</w:t>
            </w:r>
          </w:p>
        </w:tc>
        <w:tc>
          <w:tcPr>
            <w:tcW w:w="7072" w:type="dxa"/>
            <w:shd w:val="clear" w:color="auto" w:fill="auto"/>
            <w:vAlign w:val="center"/>
          </w:tcPr>
          <w:p w14:paraId="2AFDF3A7">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【主观分】</w:t>
            </w:r>
          </w:p>
          <w:p w14:paraId="6B791F7D">
            <w:pPr>
              <w:snapToGrid w:val="0"/>
              <w:jc w:val="left"/>
              <w:rPr>
                <w:rFonts w:hint="eastAsia" w:ascii="宋体" w:hAnsi="宋体" w:eastAsia="宋体" w:cs="宋体"/>
                <w:b/>
                <w:bCs/>
                <w:szCs w:val="21"/>
              </w:rPr>
            </w:pPr>
            <w:r>
              <w:rPr>
                <w:rFonts w:hint="eastAsia" w:ascii="宋体" w:hAnsi="宋体" w:eastAsia="宋体" w:cs="宋体"/>
                <w:b/>
                <w:bCs/>
                <w:szCs w:val="21"/>
              </w:rPr>
              <w:t>投标产品便携式行为观察记录分析系统：</w:t>
            </w:r>
          </w:p>
          <w:p w14:paraId="20B9E5BD">
            <w:pPr>
              <w:snapToGrid w:val="0"/>
              <w:jc w:val="left"/>
              <w:rPr>
                <w:rFonts w:hint="eastAsia" w:ascii="宋体" w:hAnsi="宋体" w:eastAsia="宋体" w:cs="宋体"/>
                <w:szCs w:val="21"/>
              </w:rPr>
            </w:pPr>
            <w:r>
              <w:rPr>
                <w:rFonts w:hint="eastAsia" w:ascii="宋体" w:hAnsi="宋体" w:eastAsia="宋体" w:cs="宋体"/>
                <w:szCs w:val="21"/>
              </w:rPr>
              <w:t>产品配置、产品功能（基础、扩展升级、软件等）[根据产品制造商公开发布的印刷资料（官网材料、彩页、Datasheet）或由有关政府部门或检测机构合法出具的文件或报告、配置清单等评审]：专业、全面、详尽、针对采购需求及实际特点、对教学或科研有实质性辅助提升。</w:t>
            </w:r>
          </w:p>
          <w:p w14:paraId="16AF49B9">
            <w:pPr>
              <w:snapToGrid w:val="0"/>
              <w:jc w:val="left"/>
              <w:rPr>
                <w:rFonts w:hint="eastAsia" w:ascii="宋体" w:hAnsi="宋体" w:eastAsia="宋体" w:cs="宋体"/>
                <w:szCs w:val="21"/>
              </w:rPr>
            </w:pPr>
            <w:r>
              <w:rPr>
                <w:rFonts w:hint="eastAsia" w:ascii="宋体" w:hAnsi="宋体" w:eastAsia="宋体" w:cs="宋体"/>
                <w:b/>
                <w:bCs/>
                <w:szCs w:val="21"/>
              </w:rPr>
              <w:t>（评分范围：4,3,2,1,0）</w:t>
            </w:r>
          </w:p>
        </w:tc>
      </w:tr>
      <w:tr w14:paraId="0E37E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vAlign w:val="center"/>
          </w:tcPr>
          <w:p w14:paraId="276F433E">
            <w:pPr>
              <w:adjustRightInd w:val="0"/>
              <w:snapToGrid w:val="0"/>
              <w:spacing w:line="288" w:lineRule="auto"/>
              <w:jc w:val="center"/>
              <w:rPr>
                <w:rFonts w:hint="eastAsia" w:ascii="宋体" w:hAnsi="宋体" w:eastAsia="宋体" w:cs="宋体"/>
                <w:b/>
                <w:bCs/>
                <w:szCs w:val="21"/>
              </w:rPr>
            </w:pPr>
          </w:p>
        </w:tc>
        <w:tc>
          <w:tcPr>
            <w:tcW w:w="654" w:type="dxa"/>
            <w:shd w:val="clear" w:color="auto" w:fill="auto"/>
            <w:vAlign w:val="center"/>
          </w:tcPr>
          <w:p w14:paraId="72735991">
            <w:pPr>
              <w:snapToGrid w:val="0"/>
              <w:jc w:val="center"/>
              <w:rPr>
                <w:rFonts w:hint="eastAsia" w:ascii="宋体" w:hAnsi="宋体" w:eastAsia="宋体" w:cs="宋体"/>
                <w:b/>
                <w:bCs/>
                <w:szCs w:val="21"/>
              </w:rPr>
            </w:pPr>
            <w:r>
              <w:rPr>
                <w:rFonts w:hint="eastAsia" w:ascii="宋体" w:hAnsi="宋体" w:eastAsia="宋体" w:cs="宋体"/>
                <w:b/>
                <w:bCs/>
                <w:szCs w:val="21"/>
              </w:rPr>
              <w:t>4</w:t>
            </w:r>
          </w:p>
        </w:tc>
        <w:tc>
          <w:tcPr>
            <w:tcW w:w="7072" w:type="dxa"/>
            <w:shd w:val="clear" w:color="auto" w:fill="auto"/>
            <w:vAlign w:val="center"/>
          </w:tcPr>
          <w:p w14:paraId="4E400AC8">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【主观分】</w:t>
            </w:r>
          </w:p>
          <w:p w14:paraId="09EA8548">
            <w:pPr>
              <w:snapToGrid w:val="0"/>
              <w:jc w:val="left"/>
              <w:rPr>
                <w:rFonts w:hint="eastAsia" w:ascii="宋体" w:hAnsi="宋体" w:eastAsia="宋体" w:cs="宋体"/>
                <w:b/>
                <w:bCs/>
                <w:szCs w:val="21"/>
              </w:rPr>
            </w:pPr>
            <w:r>
              <w:rPr>
                <w:rFonts w:hint="eastAsia" w:ascii="宋体" w:hAnsi="宋体" w:eastAsia="宋体" w:cs="宋体"/>
                <w:b/>
                <w:bCs/>
                <w:szCs w:val="21"/>
              </w:rPr>
              <w:t>投标产品视觉动态追踪系统：</w:t>
            </w:r>
          </w:p>
          <w:p w14:paraId="0507E0D8">
            <w:pPr>
              <w:snapToGrid w:val="0"/>
              <w:jc w:val="left"/>
              <w:rPr>
                <w:rFonts w:hint="eastAsia" w:ascii="宋体" w:hAnsi="宋体" w:eastAsia="宋体" w:cs="宋体"/>
                <w:szCs w:val="21"/>
              </w:rPr>
            </w:pPr>
            <w:r>
              <w:rPr>
                <w:rFonts w:hint="eastAsia" w:ascii="宋体" w:hAnsi="宋体" w:eastAsia="宋体" w:cs="宋体"/>
                <w:szCs w:val="21"/>
              </w:rPr>
              <w:t>产品结构（内部、外部等）、配置、产品功能（基础、扩展升级、软件等）[根据产品制造商公开发布的印刷资料（官网材料、彩页、Datasheet）或由有关政府部门或检测机构合法出具的文件或报告、配置清单等评审]：专业、全面、详尽、针对采购需求及实际特点、对教学或科研有实质性辅助提升。</w:t>
            </w:r>
          </w:p>
          <w:p w14:paraId="1A496F1A">
            <w:pPr>
              <w:snapToGrid w:val="0"/>
              <w:jc w:val="left"/>
              <w:rPr>
                <w:rFonts w:hint="eastAsia" w:ascii="宋体" w:hAnsi="宋体" w:eastAsia="宋体" w:cs="宋体"/>
                <w:szCs w:val="21"/>
              </w:rPr>
            </w:pPr>
            <w:r>
              <w:rPr>
                <w:rFonts w:hint="eastAsia" w:ascii="宋体" w:hAnsi="宋体" w:eastAsia="宋体" w:cs="宋体"/>
                <w:b/>
                <w:bCs/>
                <w:szCs w:val="21"/>
              </w:rPr>
              <w:t>（评分范围：4,3,2,1,0）</w:t>
            </w:r>
          </w:p>
        </w:tc>
      </w:tr>
      <w:tr w14:paraId="3F03D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vAlign w:val="center"/>
          </w:tcPr>
          <w:p w14:paraId="11B8F60A">
            <w:pPr>
              <w:adjustRightInd w:val="0"/>
              <w:snapToGrid w:val="0"/>
              <w:spacing w:line="288" w:lineRule="auto"/>
              <w:jc w:val="center"/>
              <w:rPr>
                <w:rFonts w:hint="eastAsia" w:ascii="宋体" w:hAnsi="宋体" w:eastAsia="宋体" w:cs="宋体"/>
                <w:b/>
                <w:bCs/>
                <w:szCs w:val="21"/>
              </w:rPr>
            </w:pPr>
          </w:p>
        </w:tc>
        <w:tc>
          <w:tcPr>
            <w:tcW w:w="654" w:type="dxa"/>
            <w:shd w:val="clear" w:color="auto" w:fill="auto"/>
            <w:vAlign w:val="center"/>
          </w:tcPr>
          <w:p w14:paraId="7FC39D9E">
            <w:pPr>
              <w:snapToGrid w:val="0"/>
              <w:jc w:val="center"/>
              <w:rPr>
                <w:rFonts w:hint="eastAsia" w:ascii="宋体" w:hAnsi="宋体" w:eastAsia="宋体" w:cs="宋体"/>
                <w:b/>
                <w:bCs/>
                <w:szCs w:val="21"/>
              </w:rPr>
            </w:pPr>
            <w:r>
              <w:rPr>
                <w:rFonts w:hint="eastAsia" w:ascii="宋体" w:hAnsi="宋体" w:eastAsia="宋体" w:cs="宋体"/>
                <w:b/>
                <w:bCs/>
                <w:szCs w:val="21"/>
              </w:rPr>
              <w:t>4</w:t>
            </w:r>
          </w:p>
        </w:tc>
        <w:tc>
          <w:tcPr>
            <w:tcW w:w="7072" w:type="dxa"/>
            <w:shd w:val="clear" w:color="auto" w:fill="auto"/>
            <w:vAlign w:val="center"/>
          </w:tcPr>
          <w:p w14:paraId="0E82BB40">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【主观分】</w:t>
            </w:r>
          </w:p>
          <w:p w14:paraId="48563BAC">
            <w:pPr>
              <w:snapToGrid w:val="0"/>
              <w:jc w:val="left"/>
              <w:rPr>
                <w:rFonts w:hint="eastAsia" w:ascii="宋体" w:hAnsi="宋体" w:eastAsia="宋体" w:cs="宋体"/>
                <w:b/>
                <w:bCs/>
                <w:szCs w:val="21"/>
              </w:rPr>
            </w:pPr>
            <w:r>
              <w:rPr>
                <w:rFonts w:hint="eastAsia" w:ascii="宋体" w:hAnsi="宋体" w:eastAsia="宋体" w:cs="宋体"/>
                <w:b/>
                <w:bCs/>
                <w:szCs w:val="21"/>
              </w:rPr>
              <w:t>投标产品遥测式生理信号采集分析系统：</w:t>
            </w:r>
          </w:p>
          <w:p w14:paraId="2F3C22E2">
            <w:pPr>
              <w:snapToGrid w:val="0"/>
              <w:jc w:val="left"/>
              <w:rPr>
                <w:rFonts w:hint="eastAsia" w:ascii="宋体" w:hAnsi="宋体" w:eastAsia="宋体" w:cs="宋体"/>
                <w:szCs w:val="21"/>
              </w:rPr>
            </w:pPr>
            <w:r>
              <w:rPr>
                <w:rFonts w:hint="eastAsia" w:ascii="宋体" w:hAnsi="宋体" w:eastAsia="宋体" w:cs="宋体"/>
                <w:szCs w:val="21"/>
              </w:rPr>
              <w:t>产品结构（内部、外部等）、配置、产品功能（基础、扩展升级、软件等）[根据产品制造商公开发布的印刷资料（官网材料、彩页、Datasheet）或由有关政府部门或检测机构合法出具的文件或报告、配置清单等评审]：专业、全面、详尽、针对采购需求及实际特点、对教学或科研有实质性辅助提升。</w:t>
            </w:r>
          </w:p>
          <w:p w14:paraId="3112F312">
            <w:pPr>
              <w:snapToGrid w:val="0"/>
              <w:jc w:val="left"/>
              <w:rPr>
                <w:rFonts w:hint="eastAsia" w:ascii="宋体" w:hAnsi="宋体" w:eastAsia="宋体" w:cs="宋体"/>
                <w:szCs w:val="21"/>
              </w:rPr>
            </w:pPr>
            <w:r>
              <w:rPr>
                <w:rFonts w:hint="eastAsia" w:ascii="宋体" w:hAnsi="宋体" w:eastAsia="宋体" w:cs="宋体"/>
                <w:b/>
                <w:bCs/>
                <w:szCs w:val="21"/>
              </w:rPr>
              <w:t>（评分范围：4,3,2,1,0）</w:t>
            </w:r>
          </w:p>
        </w:tc>
      </w:tr>
      <w:tr w14:paraId="75962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restart"/>
            <w:tcBorders>
              <w:top w:val="single" w:color="auto" w:sz="4" w:space="0"/>
              <w:left w:val="single" w:color="auto" w:sz="4" w:space="0"/>
              <w:right w:val="single" w:color="auto" w:sz="4" w:space="0"/>
            </w:tcBorders>
            <w:shd w:val="clear" w:color="auto" w:fill="auto"/>
            <w:vAlign w:val="center"/>
          </w:tcPr>
          <w:p w14:paraId="10892526">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实施方案</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7862C9C4">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00E34F6E">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【主观分】</w:t>
            </w:r>
          </w:p>
          <w:p w14:paraId="2B6ADFBE">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实施（进度控制计划、技术文档移交）方案，方案全面可行、针对采购需求及实际特点、有利于采购标的实现及合同履约。</w:t>
            </w:r>
          </w:p>
          <w:p w14:paraId="3E163904">
            <w:pPr>
              <w:adjustRightInd w:val="0"/>
              <w:snapToGrid w:val="0"/>
              <w:spacing w:line="288" w:lineRule="auto"/>
              <w:jc w:val="left"/>
              <w:rPr>
                <w:rFonts w:hint="eastAsia" w:ascii="宋体" w:hAnsi="宋体" w:eastAsia="宋体" w:cs="宋体"/>
                <w:szCs w:val="21"/>
              </w:rPr>
            </w:pPr>
            <w:r>
              <w:rPr>
                <w:rFonts w:hint="eastAsia" w:ascii="宋体" w:hAnsi="宋体" w:eastAsia="宋体" w:cs="宋体"/>
                <w:b/>
                <w:bCs/>
                <w:szCs w:val="21"/>
              </w:rPr>
              <w:t>（评分范围：5,4,3,2,1,0）</w:t>
            </w:r>
          </w:p>
        </w:tc>
      </w:tr>
      <w:tr w14:paraId="3855B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right w:val="single" w:color="auto" w:sz="4" w:space="0"/>
            </w:tcBorders>
            <w:vAlign w:val="center"/>
          </w:tcPr>
          <w:p w14:paraId="1D791CAD">
            <w:pPr>
              <w:adjustRightInd w:val="0"/>
              <w:snapToGrid w:val="0"/>
              <w:spacing w:line="288" w:lineRule="auto"/>
              <w:jc w:val="center"/>
              <w:rPr>
                <w:rFonts w:hint="eastAsia" w:ascii="宋体" w:hAnsi="宋体" w:eastAsia="宋体" w:cs="宋体"/>
                <w:b/>
                <w:bCs/>
                <w:szCs w:val="21"/>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4A4DE101">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28BDBA22">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【主观分】</w:t>
            </w:r>
          </w:p>
          <w:p w14:paraId="119A6ADE">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日常运行及维护保养方案，方案全面可行、针对采购需求及实际特点、有利于采购标的实现及合同履约。</w:t>
            </w:r>
          </w:p>
          <w:p w14:paraId="6C02892F">
            <w:pPr>
              <w:adjustRightInd w:val="0"/>
              <w:snapToGrid w:val="0"/>
              <w:spacing w:line="288" w:lineRule="auto"/>
              <w:jc w:val="left"/>
              <w:rPr>
                <w:rFonts w:hint="eastAsia" w:ascii="宋体" w:hAnsi="宋体" w:eastAsia="宋体" w:cs="宋体"/>
                <w:szCs w:val="21"/>
              </w:rPr>
            </w:pPr>
            <w:r>
              <w:rPr>
                <w:rFonts w:hint="eastAsia" w:ascii="宋体" w:hAnsi="宋体" w:eastAsia="宋体" w:cs="宋体"/>
                <w:b/>
                <w:bCs/>
                <w:szCs w:val="21"/>
              </w:rPr>
              <w:t>（评分范围：5,4,3,2,1,0）</w:t>
            </w:r>
          </w:p>
        </w:tc>
      </w:tr>
      <w:tr w14:paraId="61891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bottom w:val="single" w:color="auto" w:sz="4" w:space="0"/>
              <w:right w:val="single" w:color="auto" w:sz="4" w:space="0"/>
            </w:tcBorders>
            <w:vAlign w:val="center"/>
          </w:tcPr>
          <w:p w14:paraId="4B193419">
            <w:pPr>
              <w:adjustRightInd w:val="0"/>
              <w:snapToGrid w:val="0"/>
              <w:spacing w:line="288" w:lineRule="auto"/>
              <w:jc w:val="center"/>
              <w:rPr>
                <w:rFonts w:hint="eastAsia" w:ascii="宋体" w:hAnsi="宋体" w:eastAsia="宋体" w:cs="宋体"/>
                <w:b/>
                <w:bCs/>
                <w:szCs w:val="21"/>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20F076DB">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440C65E2">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【主观分】</w:t>
            </w:r>
          </w:p>
          <w:p w14:paraId="2AAD5D07">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安装、调试方法或方案，方案全面可行、针对采购需求及实际特点、有利于采购标的实现及合同履约。</w:t>
            </w:r>
          </w:p>
          <w:p w14:paraId="57D6ABC9">
            <w:pPr>
              <w:adjustRightInd w:val="0"/>
              <w:snapToGrid w:val="0"/>
              <w:spacing w:line="288" w:lineRule="auto"/>
              <w:jc w:val="left"/>
              <w:rPr>
                <w:rFonts w:hint="eastAsia" w:ascii="宋体" w:hAnsi="宋体" w:eastAsia="宋体" w:cs="宋体"/>
                <w:szCs w:val="21"/>
              </w:rPr>
            </w:pPr>
            <w:r>
              <w:rPr>
                <w:rFonts w:hint="eastAsia" w:ascii="宋体" w:hAnsi="宋体" w:eastAsia="宋体" w:cs="宋体"/>
                <w:b/>
                <w:bCs/>
                <w:szCs w:val="21"/>
              </w:rPr>
              <w:t>（评分范围：5,4,3,2,1,0）</w:t>
            </w:r>
          </w:p>
        </w:tc>
      </w:tr>
      <w:tr w14:paraId="1EBB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63C9C011">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技术培训</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4DDA2EC8">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464189FE">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【主观分】</w:t>
            </w:r>
          </w:p>
          <w:p w14:paraId="5B57BF38">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培训计划（包括培训流程、培训方式、培训对象、培训内容、培训日程等），计划方案全面可行、针对采购需求及实际特点、有利于采购标的实现及合同履约。</w:t>
            </w:r>
          </w:p>
          <w:p w14:paraId="504FC167">
            <w:pPr>
              <w:adjustRightInd w:val="0"/>
              <w:snapToGrid w:val="0"/>
              <w:spacing w:line="288" w:lineRule="auto"/>
              <w:jc w:val="left"/>
              <w:rPr>
                <w:rFonts w:hint="eastAsia" w:ascii="宋体" w:hAnsi="宋体" w:eastAsia="宋体" w:cs="宋体"/>
                <w:szCs w:val="21"/>
              </w:rPr>
            </w:pPr>
            <w:r>
              <w:rPr>
                <w:rFonts w:hint="eastAsia" w:ascii="宋体" w:hAnsi="宋体" w:eastAsia="宋体" w:cs="宋体"/>
                <w:b/>
                <w:bCs/>
                <w:szCs w:val="21"/>
              </w:rPr>
              <w:t>（评分范围：5,4,3,2,1,0）</w:t>
            </w:r>
          </w:p>
        </w:tc>
      </w:tr>
      <w:tr w14:paraId="360A7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5B0AAC4">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售后服务</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3593D0B5">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02BA8FBE">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【主观分】</w:t>
            </w:r>
          </w:p>
          <w:p w14:paraId="4A291349">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售后服务方案（包括服务机构、服务内容、服务承诺、响应时间、服务方式、人员配备、应急服务等），方案全面可行、针对采购需求及实际特点、有利于采购标的实现及合同履约。</w:t>
            </w:r>
          </w:p>
          <w:p w14:paraId="24D5B842">
            <w:pPr>
              <w:adjustRightInd w:val="0"/>
              <w:snapToGrid w:val="0"/>
              <w:spacing w:line="288" w:lineRule="auto"/>
              <w:jc w:val="left"/>
              <w:rPr>
                <w:rFonts w:hint="eastAsia" w:ascii="宋体" w:hAnsi="宋体" w:eastAsia="宋体" w:cs="宋体"/>
                <w:szCs w:val="21"/>
              </w:rPr>
            </w:pPr>
            <w:r>
              <w:rPr>
                <w:rFonts w:hint="eastAsia" w:ascii="宋体" w:hAnsi="宋体" w:eastAsia="宋体" w:cs="宋体"/>
                <w:b/>
                <w:bCs/>
                <w:szCs w:val="21"/>
              </w:rPr>
              <w:t>（评分范围：5,4,3,2,1,0）</w:t>
            </w:r>
          </w:p>
        </w:tc>
      </w:tr>
    </w:tbl>
    <w:p w14:paraId="49F24059">
      <w:pPr>
        <w:widowControl/>
        <w:adjustRightInd w:val="0"/>
        <w:snapToGrid w:val="0"/>
        <w:spacing w:line="288" w:lineRule="auto"/>
        <w:jc w:val="left"/>
        <w:rPr>
          <w:rFonts w:hint="eastAsia" w:ascii="宋体" w:hAnsi="宋体" w:eastAsia="宋体" w:cs="Times New Roman"/>
          <w:b/>
          <w:bCs/>
          <w:spacing w:val="-6"/>
          <w:szCs w:val="21"/>
        </w:rPr>
      </w:pPr>
      <w:r>
        <w:rPr>
          <w:rFonts w:ascii="宋体" w:hAnsi="宋体" w:eastAsia="宋体" w:cs="Times New Roman"/>
          <w:b/>
          <w:bCs/>
          <w:spacing w:val="-6"/>
          <w:szCs w:val="21"/>
        </w:rPr>
        <w:br w:type="page"/>
      </w:r>
    </w:p>
    <w:p w14:paraId="6D9B617C">
      <w:pPr>
        <w:adjustRightInd w:val="0"/>
        <w:snapToGrid w:val="0"/>
        <w:spacing w:line="288" w:lineRule="auto"/>
        <w:jc w:val="center"/>
        <w:outlineLvl w:val="0"/>
        <w:rPr>
          <w:rFonts w:hint="eastAsia" w:ascii="宋体" w:hAnsi="宋体" w:eastAsia="宋体" w:cs="宋体"/>
          <w:b/>
          <w:bCs/>
          <w:spacing w:val="-6"/>
          <w:sz w:val="32"/>
          <w:szCs w:val="32"/>
        </w:rPr>
      </w:pPr>
      <w:r>
        <w:rPr>
          <w:rFonts w:hint="eastAsia" w:ascii="宋体" w:hAnsi="宋体" w:eastAsia="宋体" w:cs="宋体"/>
          <w:b/>
          <w:sz w:val="32"/>
          <w:szCs w:val="32"/>
        </w:rPr>
        <w:t>第五章  拟签订的合同文本</w:t>
      </w:r>
    </w:p>
    <w:p w14:paraId="7CF7B300">
      <w:pPr>
        <w:spacing w:before="120" w:beforeLines="50" w:after="120" w:afterLines="50" w:line="360" w:lineRule="auto"/>
        <w:jc w:val="center"/>
        <w:rPr>
          <w:rFonts w:hint="eastAsia" w:ascii="宋体" w:hAnsi="宋体" w:eastAsia="宋体" w:cs="宋体"/>
          <w:b/>
          <w:sz w:val="24"/>
          <w:szCs w:val="24"/>
        </w:rPr>
      </w:pPr>
      <w:r>
        <w:rPr>
          <w:rFonts w:hint="eastAsia" w:ascii="宋体" w:hAnsi="宋体" w:eastAsia="宋体" w:cs="宋体"/>
          <w:b/>
          <w:sz w:val="24"/>
          <w:szCs w:val="24"/>
        </w:rPr>
        <w:t>浙江省政府采购合同（三方合同）</w:t>
      </w:r>
    </w:p>
    <w:tbl>
      <w:tblPr>
        <w:tblStyle w:val="23"/>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5"/>
        <w:gridCol w:w="4926"/>
      </w:tblGrid>
      <w:tr w14:paraId="2B47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25" w:type="dxa"/>
            <w:vAlign w:val="center"/>
          </w:tcPr>
          <w:p w14:paraId="459B0900">
            <w:pPr>
              <w:spacing w:line="360" w:lineRule="auto"/>
              <w:rPr>
                <w:rFonts w:hint="eastAsia" w:ascii="宋体" w:hAnsi="宋体" w:eastAsia="宋体" w:cs="宋体"/>
                <w:szCs w:val="21"/>
              </w:rPr>
            </w:pPr>
            <w:r>
              <w:rPr>
                <w:rFonts w:hint="eastAsia" w:ascii="宋体" w:hAnsi="宋体" w:eastAsia="宋体" w:cs="宋体"/>
                <w:szCs w:val="21"/>
              </w:rPr>
              <w:t>招标编号：</w:t>
            </w:r>
            <w:r>
              <w:rPr>
                <w:rFonts w:hint="eastAsia" w:ascii="宋体" w:hAnsi="宋体" w:eastAsia="宋体" w:cs="宋体"/>
                <w:bCs/>
                <w:szCs w:val="21"/>
              </w:rPr>
              <w:t xml:space="preserve"> </w:t>
            </w:r>
          </w:p>
        </w:tc>
        <w:tc>
          <w:tcPr>
            <w:tcW w:w="4926" w:type="dxa"/>
            <w:vAlign w:val="center"/>
          </w:tcPr>
          <w:p w14:paraId="67B52488">
            <w:pPr>
              <w:spacing w:line="360" w:lineRule="auto"/>
              <w:rPr>
                <w:rFonts w:hint="eastAsia" w:ascii="宋体" w:hAnsi="宋体" w:eastAsia="宋体" w:cs="宋体"/>
                <w:szCs w:val="21"/>
              </w:rPr>
            </w:pPr>
            <w:r>
              <w:rPr>
                <w:rFonts w:hint="eastAsia" w:ascii="宋体" w:hAnsi="宋体" w:eastAsia="宋体" w:cs="宋体"/>
                <w:szCs w:val="21"/>
              </w:rPr>
              <w:t xml:space="preserve">采购计划书号： </w:t>
            </w:r>
          </w:p>
        </w:tc>
      </w:tr>
      <w:tr w14:paraId="10BA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25" w:type="dxa"/>
            <w:vAlign w:val="center"/>
          </w:tcPr>
          <w:p w14:paraId="6D1EEE5F">
            <w:pPr>
              <w:spacing w:line="360" w:lineRule="auto"/>
              <w:rPr>
                <w:rFonts w:hint="eastAsia" w:ascii="宋体" w:hAnsi="宋体" w:eastAsia="宋体" w:cs="宋体"/>
                <w:szCs w:val="21"/>
              </w:rPr>
            </w:pPr>
            <w:r>
              <w:rPr>
                <w:rFonts w:hint="eastAsia" w:ascii="宋体" w:hAnsi="宋体" w:eastAsia="宋体" w:cs="宋体"/>
                <w:szCs w:val="21"/>
              </w:rPr>
              <w:t>浙江工商大学合同编号：</w:t>
            </w:r>
          </w:p>
        </w:tc>
        <w:tc>
          <w:tcPr>
            <w:tcW w:w="4926" w:type="dxa"/>
            <w:vAlign w:val="center"/>
          </w:tcPr>
          <w:p w14:paraId="56AB9D35">
            <w:pPr>
              <w:spacing w:line="360" w:lineRule="auto"/>
              <w:rPr>
                <w:rFonts w:hint="eastAsia" w:ascii="宋体" w:hAnsi="宋体" w:eastAsia="宋体" w:cs="宋体"/>
                <w:szCs w:val="21"/>
              </w:rPr>
            </w:pPr>
            <w:r>
              <w:rPr>
                <w:rFonts w:hint="eastAsia" w:ascii="宋体" w:hAnsi="宋体" w:eastAsia="宋体" w:cs="宋体"/>
                <w:szCs w:val="21"/>
              </w:rPr>
              <w:t>浙江工商大学标书编号：</w:t>
            </w:r>
          </w:p>
        </w:tc>
      </w:tr>
    </w:tbl>
    <w:p w14:paraId="6E2D42EF">
      <w:pPr>
        <w:spacing w:before="120" w:beforeLines="50" w:line="360" w:lineRule="auto"/>
        <w:rPr>
          <w:rFonts w:hint="eastAsia" w:ascii="宋体" w:hAnsi="宋体" w:eastAsia="宋体" w:cs="宋体"/>
          <w:szCs w:val="21"/>
        </w:rPr>
      </w:pPr>
      <w:r>
        <w:rPr>
          <w:rFonts w:hint="eastAsia" w:ascii="宋体" w:hAnsi="宋体" w:eastAsia="宋体" w:cs="宋体"/>
          <w:szCs w:val="21"/>
        </w:rPr>
        <w:t>甲方（采购人）：浙江工商大学</w:t>
      </w:r>
    </w:p>
    <w:p w14:paraId="596DC6FB">
      <w:pPr>
        <w:spacing w:line="360" w:lineRule="auto"/>
        <w:rPr>
          <w:rFonts w:hint="eastAsia" w:ascii="宋体" w:hAnsi="宋体" w:eastAsia="宋体" w:cs="宋体"/>
          <w:szCs w:val="21"/>
        </w:rPr>
      </w:pPr>
      <w:r>
        <w:rPr>
          <w:rFonts w:hint="eastAsia" w:ascii="宋体" w:hAnsi="宋体" w:eastAsia="宋体" w:cs="宋体"/>
          <w:szCs w:val="21"/>
        </w:rPr>
        <w:t xml:space="preserve">乙方（供应商）： </w:t>
      </w:r>
    </w:p>
    <w:p w14:paraId="63776446">
      <w:pPr>
        <w:spacing w:line="360" w:lineRule="auto"/>
        <w:rPr>
          <w:rFonts w:hint="eastAsia" w:ascii="宋体" w:hAnsi="宋体" w:eastAsia="宋体" w:cs="宋体"/>
          <w:szCs w:val="21"/>
        </w:rPr>
      </w:pPr>
      <w:r>
        <w:rPr>
          <w:rFonts w:hint="eastAsia" w:ascii="宋体" w:hAnsi="宋体" w:eastAsia="宋体" w:cs="宋体"/>
          <w:szCs w:val="21"/>
        </w:rPr>
        <w:t xml:space="preserve">鉴证方（采购代理机构）：  </w:t>
      </w:r>
    </w:p>
    <w:p w14:paraId="764EAA24">
      <w:pPr>
        <w:spacing w:before="120" w:beforeLines="50" w:after="120" w:afterLines="50" w:line="360" w:lineRule="auto"/>
        <w:rPr>
          <w:rFonts w:hint="eastAsia" w:ascii="宋体" w:hAnsi="宋体" w:eastAsia="宋体" w:cs="宋体"/>
          <w:szCs w:val="21"/>
        </w:rPr>
      </w:pPr>
      <w:r>
        <w:rPr>
          <w:rFonts w:hint="eastAsia" w:ascii="宋体" w:hAnsi="宋体" w:eastAsia="宋体" w:cs="宋体"/>
          <w:szCs w:val="21"/>
        </w:rPr>
        <w:t>签约地点：杭州</w:t>
      </w:r>
    </w:p>
    <w:p w14:paraId="42E229A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甲乙双方根据</w:t>
      </w:r>
      <w:r>
        <w:rPr>
          <w:rFonts w:hint="eastAsia" w:ascii="宋体" w:hAnsi="宋体" w:eastAsia="宋体" w:cs="宋体"/>
          <w:szCs w:val="21"/>
          <w:u w:val="single"/>
        </w:rPr>
        <w:t xml:space="preserve">          </w:t>
      </w:r>
      <w:r>
        <w:rPr>
          <w:rFonts w:hint="eastAsia" w:ascii="宋体" w:hAnsi="宋体" w:eastAsia="宋体" w:cs="宋体"/>
          <w:szCs w:val="21"/>
        </w:rPr>
        <w:t>关于</w:t>
      </w:r>
      <w:r>
        <w:rPr>
          <w:rFonts w:hint="eastAsia" w:ascii="宋体" w:hAnsi="宋体" w:eastAsia="宋体" w:cs="宋体"/>
          <w:szCs w:val="21"/>
          <w:u w:val="single"/>
        </w:rPr>
        <w:t xml:space="preserve">                </w:t>
      </w:r>
      <w:r>
        <w:rPr>
          <w:rFonts w:hint="eastAsia" w:ascii="宋体" w:hAnsi="宋体" w:eastAsia="宋体" w:cs="宋体"/>
          <w:szCs w:val="21"/>
        </w:rPr>
        <w:t>项目</w:t>
      </w:r>
      <w:r>
        <w:rPr>
          <w:rFonts w:hint="eastAsia" w:ascii="宋体" w:hAnsi="宋体" w:eastAsia="宋体" w:cs="宋体"/>
          <w:szCs w:val="21"/>
          <w:u w:val="single"/>
        </w:rPr>
        <w:t xml:space="preserve">       </w:t>
      </w:r>
      <w:r>
        <w:rPr>
          <w:rFonts w:hint="eastAsia" w:ascii="宋体" w:hAnsi="宋体" w:eastAsia="宋体" w:cs="宋体"/>
          <w:szCs w:val="21"/>
        </w:rPr>
        <w:t>的结果，签署本采购合同。</w:t>
      </w:r>
    </w:p>
    <w:p w14:paraId="7965C2C3">
      <w:pPr>
        <w:spacing w:line="360" w:lineRule="auto"/>
        <w:ind w:firstLine="435"/>
        <w:rPr>
          <w:rFonts w:hint="eastAsia" w:ascii="宋体" w:hAnsi="宋体" w:eastAsia="宋体" w:cs="宋体"/>
          <w:b/>
          <w:szCs w:val="21"/>
        </w:rPr>
      </w:pPr>
      <w:r>
        <w:rPr>
          <w:rFonts w:hint="eastAsia" w:ascii="宋体" w:hAnsi="宋体" w:eastAsia="宋体" w:cs="宋体"/>
          <w:b/>
          <w:szCs w:val="21"/>
        </w:rPr>
        <w:t>一、货物内容及价格</w:t>
      </w:r>
    </w:p>
    <w:p w14:paraId="4FEDA8C7">
      <w:pPr>
        <w:spacing w:line="360" w:lineRule="auto"/>
        <w:ind w:firstLine="435"/>
        <w:rPr>
          <w:rFonts w:hint="eastAsia" w:ascii="宋体" w:hAnsi="宋体" w:eastAsia="宋体" w:cs="宋体"/>
          <w:szCs w:val="21"/>
        </w:rPr>
      </w:pPr>
      <w:r>
        <w:rPr>
          <w:rFonts w:hint="eastAsia" w:ascii="宋体" w:hAnsi="宋体" w:eastAsia="宋体" w:cs="宋体"/>
          <w:szCs w:val="21"/>
        </w:rPr>
        <w:t>1、货物名称和型号规格、数量、配置要求、价格：</w:t>
      </w:r>
    </w:p>
    <w:p w14:paraId="6B70B088">
      <w:pPr>
        <w:spacing w:line="360" w:lineRule="auto"/>
        <w:ind w:firstLine="435"/>
        <w:jc w:val="right"/>
        <w:rPr>
          <w:rFonts w:hint="eastAsia" w:ascii="宋体" w:hAnsi="宋体" w:eastAsia="宋体" w:cs="宋体"/>
          <w:szCs w:val="21"/>
        </w:rPr>
      </w:pPr>
      <w:r>
        <w:rPr>
          <w:rFonts w:hint="eastAsia" w:ascii="宋体" w:hAnsi="宋体" w:eastAsia="宋体" w:cs="宋体"/>
          <w:szCs w:val="21"/>
        </w:rPr>
        <w:t xml:space="preserve">                                            金额单位：元</w:t>
      </w:r>
    </w:p>
    <w:tbl>
      <w:tblPr>
        <w:tblStyle w:val="23"/>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815"/>
        <w:gridCol w:w="2119"/>
        <w:gridCol w:w="656"/>
        <w:gridCol w:w="656"/>
        <w:gridCol w:w="1147"/>
        <w:gridCol w:w="1877"/>
      </w:tblGrid>
      <w:tr w14:paraId="3DC57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3" w:type="dxa"/>
            <w:tcBorders>
              <w:top w:val="single" w:color="auto" w:sz="4" w:space="0"/>
              <w:left w:val="single" w:color="auto" w:sz="4" w:space="0"/>
              <w:bottom w:val="single" w:color="auto" w:sz="4" w:space="0"/>
              <w:right w:val="single" w:color="auto" w:sz="4" w:space="0"/>
            </w:tcBorders>
            <w:vAlign w:val="center"/>
          </w:tcPr>
          <w:p w14:paraId="5D31543B">
            <w:pPr>
              <w:jc w:val="center"/>
              <w:rPr>
                <w:rFonts w:hint="eastAsia" w:ascii="宋体" w:hAnsi="宋体" w:eastAsia="宋体" w:cs="宋体"/>
                <w:spacing w:val="-6"/>
                <w:szCs w:val="21"/>
              </w:rPr>
            </w:pPr>
            <w:r>
              <w:rPr>
                <w:rFonts w:hint="eastAsia" w:ascii="宋体" w:hAnsi="宋体" w:eastAsia="宋体" w:cs="宋体"/>
                <w:spacing w:val="-6"/>
                <w:szCs w:val="21"/>
              </w:rPr>
              <w:t>序号</w:t>
            </w:r>
          </w:p>
        </w:tc>
        <w:tc>
          <w:tcPr>
            <w:tcW w:w="1815" w:type="dxa"/>
            <w:tcBorders>
              <w:top w:val="single" w:color="auto" w:sz="4" w:space="0"/>
              <w:left w:val="single" w:color="auto" w:sz="4" w:space="0"/>
              <w:bottom w:val="single" w:color="auto" w:sz="4" w:space="0"/>
              <w:right w:val="single" w:color="auto" w:sz="4" w:space="0"/>
            </w:tcBorders>
            <w:vAlign w:val="center"/>
          </w:tcPr>
          <w:p w14:paraId="48793AF8">
            <w:pPr>
              <w:jc w:val="center"/>
              <w:rPr>
                <w:rFonts w:hint="eastAsia" w:ascii="宋体" w:hAnsi="宋体" w:eastAsia="宋体" w:cs="宋体"/>
                <w:spacing w:val="-6"/>
                <w:szCs w:val="21"/>
              </w:rPr>
            </w:pPr>
            <w:r>
              <w:rPr>
                <w:rFonts w:hint="eastAsia" w:ascii="宋体" w:hAnsi="宋体" w:eastAsia="宋体" w:cs="宋体"/>
                <w:spacing w:val="-6"/>
                <w:szCs w:val="21"/>
              </w:rPr>
              <w:t>货物名称</w:t>
            </w:r>
          </w:p>
        </w:tc>
        <w:tc>
          <w:tcPr>
            <w:tcW w:w="2119" w:type="dxa"/>
            <w:tcBorders>
              <w:top w:val="single" w:color="auto" w:sz="4" w:space="0"/>
              <w:left w:val="single" w:color="auto" w:sz="4" w:space="0"/>
              <w:bottom w:val="single" w:color="auto" w:sz="4" w:space="0"/>
              <w:right w:val="single" w:color="auto" w:sz="4" w:space="0"/>
            </w:tcBorders>
            <w:vAlign w:val="center"/>
          </w:tcPr>
          <w:p w14:paraId="6DD80645">
            <w:pPr>
              <w:jc w:val="center"/>
              <w:rPr>
                <w:rFonts w:hint="eastAsia" w:ascii="宋体" w:hAnsi="宋体" w:eastAsia="宋体" w:cs="宋体"/>
                <w:spacing w:val="-6"/>
                <w:szCs w:val="21"/>
              </w:rPr>
            </w:pPr>
            <w:r>
              <w:rPr>
                <w:rFonts w:hint="eastAsia" w:ascii="宋体" w:hAnsi="宋体" w:eastAsia="宋体" w:cs="宋体"/>
                <w:spacing w:val="-6"/>
                <w:szCs w:val="21"/>
              </w:rPr>
              <w:t>厂牌、型号</w:t>
            </w:r>
          </w:p>
        </w:tc>
        <w:tc>
          <w:tcPr>
            <w:tcW w:w="656" w:type="dxa"/>
            <w:tcBorders>
              <w:top w:val="single" w:color="auto" w:sz="4" w:space="0"/>
              <w:left w:val="single" w:color="auto" w:sz="4" w:space="0"/>
              <w:bottom w:val="single" w:color="auto" w:sz="4" w:space="0"/>
              <w:right w:val="single" w:color="auto" w:sz="4" w:space="0"/>
            </w:tcBorders>
            <w:vAlign w:val="center"/>
          </w:tcPr>
          <w:p w14:paraId="13757E87">
            <w:pPr>
              <w:jc w:val="center"/>
              <w:rPr>
                <w:rFonts w:hint="eastAsia" w:ascii="宋体" w:hAnsi="宋体" w:eastAsia="宋体" w:cs="宋体"/>
                <w:spacing w:val="-6"/>
                <w:szCs w:val="21"/>
              </w:rPr>
            </w:pPr>
            <w:r>
              <w:rPr>
                <w:rFonts w:hint="eastAsia" w:ascii="宋体" w:hAnsi="宋体" w:eastAsia="宋体" w:cs="宋体"/>
                <w:spacing w:val="-6"/>
                <w:szCs w:val="21"/>
              </w:rPr>
              <w:t>数量</w:t>
            </w:r>
          </w:p>
        </w:tc>
        <w:tc>
          <w:tcPr>
            <w:tcW w:w="656" w:type="dxa"/>
            <w:tcBorders>
              <w:top w:val="single" w:color="auto" w:sz="4" w:space="0"/>
              <w:left w:val="single" w:color="auto" w:sz="4" w:space="0"/>
              <w:bottom w:val="single" w:color="auto" w:sz="4" w:space="0"/>
              <w:right w:val="single" w:color="auto" w:sz="4" w:space="0"/>
            </w:tcBorders>
            <w:vAlign w:val="center"/>
          </w:tcPr>
          <w:p w14:paraId="1D83C574">
            <w:pPr>
              <w:jc w:val="center"/>
              <w:rPr>
                <w:rFonts w:hint="eastAsia" w:ascii="宋体" w:hAnsi="宋体" w:eastAsia="宋体" w:cs="宋体"/>
                <w:spacing w:val="-6"/>
                <w:szCs w:val="21"/>
              </w:rPr>
            </w:pPr>
            <w:r>
              <w:rPr>
                <w:rFonts w:hint="eastAsia" w:ascii="宋体" w:hAnsi="宋体" w:eastAsia="宋体" w:cs="宋体"/>
                <w:spacing w:val="-6"/>
                <w:szCs w:val="21"/>
              </w:rPr>
              <w:t>单位</w:t>
            </w:r>
          </w:p>
        </w:tc>
        <w:tc>
          <w:tcPr>
            <w:tcW w:w="1147" w:type="dxa"/>
            <w:tcBorders>
              <w:top w:val="single" w:color="auto" w:sz="4" w:space="0"/>
              <w:left w:val="single" w:color="auto" w:sz="4" w:space="0"/>
              <w:bottom w:val="single" w:color="auto" w:sz="4" w:space="0"/>
              <w:right w:val="single" w:color="auto" w:sz="4" w:space="0"/>
            </w:tcBorders>
            <w:vAlign w:val="center"/>
          </w:tcPr>
          <w:p w14:paraId="633AC6C2">
            <w:pPr>
              <w:jc w:val="center"/>
              <w:rPr>
                <w:rFonts w:hint="eastAsia" w:ascii="宋体" w:hAnsi="宋体" w:eastAsia="宋体" w:cs="宋体"/>
                <w:spacing w:val="-6"/>
                <w:szCs w:val="21"/>
              </w:rPr>
            </w:pPr>
            <w:r>
              <w:rPr>
                <w:rFonts w:hint="eastAsia" w:ascii="宋体" w:hAnsi="宋体" w:eastAsia="宋体" w:cs="宋体"/>
                <w:spacing w:val="-6"/>
                <w:szCs w:val="21"/>
              </w:rPr>
              <w:t>单价</w:t>
            </w:r>
          </w:p>
        </w:tc>
        <w:tc>
          <w:tcPr>
            <w:tcW w:w="1877" w:type="dxa"/>
            <w:tcBorders>
              <w:top w:val="single" w:color="auto" w:sz="4" w:space="0"/>
              <w:left w:val="single" w:color="auto" w:sz="4" w:space="0"/>
              <w:bottom w:val="single" w:color="auto" w:sz="4" w:space="0"/>
              <w:right w:val="single" w:color="auto" w:sz="4" w:space="0"/>
            </w:tcBorders>
            <w:vAlign w:val="center"/>
          </w:tcPr>
          <w:p w14:paraId="60E7F596">
            <w:pPr>
              <w:jc w:val="center"/>
              <w:rPr>
                <w:rFonts w:hint="eastAsia" w:ascii="宋体" w:hAnsi="宋体" w:eastAsia="宋体" w:cs="宋体"/>
                <w:spacing w:val="-6"/>
                <w:szCs w:val="21"/>
              </w:rPr>
            </w:pPr>
            <w:r>
              <w:rPr>
                <w:rFonts w:hint="eastAsia" w:ascii="宋体" w:hAnsi="宋体" w:eastAsia="宋体" w:cs="宋体"/>
                <w:spacing w:val="-6"/>
                <w:szCs w:val="21"/>
              </w:rPr>
              <w:t>金额</w:t>
            </w:r>
          </w:p>
        </w:tc>
      </w:tr>
      <w:tr w14:paraId="53542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3" w:type="dxa"/>
            <w:tcBorders>
              <w:top w:val="single" w:color="auto" w:sz="4" w:space="0"/>
              <w:left w:val="single" w:color="auto" w:sz="4" w:space="0"/>
              <w:bottom w:val="single" w:color="auto" w:sz="4" w:space="0"/>
              <w:right w:val="single" w:color="auto" w:sz="4" w:space="0"/>
            </w:tcBorders>
            <w:vAlign w:val="center"/>
          </w:tcPr>
          <w:p w14:paraId="5B9A53AC">
            <w:pPr>
              <w:jc w:val="center"/>
              <w:rPr>
                <w:rFonts w:hint="eastAsia" w:ascii="宋体" w:hAnsi="宋体" w:eastAsia="宋体" w:cs="宋体"/>
                <w:spacing w:val="-6"/>
                <w:szCs w:val="21"/>
              </w:rPr>
            </w:pPr>
            <w:r>
              <w:rPr>
                <w:rFonts w:hint="eastAsia" w:ascii="宋体" w:hAnsi="宋体" w:eastAsia="宋体" w:cs="宋体"/>
                <w:spacing w:val="-6"/>
                <w:szCs w:val="21"/>
              </w:rPr>
              <w:t>1</w:t>
            </w:r>
          </w:p>
        </w:tc>
        <w:tc>
          <w:tcPr>
            <w:tcW w:w="1815" w:type="dxa"/>
            <w:tcBorders>
              <w:top w:val="single" w:color="auto" w:sz="4" w:space="0"/>
              <w:left w:val="single" w:color="auto" w:sz="4" w:space="0"/>
              <w:bottom w:val="single" w:color="auto" w:sz="4" w:space="0"/>
              <w:right w:val="single" w:color="auto" w:sz="4" w:space="0"/>
            </w:tcBorders>
            <w:vAlign w:val="center"/>
          </w:tcPr>
          <w:p w14:paraId="4A88D0FD">
            <w:pPr>
              <w:jc w:val="center"/>
              <w:rPr>
                <w:rFonts w:hint="eastAsia" w:ascii="宋体" w:hAnsi="宋体" w:eastAsia="宋体" w:cs="宋体"/>
                <w:spacing w:val="-6"/>
                <w:szCs w:val="21"/>
              </w:rPr>
            </w:pPr>
          </w:p>
        </w:tc>
        <w:tc>
          <w:tcPr>
            <w:tcW w:w="2119" w:type="dxa"/>
            <w:tcBorders>
              <w:top w:val="single" w:color="auto" w:sz="4" w:space="0"/>
              <w:left w:val="single" w:color="auto" w:sz="4" w:space="0"/>
              <w:bottom w:val="single" w:color="auto" w:sz="4" w:space="0"/>
              <w:right w:val="single" w:color="auto" w:sz="4" w:space="0"/>
            </w:tcBorders>
            <w:vAlign w:val="center"/>
          </w:tcPr>
          <w:p w14:paraId="7DC65C23">
            <w:pPr>
              <w:jc w:val="center"/>
              <w:rPr>
                <w:rFonts w:hint="eastAsia" w:ascii="宋体" w:hAnsi="宋体" w:eastAsia="宋体" w:cs="宋体"/>
                <w:spacing w:val="-6"/>
                <w:szCs w:val="21"/>
              </w:rPr>
            </w:pPr>
          </w:p>
        </w:tc>
        <w:tc>
          <w:tcPr>
            <w:tcW w:w="656" w:type="dxa"/>
            <w:tcBorders>
              <w:top w:val="single" w:color="auto" w:sz="4" w:space="0"/>
              <w:left w:val="single" w:color="auto" w:sz="4" w:space="0"/>
              <w:bottom w:val="single" w:color="auto" w:sz="4" w:space="0"/>
              <w:right w:val="single" w:color="auto" w:sz="4" w:space="0"/>
            </w:tcBorders>
            <w:vAlign w:val="center"/>
          </w:tcPr>
          <w:p w14:paraId="3DC9AFF0">
            <w:pPr>
              <w:jc w:val="center"/>
              <w:rPr>
                <w:rFonts w:hint="eastAsia" w:ascii="宋体" w:hAnsi="宋体" w:eastAsia="宋体" w:cs="宋体"/>
                <w:spacing w:val="-6"/>
                <w:szCs w:val="21"/>
              </w:rPr>
            </w:pPr>
          </w:p>
        </w:tc>
        <w:tc>
          <w:tcPr>
            <w:tcW w:w="656" w:type="dxa"/>
            <w:tcBorders>
              <w:top w:val="single" w:color="auto" w:sz="4" w:space="0"/>
              <w:left w:val="single" w:color="auto" w:sz="4" w:space="0"/>
              <w:bottom w:val="single" w:color="auto" w:sz="4" w:space="0"/>
              <w:right w:val="single" w:color="auto" w:sz="4" w:space="0"/>
            </w:tcBorders>
            <w:vAlign w:val="center"/>
          </w:tcPr>
          <w:p w14:paraId="7D6F6286">
            <w:pPr>
              <w:jc w:val="center"/>
              <w:rPr>
                <w:rFonts w:hint="eastAsia" w:ascii="宋体" w:hAnsi="宋体" w:eastAsia="宋体" w:cs="宋体"/>
                <w:spacing w:val="-6"/>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3523B4CD">
            <w:pPr>
              <w:jc w:val="center"/>
              <w:rPr>
                <w:rFonts w:hint="eastAsia" w:ascii="宋体" w:hAnsi="宋体" w:eastAsia="宋体" w:cs="宋体"/>
                <w:spacing w:val="-6"/>
                <w:szCs w:val="21"/>
              </w:rPr>
            </w:pPr>
          </w:p>
        </w:tc>
        <w:tc>
          <w:tcPr>
            <w:tcW w:w="1877" w:type="dxa"/>
            <w:tcBorders>
              <w:top w:val="single" w:color="auto" w:sz="4" w:space="0"/>
              <w:left w:val="single" w:color="auto" w:sz="4" w:space="0"/>
              <w:bottom w:val="single" w:color="auto" w:sz="4" w:space="0"/>
              <w:right w:val="single" w:color="auto" w:sz="4" w:space="0"/>
            </w:tcBorders>
            <w:vAlign w:val="center"/>
          </w:tcPr>
          <w:p w14:paraId="35DBFBB5">
            <w:pPr>
              <w:jc w:val="center"/>
              <w:rPr>
                <w:rFonts w:hint="eastAsia" w:ascii="宋体" w:hAnsi="宋体" w:eastAsia="宋体" w:cs="宋体"/>
                <w:spacing w:val="-6"/>
                <w:szCs w:val="21"/>
              </w:rPr>
            </w:pPr>
          </w:p>
        </w:tc>
      </w:tr>
      <w:tr w14:paraId="52AA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3" w:type="dxa"/>
            <w:tcBorders>
              <w:top w:val="single" w:color="auto" w:sz="4" w:space="0"/>
              <w:left w:val="single" w:color="auto" w:sz="4" w:space="0"/>
              <w:bottom w:val="single" w:color="auto" w:sz="4" w:space="0"/>
              <w:right w:val="single" w:color="auto" w:sz="4" w:space="0"/>
            </w:tcBorders>
            <w:vAlign w:val="center"/>
          </w:tcPr>
          <w:p w14:paraId="5DDFC9D0">
            <w:pPr>
              <w:jc w:val="center"/>
              <w:rPr>
                <w:rFonts w:hint="eastAsia" w:ascii="宋体" w:hAnsi="宋体" w:eastAsia="宋体" w:cs="宋体"/>
                <w:spacing w:val="-6"/>
                <w:szCs w:val="21"/>
              </w:rPr>
            </w:pPr>
            <w:r>
              <w:rPr>
                <w:rFonts w:hint="eastAsia" w:ascii="宋体" w:hAnsi="宋体" w:eastAsia="宋体" w:cs="宋体"/>
                <w:spacing w:val="-6"/>
                <w:szCs w:val="21"/>
              </w:rPr>
              <w:t>2</w:t>
            </w:r>
          </w:p>
        </w:tc>
        <w:tc>
          <w:tcPr>
            <w:tcW w:w="1815" w:type="dxa"/>
            <w:tcBorders>
              <w:top w:val="single" w:color="auto" w:sz="4" w:space="0"/>
              <w:left w:val="single" w:color="auto" w:sz="4" w:space="0"/>
              <w:bottom w:val="single" w:color="auto" w:sz="4" w:space="0"/>
              <w:right w:val="single" w:color="auto" w:sz="4" w:space="0"/>
            </w:tcBorders>
            <w:vAlign w:val="center"/>
          </w:tcPr>
          <w:p w14:paraId="6D4E19C2">
            <w:pPr>
              <w:jc w:val="center"/>
              <w:rPr>
                <w:rFonts w:hint="eastAsia" w:ascii="宋体" w:hAnsi="宋体" w:eastAsia="宋体" w:cs="宋体"/>
                <w:spacing w:val="-6"/>
                <w:szCs w:val="21"/>
              </w:rPr>
            </w:pPr>
          </w:p>
        </w:tc>
        <w:tc>
          <w:tcPr>
            <w:tcW w:w="2119" w:type="dxa"/>
            <w:tcBorders>
              <w:top w:val="single" w:color="auto" w:sz="4" w:space="0"/>
              <w:left w:val="single" w:color="auto" w:sz="4" w:space="0"/>
              <w:bottom w:val="single" w:color="auto" w:sz="4" w:space="0"/>
              <w:right w:val="single" w:color="auto" w:sz="4" w:space="0"/>
            </w:tcBorders>
            <w:vAlign w:val="center"/>
          </w:tcPr>
          <w:p w14:paraId="683F2893">
            <w:pPr>
              <w:jc w:val="center"/>
              <w:rPr>
                <w:rFonts w:hint="eastAsia" w:ascii="宋体" w:hAnsi="宋体" w:eastAsia="宋体" w:cs="宋体"/>
                <w:spacing w:val="-6"/>
                <w:szCs w:val="21"/>
              </w:rPr>
            </w:pPr>
          </w:p>
        </w:tc>
        <w:tc>
          <w:tcPr>
            <w:tcW w:w="656" w:type="dxa"/>
            <w:tcBorders>
              <w:top w:val="single" w:color="auto" w:sz="4" w:space="0"/>
              <w:left w:val="single" w:color="auto" w:sz="4" w:space="0"/>
              <w:bottom w:val="single" w:color="auto" w:sz="4" w:space="0"/>
              <w:right w:val="single" w:color="auto" w:sz="4" w:space="0"/>
            </w:tcBorders>
            <w:vAlign w:val="center"/>
          </w:tcPr>
          <w:p w14:paraId="5A048E68">
            <w:pPr>
              <w:jc w:val="center"/>
              <w:rPr>
                <w:rFonts w:hint="eastAsia" w:ascii="宋体" w:hAnsi="宋体" w:eastAsia="宋体" w:cs="宋体"/>
                <w:spacing w:val="-6"/>
                <w:szCs w:val="21"/>
              </w:rPr>
            </w:pPr>
          </w:p>
        </w:tc>
        <w:tc>
          <w:tcPr>
            <w:tcW w:w="656" w:type="dxa"/>
            <w:tcBorders>
              <w:top w:val="single" w:color="auto" w:sz="4" w:space="0"/>
              <w:left w:val="single" w:color="auto" w:sz="4" w:space="0"/>
              <w:bottom w:val="single" w:color="auto" w:sz="4" w:space="0"/>
              <w:right w:val="single" w:color="auto" w:sz="4" w:space="0"/>
            </w:tcBorders>
            <w:vAlign w:val="center"/>
          </w:tcPr>
          <w:p w14:paraId="7BD8010C">
            <w:pPr>
              <w:jc w:val="center"/>
              <w:rPr>
                <w:rFonts w:hint="eastAsia" w:ascii="宋体" w:hAnsi="宋体" w:eastAsia="宋体" w:cs="宋体"/>
                <w:spacing w:val="-6"/>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28AD1E53">
            <w:pPr>
              <w:jc w:val="center"/>
              <w:rPr>
                <w:rFonts w:hint="eastAsia" w:ascii="宋体" w:hAnsi="宋体" w:eastAsia="宋体" w:cs="宋体"/>
                <w:spacing w:val="-6"/>
                <w:szCs w:val="21"/>
              </w:rPr>
            </w:pPr>
          </w:p>
        </w:tc>
        <w:tc>
          <w:tcPr>
            <w:tcW w:w="1877" w:type="dxa"/>
            <w:tcBorders>
              <w:top w:val="single" w:color="auto" w:sz="4" w:space="0"/>
              <w:left w:val="single" w:color="auto" w:sz="4" w:space="0"/>
              <w:bottom w:val="single" w:color="auto" w:sz="4" w:space="0"/>
              <w:right w:val="single" w:color="auto" w:sz="4" w:space="0"/>
            </w:tcBorders>
            <w:vAlign w:val="center"/>
          </w:tcPr>
          <w:p w14:paraId="14711E76">
            <w:pPr>
              <w:jc w:val="center"/>
              <w:rPr>
                <w:rFonts w:hint="eastAsia" w:ascii="宋体" w:hAnsi="宋体" w:eastAsia="宋体" w:cs="宋体"/>
                <w:spacing w:val="-6"/>
                <w:szCs w:val="21"/>
              </w:rPr>
            </w:pPr>
          </w:p>
        </w:tc>
      </w:tr>
      <w:tr w14:paraId="442F3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803" w:type="dxa"/>
            <w:tcBorders>
              <w:top w:val="single" w:color="auto" w:sz="4" w:space="0"/>
              <w:left w:val="single" w:color="auto" w:sz="4" w:space="0"/>
              <w:bottom w:val="single" w:color="auto" w:sz="4" w:space="0"/>
              <w:right w:val="single" w:color="auto" w:sz="4" w:space="0"/>
            </w:tcBorders>
            <w:vAlign w:val="center"/>
          </w:tcPr>
          <w:p w14:paraId="6B46F6E3">
            <w:pPr>
              <w:jc w:val="center"/>
              <w:rPr>
                <w:rFonts w:hint="eastAsia" w:ascii="宋体" w:hAnsi="宋体" w:eastAsia="宋体" w:cs="宋体"/>
                <w:spacing w:val="-6"/>
                <w:szCs w:val="21"/>
              </w:rPr>
            </w:pPr>
            <w:r>
              <w:rPr>
                <w:rFonts w:hint="eastAsia" w:ascii="宋体" w:hAnsi="宋体" w:eastAsia="宋体" w:cs="宋体"/>
                <w:spacing w:val="-6"/>
                <w:szCs w:val="21"/>
              </w:rPr>
              <w:t>3</w:t>
            </w:r>
          </w:p>
        </w:tc>
        <w:tc>
          <w:tcPr>
            <w:tcW w:w="1815" w:type="dxa"/>
            <w:tcBorders>
              <w:top w:val="single" w:color="auto" w:sz="4" w:space="0"/>
              <w:left w:val="single" w:color="auto" w:sz="4" w:space="0"/>
              <w:bottom w:val="single" w:color="auto" w:sz="4" w:space="0"/>
              <w:right w:val="single" w:color="auto" w:sz="4" w:space="0"/>
            </w:tcBorders>
            <w:vAlign w:val="center"/>
          </w:tcPr>
          <w:p w14:paraId="1C7A4C1E">
            <w:pPr>
              <w:jc w:val="center"/>
              <w:rPr>
                <w:rFonts w:hint="eastAsia" w:ascii="宋体" w:hAnsi="宋体" w:eastAsia="宋体" w:cs="宋体"/>
                <w:spacing w:val="-6"/>
                <w:szCs w:val="21"/>
              </w:rPr>
            </w:pPr>
          </w:p>
        </w:tc>
        <w:tc>
          <w:tcPr>
            <w:tcW w:w="2119" w:type="dxa"/>
            <w:tcBorders>
              <w:top w:val="single" w:color="auto" w:sz="4" w:space="0"/>
              <w:left w:val="single" w:color="auto" w:sz="4" w:space="0"/>
              <w:bottom w:val="single" w:color="auto" w:sz="4" w:space="0"/>
              <w:right w:val="single" w:color="auto" w:sz="4" w:space="0"/>
            </w:tcBorders>
            <w:vAlign w:val="center"/>
          </w:tcPr>
          <w:p w14:paraId="1AC6D2DF">
            <w:pPr>
              <w:jc w:val="center"/>
              <w:rPr>
                <w:rFonts w:hint="eastAsia" w:ascii="宋体" w:hAnsi="宋体" w:eastAsia="宋体" w:cs="宋体"/>
                <w:spacing w:val="-6"/>
                <w:szCs w:val="21"/>
              </w:rPr>
            </w:pPr>
          </w:p>
        </w:tc>
        <w:tc>
          <w:tcPr>
            <w:tcW w:w="656" w:type="dxa"/>
            <w:tcBorders>
              <w:top w:val="single" w:color="auto" w:sz="4" w:space="0"/>
              <w:left w:val="single" w:color="auto" w:sz="4" w:space="0"/>
              <w:bottom w:val="single" w:color="auto" w:sz="4" w:space="0"/>
              <w:right w:val="single" w:color="auto" w:sz="4" w:space="0"/>
            </w:tcBorders>
            <w:vAlign w:val="center"/>
          </w:tcPr>
          <w:p w14:paraId="589482C9">
            <w:pPr>
              <w:jc w:val="center"/>
              <w:rPr>
                <w:rFonts w:hint="eastAsia" w:ascii="宋体" w:hAnsi="宋体" w:eastAsia="宋体" w:cs="宋体"/>
                <w:spacing w:val="-6"/>
                <w:szCs w:val="21"/>
              </w:rPr>
            </w:pPr>
          </w:p>
        </w:tc>
        <w:tc>
          <w:tcPr>
            <w:tcW w:w="656" w:type="dxa"/>
            <w:tcBorders>
              <w:top w:val="single" w:color="auto" w:sz="4" w:space="0"/>
              <w:left w:val="single" w:color="auto" w:sz="4" w:space="0"/>
              <w:bottom w:val="single" w:color="auto" w:sz="4" w:space="0"/>
              <w:right w:val="single" w:color="auto" w:sz="4" w:space="0"/>
            </w:tcBorders>
            <w:vAlign w:val="center"/>
          </w:tcPr>
          <w:p w14:paraId="546A47B0">
            <w:pPr>
              <w:jc w:val="center"/>
              <w:rPr>
                <w:rFonts w:hint="eastAsia" w:ascii="宋体" w:hAnsi="宋体" w:eastAsia="宋体" w:cs="宋体"/>
                <w:spacing w:val="-6"/>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0C4D0FA5">
            <w:pPr>
              <w:jc w:val="center"/>
              <w:rPr>
                <w:rFonts w:hint="eastAsia" w:ascii="宋体" w:hAnsi="宋体" w:eastAsia="宋体" w:cs="宋体"/>
                <w:spacing w:val="-6"/>
                <w:szCs w:val="21"/>
              </w:rPr>
            </w:pPr>
          </w:p>
        </w:tc>
        <w:tc>
          <w:tcPr>
            <w:tcW w:w="1877" w:type="dxa"/>
            <w:tcBorders>
              <w:top w:val="single" w:color="auto" w:sz="4" w:space="0"/>
              <w:left w:val="single" w:color="auto" w:sz="4" w:space="0"/>
              <w:bottom w:val="single" w:color="auto" w:sz="4" w:space="0"/>
              <w:right w:val="single" w:color="auto" w:sz="4" w:space="0"/>
            </w:tcBorders>
            <w:vAlign w:val="center"/>
          </w:tcPr>
          <w:p w14:paraId="035DE537">
            <w:pPr>
              <w:jc w:val="center"/>
              <w:rPr>
                <w:rFonts w:hint="eastAsia" w:ascii="宋体" w:hAnsi="宋体" w:eastAsia="宋体" w:cs="宋体"/>
                <w:spacing w:val="-6"/>
                <w:szCs w:val="21"/>
              </w:rPr>
            </w:pPr>
          </w:p>
        </w:tc>
      </w:tr>
      <w:tr w14:paraId="1859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049" w:type="dxa"/>
            <w:gridSpan w:val="5"/>
            <w:tcBorders>
              <w:top w:val="single" w:color="auto" w:sz="4" w:space="0"/>
              <w:left w:val="single" w:color="auto" w:sz="4" w:space="0"/>
              <w:bottom w:val="single" w:color="auto" w:sz="4" w:space="0"/>
              <w:right w:val="single" w:color="auto" w:sz="4" w:space="0"/>
            </w:tcBorders>
            <w:vAlign w:val="center"/>
          </w:tcPr>
          <w:p w14:paraId="61A838E3">
            <w:pPr>
              <w:ind w:firstLine="396" w:firstLineChars="200"/>
              <w:jc w:val="center"/>
              <w:rPr>
                <w:rFonts w:hint="eastAsia" w:ascii="宋体" w:hAnsi="宋体" w:eastAsia="宋体" w:cs="宋体"/>
                <w:szCs w:val="21"/>
              </w:rPr>
            </w:pPr>
            <w:r>
              <w:rPr>
                <w:rFonts w:hint="eastAsia" w:ascii="宋体" w:hAnsi="宋体" w:eastAsia="宋体" w:cs="宋体"/>
                <w:spacing w:val="-6"/>
                <w:szCs w:val="21"/>
              </w:rPr>
              <w:t>合  计</w:t>
            </w:r>
          </w:p>
        </w:tc>
        <w:tc>
          <w:tcPr>
            <w:tcW w:w="3024" w:type="dxa"/>
            <w:gridSpan w:val="2"/>
            <w:tcBorders>
              <w:top w:val="single" w:color="auto" w:sz="4" w:space="0"/>
              <w:left w:val="single" w:color="auto" w:sz="4" w:space="0"/>
              <w:bottom w:val="single" w:color="auto" w:sz="4" w:space="0"/>
              <w:right w:val="single" w:color="auto" w:sz="4" w:space="0"/>
            </w:tcBorders>
            <w:vAlign w:val="center"/>
          </w:tcPr>
          <w:p w14:paraId="0D9B42AC">
            <w:pPr>
              <w:jc w:val="center"/>
              <w:rPr>
                <w:rFonts w:hint="eastAsia" w:ascii="宋体" w:hAnsi="宋体" w:eastAsia="宋体" w:cs="宋体"/>
                <w:szCs w:val="21"/>
              </w:rPr>
            </w:pPr>
          </w:p>
        </w:tc>
      </w:tr>
      <w:tr w14:paraId="354F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2618" w:type="dxa"/>
            <w:gridSpan w:val="2"/>
            <w:tcBorders>
              <w:top w:val="single" w:color="auto" w:sz="4" w:space="0"/>
              <w:left w:val="single" w:color="auto" w:sz="4" w:space="0"/>
              <w:bottom w:val="single" w:color="auto" w:sz="4" w:space="0"/>
              <w:right w:val="single" w:color="auto" w:sz="4" w:space="0"/>
            </w:tcBorders>
            <w:vAlign w:val="center"/>
          </w:tcPr>
          <w:p w14:paraId="395E0613">
            <w:pPr>
              <w:jc w:val="center"/>
              <w:rPr>
                <w:rFonts w:hint="eastAsia" w:ascii="宋体" w:hAnsi="宋体" w:eastAsia="宋体" w:cs="宋体"/>
                <w:spacing w:val="-6"/>
                <w:szCs w:val="21"/>
              </w:rPr>
            </w:pPr>
            <w:r>
              <w:rPr>
                <w:rFonts w:hint="eastAsia" w:ascii="宋体" w:hAnsi="宋体" w:eastAsia="宋体" w:cs="宋体"/>
                <w:spacing w:val="-6"/>
                <w:szCs w:val="21"/>
              </w:rPr>
              <w:t>合同总价（人民币）</w:t>
            </w:r>
          </w:p>
        </w:tc>
        <w:tc>
          <w:tcPr>
            <w:tcW w:w="6455" w:type="dxa"/>
            <w:gridSpan w:val="5"/>
            <w:tcBorders>
              <w:top w:val="single" w:color="auto" w:sz="4" w:space="0"/>
              <w:left w:val="single" w:color="auto" w:sz="4" w:space="0"/>
              <w:bottom w:val="single" w:color="auto" w:sz="4" w:space="0"/>
              <w:right w:val="single" w:color="auto" w:sz="4" w:space="0"/>
            </w:tcBorders>
            <w:vAlign w:val="center"/>
          </w:tcPr>
          <w:p w14:paraId="671BEC94">
            <w:pPr>
              <w:ind w:firstLine="420" w:firstLineChars="200"/>
              <w:rPr>
                <w:rFonts w:hint="eastAsia" w:ascii="宋体" w:hAnsi="宋体" w:eastAsia="宋体" w:cs="宋体"/>
                <w:spacing w:val="-6"/>
                <w:szCs w:val="21"/>
              </w:rPr>
            </w:pPr>
            <w:r>
              <w:rPr>
                <w:rFonts w:hint="eastAsia" w:ascii="宋体" w:hAnsi="宋体" w:eastAsia="宋体" w:cs="宋体"/>
                <w:szCs w:val="21"/>
              </w:rPr>
              <w:t>大写：                          小写：￥</w:t>
            </w:r>
            <w:r>
              <w:rPr>
                <w:rFonts w:hint="eastAsia" w:ascii="宋体" w:hAnsi="宋体" w:eastAsia="宋体" w:cs="宋体"/>
                <w:szCs w:val="21"/>
                <w:u w:val="single"/>
              </w:rPr>
              <w:t xml:space="preserve">          </w:t>
            </w:r>
          </w:p>
        </w:tc>
      </w:tr>
    </w:tbl>
    <w:p w14:paraId="52DBA2C7">
      <w:pPr>
        <w:spacing w:before="120"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2、上表所称合同总价，包括货物的运费、保险费、税费等全部费用。合同约定需对货物进行检测、安装和调试的，总价包括检测、安装和调试费用，合同另有约定的，从约定。</w:t>
      </w:r>
    </w:p>
    <w:p w14:paraId="4F008F59">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二、货物质量标准和要求</w:t>
      </w:r>
    </w:p>
    <w:p w14:paraId="6388281D">
      <w:pPr>
        <w:spacing w:line="360" w:lineRule="auto"/>
        <w:ind w:firstLine="420" w:firstLineChars="200"/>
        <w:rPr>
          <w:rFonts w:hint="eastAsia" w:ascii="宋体" w:hAnsi="宋体" w:eastAsia="宋体" w:cs="宋体"/>
          <w:color w:val="FF0000"/>
          <w:szCs w:val="21"/>
        </w:rPr>
      </w:pPr>
      <w:r>
        <w:rPr>
          <w:rFonts w:hint="eastAsia" w:ascii="宋体" w:hAnsi="宋体" w:eastAsia="宋体" w:cs="宋体"/>
          <w:szCs w:val="21"/>
        </w:rPr>
        <w:t>1、乙方交付的货物，应当符合招标书规定的质量标准和国家规定的质量标准，招标书规定的质量标准高于国家质量标准的，适用招标书规定的标准。没有国家质量标准的，适用行业质量标准。没有行业质量标准的，应当符合实现甲方合同目的的特定标准。</w:t>
      </w:r>
    </w:p>
    <w:p w14:paraId="7977D81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2、乙方交付的货物应当是最新生产的原装合格产品，进口商品应当是经商检合格的原装产品。软件产品需由乙方提供原厂知识产权证书及授权书。</w:t>
      </w:r>
    </w:p>
    <w:p w14:paraId="05AAF335">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三、货物的品质和权利担保责任</w:t>
      </w:r>
    </w:p>
    <w:p w14:paraId="0A40F8E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1、乙方应担保向甲方提供的货物的品质符合合同的约定，并符合国家和行业标准。</w:t>
      </w:r>
    </w:p>
    <w:p w14:paraId="799A1FD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2、乙方应担保向甲方提供的货物不侵犯第三人的知识产权，且货物上不存在抵押、查封等权利限制。</w:t>
      </w:r>
    </w:p>
    <w:p w14:paraId="28C47E7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3、乙方提供的货物不符合前条约定的质量标准和要求，或者违反本条前项规定的，乙方应当予以更换，因此构成迟延交货的，乙方应承担迟延的违约责任。</w:t>
      </w:r>
    </w:p>
    <w:p w14:paraId="15341204">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四、货物的交付及风险转移</w:t>
      </w:r>
    </w:p>
    <w:p w14:paraId="09A3F02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1、乙方的交货期限为：合同签订后</w:t>
      </w:r>
      <w:r>
        <w:rPr>
          <w:rFonts w:hint="eastAsia" w:ascii="宋体" w:hAnsi="宋体" w:eastAsia="宋体" w:cs="宋体"/>
          <w:szCs w:val="21"/>
          <w:u w:val="single"/>
        </w:rPr>
        <w:t xml:space="preserve">     </w:t>
      </w:r>
      <w:r>
        <w:rPr>
          <w:rFonts w:hint="eastAsia" w:ascii="宋体" w:hAnsi="宋体" w:eastAsia="宋体" w:cs="宋体"/>
          <w:szCs w:val="21"/>
        </w:rPr>
        <w:t>。乙方提前交货的，应当在三日前通知甲方，并征得甲方同意。</w:t>
      </w:r>
    </w:p>
    <w:p w14:paraId="7141EE8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2、乙方的交货方式依照下列第</w:t>
      </w:r>
      <w:r>
        <w:rPr>
          <w:rFonts w:hint="eastAsia" w:ascii="宋体" w:hAnsi="宋体" w:eastAsia="宋体" w:cs="宋体"/>
          <w:szCs w:val="21"/>
          <w:u w:val="single"/>
        </w:rPr>
        <w:t>（1）</w:t>
      </w:r>
      <w:r>
        <w:rPr>
          <w:rFonts w:hint="eastAsia" w:ascii="宋体" w:hAnsi="宋体" w:eastAsia="宋体" w:cs="宋体"/>
          <w:szCs w:val="21"/>
        </w:rPr>
        <w:t>目规定：</w:t>
      </w:r>
    </w:p>
    <w:p w14:paraId="096968E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（1）一次性交货；</w:t>
      </w:r>
    </w:p>
    <w:p w14:paraId="2BE9F2B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（2）分批交货。各批交货时间分别为：</w:t>
      </w:r>
    </w:p>
    <w:p w14:paraId="4911CC1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第一批：</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日前，交货内容为：</w:t>
      </w:r>
      <w:r>
        <w:rPr>
          <w:rFonts w:hint="eastAsia" w:ascii="宋体" w:hAnsi="宋体" w:eastAsia="宋体" w:cs="宋体"/>
          <w:szCs w:val="21"/>
          <w:u w:val="single"/>
        </w:rPr>
        <w:t xml:space="preserve">               </w:t>
      </w:r>
      <w:r>
        <w:rPr>
          <w:rFonts w:hint="eastAsia" w:ascii="宋体" w:hAnsi="宋体" w:eastAsia="宋体" w:cs="宋体"/>
          <w:szCs w:val="21"/>
        </w:rPr>
        <w:t>；</w:t>
      </w:r>
    </w:p>
    <w:p w14:paraId="4ACF9E9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第二批：</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日前，交货内容为：</w:t>
      </w:r>
      <w:r>
        <w:rPr>
          <w:rFonts w:hint="eastAsia" w:ascii="宋体" w:hAnsi="宋体" w:eastAsia="宋体" w:cs="宋体"/>
          <w:szCs w:val="21"/>
          <w:u w:val="single"/>
        </w:rPr>
        <w:t xml:space="preserve">               </w:t>
      </w:r>
      <w:r>
        <w:rPr>
          <w:rFonts w:hint="eastAsia" w:ascii="宋体" w:hAnsi="宋体" w:eastAsia="宋体" w:cs="宋体"/>
          <w:szCs w:val="21"/>
        </w:rPr>
        <w:t>；</w:t>
      </w:r>
    </w:p>
    <w:p w14:paraId="1A03F9F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第三批：</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日前，交货内容为：</w:t>
      </w:r>
      <w:r>
        <w:rPr>
          <w:rFonts w:hint="eastAsia" w:ascii="宋体" w:hAnsi="宋体" w:eastAsia="宋体" w:cs="宋体"/>
          <w:szCs w:val="21"/>
          <w:u w:val="single"/>
        </w:rPr>
        <w:t xml:space="preserve">               </w:t>
      </w:r>
      <w:r>
        <w:rPr>
          <w:rFonts w:hint="eastAsia" w:ascii="宋体" w:hAnsi="宋体" w:eastAsia="宋体" w:cs="宋体"/>
          <w:szCs w:val="21"/>
        </w:rPr>
        <w:t>；</w:t>
      </w:r>
    </w:p>
    <w:p w14:paraId="259892C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第四批：</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日前，交货内容为：</w:t>
      </w:r>
      <w:r>
        <w:rPr>
          <w:rFonts w:hint="eastAsia" w:ascii="宋体" w:hAnsi="宋体" w:eastAsia="宋体" w:cs="宋体"/>
          <w:szCs w:val="21"/>
          <w:u w:val="single"/>
        </w:rPr>
        <w:t xml:space="preserve">               </w:t>
      </w:r>
      <w:r>
        <w:rPr>
          <w:rFonts w:hint="eastAsia" w:ascii="宋体" w:hAnsi="宋体" w:eastAsia="宋体" w:cs="宋体"/>
          <w:szCs w:val="21"/>
        </w:rPr>
        <w:t>。</w:t>
      </w:r>
    </w:p>
    <w:p w14:paraId="6942C7C8">
      <w:pP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rPr>
        <w:t>3、交货地点为：</w:t>
      </w:r>
      <w:r>
        <w:rPr>
          <w:rFonts w:hint="eastAsia" w:ascii="宋体" w:hAnsi="宋体" w:eastAsia="宋体" w:cs="宋体"/>
          <w:szCs w:val="21"/>
          <w:u w:val="single"/>
        </w:rPr>
        <w:t xml:space="preserve">  浙江工商大学，甲方指定地点  。</w:t>
      </w:r>
    </w:p>
    <w:p w14:paraId="41F7436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4、货物的风险自于约定的交货地点交付于甲方并经甲方初步验收合格之时起转移于甲方。</w:t>
      </w:r>
    </w:p>
    <w:p w14:paraId="45E1E15F">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五、货物设备的检验、安装调试和验收</w:t>
      </w:r>
    </w:p>
    <w:p w14:paraId="058FC54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1、乙方交货前，应按照招标文件规定的标准对货物进行检验，整理检验文件并列出清单，该文件和清单应随货交付甲方，作为甲方验收和使用的技术依据。</w:t>
      </w:r>
    </w:p>
    <w:p w14:paraId="778F8DA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2、乙方向甲方交付货物设备后，应当负责对该设备进行安装和调试，直至达到约定的质量技术标准和使用性能。</w:t>
      </w:r>
    </w:p>
    <w:p w14:paraId="593B2D1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3、甲方对乙方提供的货物，依据招</w:t>
      </w:r>
      <w:r>
        <w:rPr>
          <w:rFonts w:hint="eastAsia" w:ascii="宋体" w:hAnsi="宋体" w:eastAsia="宋体" w:cs="宋体"/>
          <w:color w:val="000000" w:themeColor="text1"/>
          <w:szCs w:val="21"/>
          <w14:textFill>
            <w14:solidFill>
              <w14:schemeClr w14:val="tx1"/>
            </w14:solidFill>
          </w14:textFill>
        </w:rPr>
        <w:t>标文件规定的质量标准和技术要求进行验收。乙方交货后，甲方需在五个工作日内开始验收，验收通过后签署验收合格证明材料。货物设备需要安装的，在乙方送达</w:t>
      </w:r>
      <w:r>
        <w:rPr>
          <w:rFonts w:hint="eastAsia" w:ascii="宋体" w:hAnsi="宋体" w:eastAsia="宋体" w:cs="宋体"/>
          <w:szCs w:val="21"/>
        </w:rPr>
        <w:t>约定地点，由甲方进行初步验收合格后，再行安装。安装调试应在不迟于甲方初步验收合格后</w:t>
      </w:r>
      <w:r>
        <w:rPr>
          <w:rFonts w:hint="eastAsia" w:ascii="宋体" w:hAnsi="宋体" w:eastAsia="宋体" w:cs="宋体"/>
          <w:szCs w:val="21"/>
          <w:u w:val="single"/>
        </w:rPr>
        <w:t xml:space="preserve">     </w:t>
      </w:r>
      <w:r>
        <w:rPr>
          <w:rFonts w:hint="eastAsia" w:ascii="宋体" w:hAnsi="宋体" w:eastAsia="宋体" w:cs="宋体"/>
          <w:szCs w:val="21"/>
        </w:rPr>
        <w:t>个工作日内完成。安装调试完成后，由甲方进行最终验收，并签署验收合格证明材料。</w:t>
      </w:r>
    </w:p>
    <w:p w14:paraId="4E3DC65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4、甲方对乙方提供的货物的验收，并不能排除乙方依照第三条第3项应当对货物瑕疵承担的担保责任。</w:t>
      </w:r>
    </w:p>
    <w:p w14:paraId="32EDC7A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5、乙方在对货物设备进行安装调试的过程中，应为甲方培训使用操作人员。</w:t>
      </w:r>
    </w:p>
    <w:p w14:paraId="6711FEC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6、对技术复杂的货物，甲方可以请求国家认可的专业检测机构参与验收，并由其出具质量检测报告，检测费用由乙方承担。甲方根据其检测报告签署验收合格证明材料。</w:t>
      </w:r>
    </w:p>
    <w:p w14:paraId="3868FF3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7、在乙方安装调试期间，发生货物损害的，由乙方承担责任。因不可抗力原因造成损害的，由双方协商分担。</w:t>
      </w:r>
    </w:p>
    <w:p w14:paraId="2F13239E">
      <w:pPr>
        <w:spacing w:line="360" w:lineRule="auto"/>
        <w:ind w:firstLine="422" w:firstLineChars="200"/>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六、转包或分包</w:t>
      </w:r>
    </w:p>
    <w:p w14:paraId="0C4A20F2">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1、不允许转包。</w:t>
      </w:r>
    </w:p>
    <w:p w14:paraId="12DE8E67">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2、允许分包部分</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w:t>
      </w:r>
    </w:p>
    <w:p w14:paraId="7F09B884">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3、如乙方将项目转包或将不允许分包部分擅自分包，甲方有权解除合同、没收履约保证金（如有），并要求乙方支付合同总价15.0%的违约金。</w:t>
      </w:r>
    </w:p>
    <w:p w14:paraId="32F89B83">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七、技术资料及保密义务</w:t>
      </w:r>
    </w:p>
    <w:p w14:paraId="0672B84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1、乙方应按招标文件规定的时间向甲方提供货物的有关技术资料。</w:t>
      </w:r>
    </w:p>
    <w:p w14:paraId="7A150EE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2、未经甲方同意，乙方不得将甲方提供的与本合同履行有关的技术和商务资料向无关的第三人泄露。为履行合同必须向第三人提供时，应限于为履行合同所必须的范围。</w:t>
      </w:r>
    </w:p>
    <w:p w14:paraId="14EA99B4">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八、质量保证及售后服务</w:t>
      </w:r>
    </w:p>
    <w:p w14:paraId="07174EC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1、乙方交付的货物，自交付验收合格之日起</w:t>
      </w:r>
      <w:r>
        <w:rPr>
          <w:rFonts w:hint="eastAsia" w:ascii="宋体" w:hAnsi="宋体" w:eastAsia="宋体" w:cs="宋体"/>
          <w:szCs w:val="21"/>
          <w:u w:val="single"/>
        </w:rPr>
        <w:t xml:space="preserve">    </w:t>
      </w:r>
      <w:r>
        <w:rPr>
          <w:rFonts w:hint="eastAsia" w:ascii="宋体" w:hAnsi="宋体" w:eastAsia="宋体" w:cs="宋体"/>
          <w:snapToGrid w:val="0"/>
          <w:kern w:val="0"/>
          <w:szCs w:val="21"/>
          <w:u w:val="single"/>
        </w:rPr>
        <w:t xml:space="preserve">  </w:t>
      </w:r>
      <w:r>
        <w:rPr>
          <w:rFonts w:hint="eastAsia" w:ascii="宋体" w:hAnsi="宋体" w:eastAsia="宋体" w:cs="宋体"/>
          <w:szCs w:val="21"/>
        </w:rPr>
        <w:t>年内为质量保证期。</w:t>
      </w:r>
    </w:p>
    <w:p w14:paraId="24351D1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2、在质量保证期内，货物发生故障</w:t>
      </w:r>
      <w:r>
        <w:rPr>
          <w:rFonts w:hint="eastAsia" w:ascii="宋体" w:hAnsi="宋体" w:eastAsia="宋体" w:cs="宋体"/>
          <w:color w:val="000000" w:themeColor="text1"/>
          <w:szCs w:val="21"/>
          <w14:textFill>
            <w14:solidFill>
              <w14:schemeClr w14:val="tx1"/>
            </w14:solidFill>
          </w14:textFill>
        </w:rPr>
        <w:t>或损坏的，乙方应至迟在接到通知之日起两个工作日内修复，以保证甲方的正常使用。乙方无法在上述期限内修复或者经两次修复后又出现故障的，甲方有权选择</w:t>
      </w:r>
      <w:r>
        <w:rPr>
          <w:rFonts w:hint="eastAsia" w:ascii="宋体" w:hAnsi="宋体" w:eastAsia="宋体" w:cs="宋体"/>
          <w:szCs w:val="21"/>
        </w:rPr>
        <w:t>下列方式之一处理：</w:t>
      </w:r>
    </w:p>
    <w:p w14:paraId="24A94F6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（1）更换：由乙方承担所需费用；</w:t>
      </w:r>
    </w:p>
    <w:p w14:paraId="0E56D7D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（2）贬值处理：由甲乙双方协议确定价格；</w:t>
      </w:r>
    </w:p>
    <w:p w14:paraId="34A21A6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（3）退货：乙方应退还甲方已支付的价款，并承担退货所发生的费用和损失（包括运费、保险费、检验费、货款利息及银行手续费等）。</w:t>
      </w:r>
    </w:p>
    <w:p w14:paraId="49DBEB7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3、在质保期内，乙方依照前项规定对货物进行修复的，不得另行请求甲方支付修理费或服务费等费用。但因甲方人为原因造成的货物损害，不在此限。</w:t>
      </w:r>
    </w:p>
    <w:p w14:paraId="14E3F17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4、乙方交付的货物从验收合格之日起30日内发生无法排除的障碍时，由乙方整机调换。</w:t>
      </w:r>
    </w:p>
    <w:p w14:paraId="07B44565">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5、质保期届满后，乙方应当为货物提供维修服务，并可收取成本费。</w:t>
      </w:r>
    </w:p>
    <w:p w14:paraId="29D6E645">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6、为担保乙方履行合同义务，乙方在合同签订成立7日内，应向甲方交付履约保证金</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。（提交方式：支票、汇票、本票或者金融机构、担保机构出具的保函等非现金形式）。在没有发生质量索赔的情况下，履约保证金在验收合格后及时无息退还。</w:t>
      </w:r>
    </w:p>
    <w:p w14:paraId="344CAFD9">
      <w:pPr>
        <w:spacing w:line="360" w:lineRule="auto"/>
        <w:ind w:firstLine="420" w:firstLineChars="200"/>
        <w:rPr>
          <w:rFonts w:hint="eastAsia" w:ascii="宋体" w:hAnsi="宋体" w:eastAsia="宋体" w:cs="宋体"/>
          <w:color w:val="C00000"/>
          <w:szCs w:val="21"/>
        </w:rPr>
      </w:pPr>
      <w:r>
        <w:rPr>
          <w:rFonts w:hint="eastAsia" w:ascii="宋体" w:hAnsi="宋体" w:eastAsia="宋体" w:cs="宋体"/>
          <w:szCs w:val="21"/>
        </w:rPr>
        <w:t>乙方如因交付的货物存在质量瑕疵等，或者乙方存在其他违约情形，依法应承担违约金或赔偿责任时，按实际损失赔偿，并通知乙方。</w:t>
      </w:r>
    </w:p>
    <w:p w14:paraId="7D02D5F2">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九、货物包装及附件</w:t>
      </w:r>
    </w:p>
    <w:p w14:paraId="70D6950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1、乙方应在货物发运前对其进行符合安全、卫生、效率要求的包装。</w:t>
      </w:r>
    </w:p>
    <w:p w14:paraId="731F3D5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2、使用说明书、质量检验证书、保修卡、随配附件和工具及其清单，应当附于货物包装内。</w:t>
      </w:r>
    </w:p>
    <w:p w14:paraId="10826904">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十、货款的支付</w:t>
      </w:r>
    </w:p>
    <w:p w14:paraId="7603698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1、乙方提交银行、保险公司等金融机构出具的预付款保函（保函金额与预付款等额，保函有效期在验收合格日之后）；</w:t>
      </w:r>
    </w:p>
    <w:p w14:paraId="7BF4979D">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2、合同生效并具备实施条件后7个工作日内，甲方向乙方支付合同总价</w:t>
      </w:r>
      <w:r>
        <w:rPr>
          <w:rFonts w:hint="eastAsia" w:ascii="宋体" w:hAnsi="宋体" w:eastAsia="宋体" w:cs="宋体"/>
          <w:szCs w:val="21"/>
          <w:u w:val="single"/>
        </w:rPr>
        <w:t xml:space="preserve">     </w:t>
      </w:r>
      <w:r>
        <w:rPr>
          <w:rFonts w:hint="eastAsia" w:ascii="宋体" w:hAnsi="宋体" w:eastAsia="宋体" w:cs="宋体"/>
          <w:bCs/>
          <w:szCs w:val="21"/>
        </w:rPr>
        <w:t>%</w:t>
      </w:r>
      <w:r>
        <w:rPr>
          <w:rFonts w:hint="eastAsia" w:ascii="宋体" w:hAnsi="宋体" w:eastAsia="宋体" w:cs="宋体"/>
          <w:szCs w:val="21"/>
        </w:rPr>
        <w:t>（人民币大写：</w:t>
      </w:r>
      <w:r>
        <w:rPr>
          <w:rFonts w:hint="eastAsia" w:ascii="宋体" w:hAnsi="宋体" w:eastAsia="宋体" w:cs="宋体"/>
          <w:szCs w:val="21"/>
          <w:u w:val="single"/>
        </w:rPr>
        <w:t xml:space="preserve">        </w:t>
      </w:r>
      <w:r>
        <w:rPr>
          <w:rFonts w:hint="eastAsia" w:ascii="宋体" w:hAnsi="宋体" w:eastAsia="宋体" w:cs="宋体"/>
          <w:szCs w:val="21"/>
        </w:rPr>
        <w:t>元整，小写：</w:t>
      </w:r>
      <w:r>
        <w:rPr>
          <w:rFonts w:hint="eastAsia" w:ascii="宋体" w:hAnsi="宋体" w:eastAsia="宋体" w:cs="宋体"/>
          <w:szCs w:val="21"/>
          <w:u w:val="single"/>
        </w:rPr>
        <w:t xml:space="preserve">￥     </w:t>
      </w:r>
      <w:r>
        <w:rPr>
          <w:rFonts w:hint="eastAsia" w:ascii="宋体" w:hAnsi="宋体" w:eastAsia="宋体" w:cs="宋体"/>
          <w:szCs w:val="21"/>
        </w:rPr>
        <w:t>元）</w:t>
      </w:r>
      <w:r>
        <w:rPr>
          <w:rFonts w:hint="eastAsia" w:ascii="宋体" w:hAnsi="宋体" w:eastAsia="宋体" w:cs="宋体"/>
          <w:bCs/>
          <w:szCs w:val="21"/>
        </w:rPr>
        <w:t>的预付款。验收合格后，乙方凭验收合格证明材料、发票、履约保证金凭证（如有）到甲方结算，甲方在7个工作日内向乙方支付合同剩余款项。</w:t>
      </w:r>
    </w:p>
    <w:p w14:paraId="71696322">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在签订合同前，乙方主动要求降低预付款比例的，按实际比例计。乙方明确表示无需预付款的，采用下述付款方式：验收合格后，乙方凭验收合格证明材料、发票、履约保证金凭证（如有）到甲方结算，甲方在7个工作日内向乙方支付合同总价的100%货款。</w:t>
      </w:r>
    </w:p>
    <w:p w14:paraId="730D0E5A">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十一、违约责任</w:t>
      </w:r>
    </w:p>
    <w:p w14:paraId="56EC8E6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1、甲方迟延办理付款手续的，自迟延之日起，应每日向乙方计付迟延部分货款万分之五的违约金。</w:t>
      </w:r>
    </w:p>
    <w:p w14:paraId="4C1FDB1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甲方迟延验收货物的，亦同。因此造成乙方其他损害时，甲方应当承担赔偿责任。</w:t>
      </w:r>
    </w:p>
    <w:p w14:paraId="7D23BFE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2、乙方迟延履行交货义务的，自迟延之日起，应每日向甲方计付迟延部分货款千分之一的违约金。</w:t>
      </w:r>
    </w:p>
    <w:p w14:paraId="5F8567D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迟延交货期间超过30日的，甲方有权解除合同，并请求乙方支付合同总价百分之五的违约金。该违约金不足以补偿因乙方的迟延造成的甲方损失的，甲方有权请求增加违约金数额。</w:t>
      </w:r>
    </w:p>
    <w:p w14:paraId="1BEC9C9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3、乙方因交付的货物质量有瑕疵，或安装调试中出现质量不符合约定的情形的，应当采取更换、重作等补救方法。因此而造成迟延的，应当按照前项规定承担违约责任。</w:t>
      </w:r>
    </w:p>
    <w:p w14:paraId="5F40E4C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4、乙方不履行售后服务义务的，甲方有权部分或全部解除合同，乙方应当返还已收取的价款，并支付退货部分货款百分之五的违约金。</w:t>
      </w:r>
    </w:p>
    <w:p w14:paraId="5795E43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5、除本条规定的违约责任外，法律、法规、政府规章规定违约一方应当承担其他法律责任的，从其规定。</w:t>
      </w:r>
    </w:p>
    <w:p w14:paraId="2C61BD3F">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十二、不可抗力</w:t>
      </w:r>
    </w:p>
    <w:p w14:paraId="3CA5DF7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1、因不可抗力导致合同无法完全履行的，不承担违约责任。</w:t>
      </w:r>
    </w:p>
    <w:p w14:paraId="427BDB2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2、因不可抗力致使合同的履行成为不可能或不必要的，可以通知对方解除合同。因通知迟延造成对方不必要损失的，应当承担责任。</w:t>
      </w:r>
    </w:p>
    <w:p w14:paraId="24938D7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3、因不可抗力解除合同的，双方应依据公平合理原则，通过友好协商，确定损失的分担。</w:t>
      </w:r>
    </w:p>
    <w:p w14:paraId="4BA5B77C">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十三、争议的解决</w:t>
      </w:r>
    </w:p>
    <w:p w14:paraId="2F7CF9EC">
      <w:pPr>
        <w:spacing w:line="360" w:lineRule="auto"/>
        <w:ind w:firstLine="420" w:firstLineChars="200"/>
        <w:rPr>
          <w:rFonts w:hint="eastAsia" w:ascii="宋体" w:hAnsi="宋体" w:eastAsia="宋体" w:cs="宋体"/>
          <w:bCs/>
          <w:szCs w:val="21"/>
          <w:lang w:val="zh-TW" w:eastAsia="zh-TW"/>
        </w:rPr>
      </w:pPr>
      <w:r>
        <w:rPr>
          <w:rFonts w:hint="eastAsia" w:ascii="宋体" w:hAnsi="宋体" w:eastAsia="宋体" w:cs="宋体"/>
          <w:bCs/>
          <w:szCs w:val="21"/>
          <w:lang w:val="zh-TW" w:eastAsia="zh-TW"/>
        </w:rPr>
        <w:t>本合同履行过程中若发生服务质量、售后服务等问题时，甲方有权直接向乙方索赔。如双方不能就争议解决协商一致的，任何一方有权向杭州仲裁委员会申请仲裁解决</w:t>
      </w:r>
      <w:r>
        <w:rPr>
          <w:rFonts w:hint="eastAsia" w:ascii="宋体" w:hAnsi="宋体" w:eastAsia="宋体" w:cs="宋体"/>
          <w:bCs/>
          <w:szCs w:val="21"/>
          <w:lang w:val="zh-TW"/>
        </w:rPr>
        <w:t>，仲裁为终局</w:t>
      </w:r>
      <w:r>
        <w:rPr>
          <w:rFonts w:hint="eastAsia" w:ascii="宋体" w:hAnsi="宋体" w:eastAsia="宋体" w:cs="宋体"/>
          <w:bCs/>
          <w:szCs w:val="21"/>
          <w:lang w:val="zh-TW" w:eastAsia="zh-TW"/>
        </w:rPr>
        <w:t>。</w:t>
      </w:r>
    </w:p>
    <w:p w14:paraId="688C9F75">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十四、合同组成部分和生效要件</w:t>
      </w:r>
    </w:p>
    <w:p w14:paraId="75CE4BB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1、合同经甲乙双方及鉴证方签字盖章后生效。</w:t>
      </w:r>
    </w:p>
    <w:p w14:paraId="063B306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2、招标文件、投标文件、承诺书作为本合同的组成部分</w:t>
      </w:r>
      <w:r>
        <w:rPr>
          <w:rFonts w:hint="eastAsia" w:ascii="宋体" w:hAnsi="宋体" w:eastAsia="宋体" w:cs="宋体"/>
          <w:snapToGrid w:val="0"/>
          <w:kern w:val="0"/>
          <w:szCs w:val="21"/>
        </w:rPr>
        <w:t>，与本合同</w:t>
      </w:r>
      <w:r>
        <w:rPr>
          <w:rFonts w:hint="eastAsia" w:ascii="宋体" w:hAnsi="宋体" w:eastAsia="宋体" w:cs="宋体"/>
          <w:szCs w:val="21"/>
        </w:rPr>
        <w:t>具有同等法律效力。</w:t>
      </w:r>
    </w:p>
    <w:p w14:paraId="27BD9F2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3、本合同未尽事宜，遵照《中华人民共和国民法典》有关条文执行。</w:t>
      </w:r>
    </w:p>
    <w:p w14:paraId="308EDDE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4、本合同一式六份，甲方执三份，乙方执二份，鉴证方执一份。</w:t>
      </w:r>
    </w:p>
    <w:p w14:paraId="73E2C43F">
      <w:pPr>
        <w:ind w:firstLine="420" w:firstLineChars="200"/>
        <w:rPr>
          <w:rFonts w:hint="eastAsia" w:ascii="宋体" w:hAnsi="宋体" w:eastAsia="宋体" w:cs="宋体"/>
          <w:szCs w:val="21"/>
        </w:rPr>
      </w:pPr>
      <w:r>
        <w:rPr>
          <w:rFonts w:hint="eastAsia" w:ascii="宋体" w:hAnsi="宋体" w:eastAsia="宋体" w:cs="宋体"/>
          <w:szCs w:val="21"/>
        </w:rPr>
        <w:t>以下无正文。</w:t>
      </w:r>
    </w:p>
    <w:tbl>
      <w:tblPr>
        <w:tblStyle w:val="1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77"/>
        <w:gridCol w:w="4219"/>
      </w:tblGrid>
      <w:tr w14:paraId="1585C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077" w:type="dxa"/>
            <w:vAlign w:val="center"/>
          </w:tcPr>
          <w:p w14:paraId="5D8F97FA">
            <w:pPr>
              <w:tabs>
                <w:tab w:val="left" w:pos="1200"/>
              </w:tabs>
              <w:ind w:right="181"/>
              <w:rPr>
                <w:rFonts w:hint="eastAsia" w:ascii="宋体" w:hAnsi="宋体" w:eastAsia="宋体" w:cs="宋体"/>
                <w:bCs/>
                <w:szCs w:val="21"/>
                <w:lang w:eastAsia="zh-TW"/>
              </w:rPr>
            </w:pPr>
            <w:r>
              <w:rPr>
                <w:rFonts w:hint="eastAsia" w:ascii="宋体" w:hAnsi="宋体" w:eastAsia="宋体" w:cs="宋体"/>
                <w:bCs/>
                <w:szCs w:val="21"/>
              </w:rPr>
              <w:t>甲方（签章）：浙江工商大学</w:t>
            </w:r>
          </w:p>
        </w:tc>
        <w:tc>
          <w:tcPr>
            <w:tcW w:w="4219" w:type="dxa"/>
            <w:vAlign w:val="center"/>
          </w:tcPr>
          <w:p w14:paraId="68C62BA8">
            <w:pPr>
              <w:tabs>
                <w:tab w:val="left" w:pos="1200"/>
              </w:tabs>
              <w:ind w:right="181"/>
              <w:rPr>
                <w:rFonts w:hint="eastAsia" w:ascii="宋体" w:hAnsi="宋体" w:eastAsia="宋体" w:cs="宋体"/>
                <w:bCs/>
                <w:szCs w:val="21"/>
                <w:lang w:eastAsia="zh-TW"/>
              </w:rPr>
            </w:pPr>
            <w:r>
              <w:rPr>
                <w:rFonts w:hint="eastAsia" w:ascii="宋体" w:hAnsi="宋体" w:eastAsia="宋体" w:cs="宋体"/>
                <w:bCs/>
                <w:szCs w:val="21"/>
              </w:rPr>
              <w:t>乙方（签章）：</w:t>
            </w:r>
            <w:r>
              <w:rPr>
                <w:rFonts w:hint="eastAsia" w:ascii="宋体" w:hAnsi="宋体" w:eastAsia="宋体" w:cs="宋体"/>
                <w:bCs/>
                <w:szCs w:val="21"/>
                <w:lang w:eastAsia="zh-TW"/>
              </w:rPr>
              <w:t xml:space="preserve"> </w:t>
            </w:r>
          </w:p>
        </w:tc>
      </w:tr>
      <w:tr w14:paraId="074EF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077" w:type="dxa"/>
            <w:vAlign w:val="center"/>
          </w:tcPr>
          <w:p w14:paraId="47BF9991">
            <w:pPr>
              <w:tabs>
                <w:tab w:val="left" w:pos="1200"/>
              </w:tabs>
              <w:ind w:right="181"/>
              <w:rPr>
                <w:rFonts w:hint="eastAsia" w:ascii="宋体" w:hAnsi="宋体" w:eastAsia="宋体" w:cs="宋体"/>
                <w:bCs/>
                <w:szCs w:val="21"/>
                <w:lang w:eastAsia="zh-TW"/>
              </w:rPr>
            </w:pPr>
            <w:r>
              <w:rPr>
                <w:rFonts w:hint="eastAsia" w:ascii="宋体" w:hAnsi="宋体" w:eastAsia="宋体" w:cs="宋体"/>
                <w:bCs/>
                <w:szCs w:val="21"/>
              </w:rPr>
              <w:t>住所地：杭州市钱塘区学正街18号</w:t>
            </w:r>
          </w:p>
        </w:tc>
        <w:tc>
          <w:tcPr>
            <w:tcW w:w="4219" w:type="dxa"/>
            <w:vAlign w:val="center"/>
          </w:tcPr>
          <w:p w14:paraId="1C731DE7">
            <w:pPr>
              <w:tabs>
                <w:tab w:val="left" w:pos="1200"/>
              </w:tabs>
              <w:ind w:right="181"/>
              <w:rPr>
                <w:rFonts w:hint="eastAsia" w:ascii="宋体" w:hAnsi="宋体" w:eastAsia="宋体" w:cs="宋体"/>
                <w:bCs/>
                <w:szCs w:val="21"/>
                <w:lang w:eastAsia="zh-TW"/>
              </w:rPr>
            </w:pPr>
            <w:r>
              <w:rPr>
                <w:rFonts w:hint="eastAsia" w:ascii="宋体" w:hAnsi="宋体" w:eastAsia="宋体" w:cs="宋体"/>
                <w:bCs/>
                <w:szCs w:val="21"/>
              </w:rPr>
              <w:t>住所地：</w:t>
            </w:r>
            <w:r>
              <w:rPr>
                <w:rFonts w:hint="eastAsia" w:ascii="宋体" w:hAnsi="宋体" w:eastAsia="宋体" w:cs="宋体"/>
                <w:bCs/>
                <w:szCs w:val="21"/>
                <w:lang w:eastAsia="zh-TW"/>
              </w:rPr>
              <w:t xml:space="preserve"> </w:t>
            </w:r>
          </w:p>
        </w:tc>
      </w:tr>
      <w:tr w14:paraId="7F2AE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077" w:type="dxa"/>
            <w:vAlign w:val="center"/>
          </w:tcPr>
          <w:p w14:paraId="7AC07C75">
            <w:pPr>
              <w:tabs>
                <w:tab w:val="left" w:pos="1200"/>
              </w:tabs>
              <w:ind w:right="181"/>
              <w:rPr>
                <w:rFonts w:hint="eastAsia" w:ascii="宋体" w:hAnsi="宋体" w:eastAsia="宋体" w:cs="宋体"/>
                <w:bCs/>
                <w:szCs w:val="21"/>
                <w:lang w:eastAsia="zh-TW"/>
              </w:rPr>
            </w:pPr>
            <w:r>
              <w:rPr>
                <w:rFonts w:hint="eastAsia" w:ascii="宋体" w:hAnsi="宋体" w:eastAsia="宋体" w:cs="宋体"/>
                <w:bCs/>
                <w:szCs w:val="21"/>
              </w:rPr>
              <w:t>开户行：工行杭州高新支行</w:t>
            </w:r>
          </w:p>
        </w:tc>
        <w:tc>
          <w:tcPr>
            <w:tcW w:w="4219" w:type="dxa"/>
            <w:vAlign w:val="center"/>
          </w:tcPr>
          <w:p w14:paraId="45739BC0">
            <w:pPr>
              <w:tabs>
                <w:tab w:val="left" w:pos="1200"/>
              </w:tabs>
              <w:ind w:right="181"/>
              <w:rPr>
                <w:rFonts w:hint="eastAsia" w:ascii="宋体" w:hAnsi="宋体" w:eastAsia="宋体" w:cs="宋体"/>
                <w:bCs/>
                <w:szCs w:val="21"/>
                <w:lang w:eastAsia="zh-TW"/>
              </w:rPr>
            </w:pPr>
            <w:r>
              <w:rPr>
                <w:rFonts w:hint="eastAsia" w:ascii="宋体" w:hAnsi="宋体" w:eastAsia="宋体" w:cs="宋体"/>
                <w:bCs/>
                <w:szCs w:val="21"/>
              </w:rPr>
              <w:t>开户行：</w:t>
            </w:r>
          </w:p>
        </w:tc>
      </w:tr>
      <w:tr w14:paraId="3000E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077" w:type="dxa"/>
            <w:vAlign w:val="center"/>
          </w:tcPr>
          <w:p w14:paraId="2C46B195">
            <w:pPr>
              <w:tabs>
                <w:tab w:val="left" w:pos="1200"/>
              </w:tabs>
              <w:ind w:right="181"/>
              <w:rPr>
                <w:rFonts w:hint="eastAsia" w:ascii="宋体" w:hAnsi="宋体" w:eastAsia="宋体" w:cs="宋体"/>
                <w:bCs/>
                <w:szCs w:val="21"/>
                <w:lang w:eastAsia="zh-TW"/>
              </w:rPr>
            </w:pPr>
            <w:r>
              <w:rPr>
                <w:rFonts w:hint="eastAsia" w:ascii="宋体" w:hAnsi="宋体" w:eastAsia="宋体" w:cs="宋体"/>
                <w:bCs/>
                <w:szCs w:val="21"/>
              </w:rPr>
              <w:t>开户帐号：1202026209008930682</w:t>
            </w:r>
          </w:p>
        </w:tc>
        <w:tc>
          <w:tcPr>
            <w:tcW w:w="4219" w:type="dxa"/>
            <w:vAlign w:val="center"/>
          </w:tcPr>
          <w:p w14:paraId="2F176816">
            <w:pPr>
              <w:tabs>
                <w:tab w:val="left" w:pos="1200"/>
              </w:tabs>
              <w:ind w:right="181"/>
              <w:rPr>
                <w:rFonts w:hint="eastAsia" w:ascii="宋体" w:hAnsi="宋体" w:eastAsia="宋体" w:cs="宋体"/>
                <w:bCs/>
                <w:szCs w:val="21"/>
                <w:lang w:eastAsia="zh-TW"/>
              </w:rPr>
            </w:pPr>
            <w:r>
              <w:rPr>
                <w:rFonts w:hint="eastAsia" w:ascii="宋体" w:hAnsi="宋体" w:eastAsia="宋体" w:cs="宋体"/>
                <w:bCs/>
                <w:szCs w:val="21"/>
              </w:rPr>
              <w:t>开户帐号：</w:t>
            </w:r>
          </w:p>
        </w:tc>
      </w:tr>
      <w:tr w14:paraId="19A57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077" w:type="dxa"/>
            <w:vAlign w:val="center"/>
          </w:tcPr>
          <w:p w14:paraId="2EC4F526">
            <w:pPr>
              <w:tabs>
                <w:tab w:val="left" w:pos="1200"/>
              </w:tabs>
              <w:ind w:right="181"/>
              <w:rPr>
                <w:rFonts w:hint="eastAsia" w:ascii="宋体" w:hAnsi="宋体" w:eastAsia="宋体" w:cs="宋体"/>
                <w:bCs/>
                <w:szCs w:val="21"/>
                <w:lang w:eastAsia="zh-TW"/>
              </w:rPr>
            </w:pPr>
            <w:r>
              <w:rPr>
                <w:rFonts w:hint="eastAsia" w:ascii="宋体" w:hAnsi="宋体" w:eastAsia="宋体" w:cs="宋体"/>
                <w:bCs/>
                <w:szCs w:val="21"/>
              </w:rPr>
              <w:t>税号：123300004700090180</w:t>
            </w:r>
          </w:p>
        </w:tc>
        <w:tc>
          <w:tcPr>
            <w:tcW w:w="4219" w:type="dxa"/>
            <w:vAlign w:val="center"/>
          </w:tcPr>
          <w:p w14:paraId="54FD6F59">
            <w:pPr>
              <w:tabs>
                <w:tab w:val="left" w:pos="1200"/>
              </w:tabs>
              <w:ind w:right="181"/>
              <w:rPr>
                <w:rFonts w:hint="eastAsia" w:ascii="宋体" w:hAnsi="宋体" w:eastAsia="宋体" w:cs="宋体"/>
                <w:bCs/>
                <w:szCs w:val="21"/>
                <w:lang w:eastAsia="zh-TW"/>
              </w:rPr>
            </w:pPr>
            <w:r>
              <w:rPr>
                <w:rFonts w:hint="eastAsia" w:ascii="宋体" w:hAnsi="宋体" w:eastAsia="宋体" w:cs="宋体"/>
                <w:bCs/>
                <w:szCs w:val="21"/>
              </w:rPr>
              <w:t>统一社会信用代码：</w:t>
            </w:r>
          </w:p>
        </w:tc>
      </w:tr>
      <w:tr w14:paraId="7A29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077" w:type="dxa"/>
            <w:vAlign w:val="center"/>
          </w:tcPr>
          <w:p w14:paraId="7C4D102C">
            <w:pPr>
              <w:tabs>
                <w:tab w:val="left" w:pos="1200"/>
              </w:tabs>
              <w:ind w:right="181"/>
              <w:rPr>
                <w:rFonts w:hint="eastAsia" w:ascii="宋体" w:hAnsi="宋体" w:eastAsia="宋体" w:cs="宋体"/>
                <w:bCs/>
                <w:szCs w:val="21"/>
              </w:rPr>
            </w:pPr>
            <w:r>
              <w:rPr>
                <w:rFonts w:hint="eastAsia" w:ascii="宋体" w:hAnsi="宋体" w:eastAsia="宋体" w:cs="宋体"/>
                <w:bCs/>
                <w:szCs w:val="21"/>
              </w:rPr>
              <w:t>法定（授权）代表人</w:t>
            </w:r>
          </w:p>
          <w:p w14:paraId="3372638B">
            <w:pPr>
              <w:tabs>
                <w:tab w:val="left" w:pos="1200"/>
              </w:tabs>
              <w:ind w:right="181"/>
              <w:rPr>
                <w:rFonts w:hint="eastAsia" w:ascii="宋体" w:hAnsi="宋体" w:eastAsia="宋体" w:cs="宋体"/>
                <w:bCs/>
                <w:szCs w:val="21"/>
                <w:lang w:eastAsia="zh-TW"/>
              </w:rPr>
            </w:pPr>
            <w:r>
              <w:rPr>
                <w:rFonts w:hint="eastAsia" w:ascii="宋体" w:hAnsi="宋体" w:eastAsia="宋体" w:cs="宋体"/>
                <w:bCs/>
                <w:szCs w:val="21"/>
              </w:rPr>
              <w:t>（签章）：</w:t>
            </w:r>
          </w:p>
        </w:tc>
        <w:tc>
          <w:tcPr>
            <w:tcW w:w="4219" w:type="dxa"/>
            <w:vAlign w:val="center"/>
          </w:tcPr>
          <w:p w14:paraId="46619334">
            <w:pPr>
              <w:tabs>
                <w:tab w:val="left" w:pos="1200"/>
              </w:tabs>
              <w:ind w:right="181"/>
              <w:rPr>
                <w:rFonts w:hint="eastAsia" w:ascii="宋体" w:hAnsi="宋体" w:eastAsia="宋体" w:cs="宋体"/>
                <w:bCs/>
                <w:szCs w:val="21"/>
              </w:rPr>
            </w:pPr>
            <w:r>
              <w:rPr>
                <w:rFonts w:hint="eastAsia" w:ascii="宋体" w:hAnsi="宋体" w:eastAsia="宋体" w:cs="宋体"/>
                <w:bCs/>
                <w:szCs w:val="21"/>
              </w:rPr>
              <w:t>法定（授权）代表人</w:t>
            </w:r>
          </w:p>
          <w:p w14:paraId="28590536">
            <w:pPr>
              <w:tabs>
                <w:tab w:val="left" w:pos="1200"/>
              </w:tabs>
              <w:ind w:right="181"/>
              <w:rPr>
                <w:rFonts w:hint="eastAsia" w:ascii="宋体" w:hAnsi="宋体" w:eastAsia="宋体" w:cs="宋体"/>
                <w:bCs/>
                <w:szCs w:val="21"/>
              </w:rPr>
            </w:pPr>
            <w:r>
              <w:rPr>
                <w:rFonts w:hint="eastAsia" w:ascii="宋体" w:hAnsi="宋体" w:eastAsia="宋体" w:cs="宋体"/>
                <w:bCs/>
                <w:szCs w:val="21"/>
              </w:rPr>
              <w:t xml:space="preserve">（签章）： </w:t>
            </w:r>
          </w:p>
        </w:tc>
      </w:tr>
      <w:tr w14:paraId="00FBA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077" w:type="dxa"/>
            <w:vAlign w:val="center"/>
          </w:tcPr>
          <w:p w14:paraId="2EFED536">
            <w:pPr>
              <w:tabs>
                <w:tab w:val="left" w:pos="1200"/>
              </w:tabs>
              <w:ind w:right="181"/>
              <w:rPr>
                <w:rFonts w:hint="eastAsia" w:ascii="宋体" w:hAnsi="宋体" w:eastAsia="宋体" w:cs="宋体"/>
                <w:bCs/>
                <w:szCs w:val="21"/>
                <w:lang w:eastAsia="zh-TW"/>
              </w:rPr>
            </w:pPr>
            <w:r>
              <w:rPr>
                <w:rFonts w:hint="eastAsia" w:ascii="宋体" w:hAnsi="宋体" w:eastAsia="宋体" w:cs="宋体"/>
                <w:bCs/>
                <w:szCs w:val="21"/>
              </w:rPr>
              <w:t>签署日期：      年    月    日</w:t>
            </w:r>
          </w:p>
        </w:tc>
        <w:tc>
          <w:tcPr>
            <w:tcW w:w="4219" w:type="dxa"/>
            <w:vAlign w:val="center"/>
          </w:tcPr>
          <w:p w14:paraId="01464CC4">
            <w:pPr>
              <w:tabs>
                <w:tab w:val="left" w:pos="1200"/>
              </w:tabs>
              <w:ind w:right="181"/>
              <w:rPr>
                <w:rFonts w:hint="eastAsia" w:ascii="宋体" w:hAnsi="宋体" w:eastAsia="宋体" w:cs="宋体"/>
                <w:bCs/>
                <w:szCs w:val="21"/>
                <w:lang w:eastAsia="zh-TW"/>
              </w:rPr>
            </w:pPr>
            <w:r>
              <w:rPr>
                <w:rFonts w:hint="eastAsia" w:ascii="宋体" w:hAnsi="宋体" w:eastAsia="宋体" w:cs="宋体"/>
                <w:bCs/>
                <w:szCs w:val="21"/>
              </w:rPr>
              <w:t>签署日期：      年    月    日</w:t>
            </w:r>
          </w:p>
        </w:tc>
      </w:tr>
      <w:tr w14:paraId="44BF7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96" w:type="dxa"/>
            <w:gridSpan w:val="2"/>
            <w:vAlign w:val="center"/>
          </w:tcPr>
          <w:p w14:paraId="524F3C0C">
            <w:pPr>
              <w:tabs>
                <w:tab w:val="left" w:pos="1200"/>
              </w:tabs>
              <w:ind w:right="181"/>
              <w:rPr>
                <w:rFonts w:hint="eastAsia" w:ascii="宋体" w:hAnsi="宋体" w:eastAsia="宋体" w:cs="宋体"/>
                <w:bCs/>
                <w:szCs w:val="21"/>
                <w:lang w:eastAsia="zh-TW"/>
              </w:rPr>
            </w:pPr>
          </w:p>
        </w:tc>
      </w:tr>
      <w:tr w14:paraId="0DF5D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96" w:type="dxa"/>
            <w:gridSpan w:val="2"/>
            <w:vAlign w:val="center"/>
          </w:tcPr>
          <w:p w14:paraId="0103E85C">
            <w:pPr>
              <w:tabs>
                <w:tab w:val="left" w:pos="1200"/>
              </w:tabs>
              <w:ind w:right="181"/>
              <w:rPr>
                <w:rFonts w:hint="eastAsia" w:ascii="宋体" w:hAnsi="宋体" w:eastAsia="宋体" w:cs="宋体"/>
                <w:bCs/>
                <w:szCs w:val="21"/>
                <w:lang w:eastAsia="zh-TW"/>
              </w:rPr>
            </w:pPr>
            <w:r>
              <w:rPr>
                <w:rFonts w:hint="eastAsia" w:ascii="宋体" w:hAnsi="宋体" w:eastAsia="宋体" w:cs="宋体"/>
                <w:bCs/>
                <w:szCs w:val="21"/>
              </w:rPr>
              <w:t xml:space="preserve">鉴证方（签章）： </w:t>
            </w:r>
          </w:p>
        </w:tc>
      </w:tr>
      <w:tr w14:paraId="1D92D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96" w:type="dxa"/>
            <w:gridSpan w:val="2"/>
            <w:vAlign w:val="center"/>
          </w:tcPr>
          <w:p w14:paraId="2A446992">
            <w:pPr>
              <w:tabs>
                <w:tab w:val="left" w:pos="1200"/>
              </w:tabs>
              <w:ind w:right="181"/>
              <w:rPr>
                <w:rFonts w:hint="eastAsia" w:ascii="宋体" w:hAnsi="宋体" w:eastAsia="宋体" w:cs="宋体"/>
                <w:bCs/>
                <w:szCs w:val="21"/>
                <w:lang w:eastAsia="zh-TW"/>
              </w:rPr>
            </w:pPr>
            <w:r>
              <w:rPr>
                <w:rFonts w:hint="eastAsia" w:ascii="宋体" w:hAnsi="宋体" w:eastAsia="宋体" w:cs="宋体"/>
                <w:bCs/>
                <w:szCs w:val="21"/>
              </w:rPr>
              <w:t xml:space="preserve">住所地： </w:t>
            </w:r>
          </w:p>
        </w:tc>
      </w:tr>
      <w:tr w14:paraId="37C9F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296" w:type="dxa"/>
            <w:gridSpan w:val="2"/>
            <w:vAlign w:val="center"/>
          </w:tcPr>
          <w:p w14:paraId="26689F10">
            <w:pPr>
              <w:tabs>
                <w:tab w:val="left" w:pos="1200"/>
              </w:tabs>
              <w:ind w:right="181"/>
              <w:rPr>
                <w:rFonts w:hint="eastAsia" w:ascii="宋体" w:hAnsi="宋体" w:eastAsia="宋体" w:cs="宋体"/>
                <w:bCs/>
                <w:szCs w:val="21"/>
              </w:rPr>
            </w:pPr>
            <w:r>
              <w:rPr>
                <w:rFonts w:hint="eastAsia" w:ascii="宋体" w:hAnsi="宋体" w:eastAsia="宋体" w:cs="宋体"/>
                <w:bCs/>
                <w:szCs w:val="21"/>
              </w:rPr>
              <w:t>法定（授权）代表人</w:t>
            </w:r>
          </w:p>
          <w:p w14:paraId="16AAF6C7">
            <w:pPr>
              <w:tabs>
                <w:tab w:val="left" w:pos="1200"/>
              </w:tabs>
              <w:ind w:right="181"/>
              <w:rPr>
                <w:rFonts w:hint="eastAsia" w:ascii="宋体" w:hAnsi="宋体" w:eastAsia="宋体" w:cs="宋体"/>
                <w:bCs/>
                <w:szCs w:val="21"/>
                <w:lang w:eastAsia="zh-TW"/>
              </w:rPr>
            </w:pPr>
            <w:r>
              <w:rPr>
                <w:rFonts w:hint="eastAsia" w:ascii="宋体" w:hAnsi="宋体" w:eastAsia="宋体" w:cs="宋体"/>
                <w:bCs/>
                <w:szCs w:val="21"/>
              </w:rPr>
              <w:t>（签章）：</w:t>
            </w:r>
          </w:p>
        </w:tc>
      </w:tr>
      <w:tr w14:paraId="1A7C1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96" w:type="dxa"/>
            <w:gridSpan w:val="2"/>
            <w:vAlign w:val="center"/>
          </w:tcPr>
          <w:p w14:paraId="5A0F5D53">
            <w:pPr>
              <w:tabs>
                <w:tab w:val="left" w:pos="1200"/>
              </w:tabs>
              <w:ind w:right="181"/>
              <w:rPr>
                <w:rFonts w:hint="eastAsia" w:ascii="宋体" w:hAnsi="宋体" w:eastAsia="宋体" w:cs="宋体"/>
                <w:bCs/>
                <w:szCs w:val="21"/>
                <w:lang w:eastAsia="zh-TW"/>
              </w:rPr>
            </w:pPr>
            <w:r>
              <w:rPr>
                <w:rFonts w:hint="eastAsia" w:ascii="宋体" w:hAnsi="宋体" w:eastAsia="宋体" w:cs="宋体"/>
                <w:bCs/>
                <w:szCs w:val="21"/>
              </w:rPr>
              <w:t>鉴证日期：      年   月    日</w:t>
            </w:r>
          </w:p>
        </w:tc>
      </w:tr>
    </w:tbl>
    <w:p w14:paraId="25CEC1FD">
      <w:pPr>
        <w:adjustRightInd w:val="0"/>
        <w:snapToGrid w:val="0"/>
        <w:spacing w:line="288" w:lineRule="auto"/>
        <w:ind w:firstLine="420" w:firstLineChars="200"/>
        <w:jc w:val="center"/>
        <w:rPr>
          <w:rFonts w:hint="eastAsia" w:ascii="宋体" w:hAnsi="宋体" w:eastAsia="宋体" w:cs="Times New Roman"/>
          <w:b/>
          <w:sz w:val="32"/>
          <w:szCs w:val="32"/>
        </w:rPr>
      </w:pPr>
      <w:r>
        <w:rPr>
          <w:rFonts w:ascii="宋体" w:hAnsi="宋体" w:eastAsia="宋体" w:cs="宋体"/>
          <w:szCs w:val="21"/>
          <w:lang w:val="zh-CN"/>
        </w:rPr>
        <w:br w:type="page"/>
      </w:r>
    </w:p>
    <w:p w14:paraId="07F4D5E3">
      <w:pPr>
        <w:adjustRightInd w:val="0"/>
        <w:snapToGrid w:val="0"/>
        <w:spacing w:line="288" w:lineRule="auto"/>
        <w:jc w:val="center"/>
        <w:outlineLvl w:val="0"/>
        <w:rPr>
          <w:rFonts w:hint="eastAsia" w:ascii="宋体" w:hAnsi="宋体" w:eastAsia="宋体" w:cs="Times New Roman"/>
          <w:sz w:val="28"/>
          <w:szCs w:val="24"/>
        </w:rPr>
      </w:pPr>
      <w:r>
        <w:rPr>
          <w:rFonts w:ascii="宋体" w:hAnsi="宋体" w:eastAsia="宋体" w:cs="Times New Roman"/>
          <w:b/>
          <w:sz w:val="32"/>
          <w:szCs w:val="32"/>
        </w:rPr>
        <w:t>第六章</w:t>
      </w:r>
      <w:r>
        <w:rPr>
          <w:rFonts w:hint="eastAsia" w:ascii="宋体" w:hAnsi="宋体" w:eastAsia="宋体" w:cs="Times New Roman"/>
          <w:b/>
          <w:sz w:val="32"/>
          <w:szCs w:val="32"/>
        </w:rPr>
        <w:t xml:space="preserve">  </w:t>
      </w:r>
      <w:r>
        <w:rPr>
          <w:rFonts w:ascii="宋体" w:hAnsi="宋体" w:eastAsia="宋体" w:cs="Times New Roman"/>
          <w:b/>
          <w:sz w:val="32"/>
          <w:szCs w:val="32"/>
        </w:rPr>
        <w:t>投标文件格式</w:t>
      </w:r>
    </w:p>
    <w:p w14:paraId="56BE2A2C">
      <w:pPr>
        <w:adjustRightInd w:val="0"/>
        <w:snapToGrid w:val="0"/>
        <w:spacing w:line="288" w:lineRule="auto"/>
        <w:rPr>
          <w:rFonts w:hint="eastAsia" w:ascii="宋体" w:hAnsi="宋体" w:eastAsia="宋体" w:cs="Times New Roman"/>
          <w:b/>
          <w:bCs/>
          <w:spacing w:val="-6"/>
          <w:sz w:val="24"/>
          <w:szCs w:val="24"/>
        </w:rPr>
      </w:pPr>
    </w:p>
    <w:p w14:paraId="5864C97A">
      <w:pPr>
        <w:adjustRightInd w:val="0"/>
        <w:snapToGrid w:val="0"/>
        <w:spacing w:line="288" w:lineRule="auto"/>
        <w:jc w:val="center"/>
        <w:rPr>
          <w:rFonts w:hint="eastAsia" w:ascii="宋体" w:hAnsi="宋体" w:eastAsia="宋体" w:cs="Times New Roman"/>
          <w:b/>
          <w:bCs/>
          <w:spacing w:val="-6"/>
          <w:sz w:val="24"/>
          <w:szCs w:val="24"/>
        </w:rPr>
      </w:pPr>
      <w:r>
        <w:rPr>
          <w:rFonts w:hint="eastAsia" w:ascii="宋体" w:hAnsi="宋体" w:eastAsia="宋体" w:cs="Times New Roman"/>
          <w:b/>
          <w:bCs/>
          <w:spacing w:val="-6"/>
          <w:sz w:val="24"/>
          <w:szCs w:val="24"/>
        </w:rPr>
        <w:t xml:space="preserve">目 </w:t>
      </w:r>
      <w:r>
        <w:rPr>
          <w:rFonts w:ascii="宋体" w:hAnsi="宋体" w:eastAsia="宋体" w:cs="Times New Roman"/>
          <w:b/>
          <w:bCs/>
          <w:spacing w:val="-6"/>
          <w:sz w:val="24"/>
          <w:szCs w:val="24"/>
        </w:rPr>
        <w:t xml:space="preserve"> </w:t>
      </w:r>
      <w:r>
        <w:rPr>
          <w:rFonts w:hint="eastAsia" w:ascii="宋体" w:hAnsi="宋体" w:eastAsia="宋体" w:cs="Times New Roman"/>
          <w:b/>
          <w:bCs/>
          <w:spacing w:val="-6"/>
          <w:sz w:val="24"/>
          <w:szCs w:val="24"/>
        </w:rPr>
        <w:t>录</w:t>
      </w:r>
    </w:p>
    <w:p w14:paraId="2D9231F3">
      <w:pPr>
        <w:adjustRightInd w:val="0"/>
        <w:snapToGrid w:val="0"/>
        <w:spacing w:line="288" w:lineRule="auto"/>
        <w:rPr>
          <w:rFonts w:hint="eastAsia" w:ascii="宋体" w:hAnsi="宋体" w:eastAsia="宋体" w:cs="Times New Roman"/>
          <w:b/>
          <w:bCs/>
          <w:spacing w:val="-6"/>
          <w:sz w:val="24"/>
          <w:szCs w:val="24"/>
        </w:rPr>
      </w:pPr>
    </w:p>
    <w:p w14:paraId="5C930EF1">
      <w:pPr>
        <w:adjustRightInd w:val="0"/>
        <w:snapToGrid w:val="0"/>
        <w:spacing w:line="288" w:lineRule="auto"/>
        <w:ind w:firstLine="398" w:firstLineChars="200"/>
        <w:jc w:val="left"/>
        <w:rPr>
          <w:rFonts w:hint="eastAsia" w:ascii="宋体" w:hAnsi="宋体" w:eastAsia="宋体" w:cs="Times New Roman"/>
          <w:b/>
          <w:bCs/>
          <w:spacing w:val="-6"/>
          <w:szCs w:val="21"/>
        </w:rPr>
      </w:pPr>
      <w:r>
        <w:rPr>
          <w:rFonts w:hint="eastAsia" w:ascii="宋体" w:hAnsi="宋体" w:eastAsia="宋体" w:cs="Times New Roman"/>
          <w:b/>
          <w:bCs/>
          <w:spacing w:val="-6"/>
          <w:szCs w:val="21"/>
        </w:rPr>
        <w:t>▲</w:t>
      </w:r>
      <w:r>
        <w:rPr>
          <w:rFonts w:ascii="宋体" w:hAnsi="宋体" w:eastAsia="宋体" w:cs="Times New Roman"/>
          <w:b/>
          <w:bCs/>
          <w:spacing w:val="-6"/>
          <w:szCs w:val="21"/>
        </w:rPr>
        <w:t>1</w:t>
      </w:r>
      <w:r>
        <w:rPr>
          <w:rFonts w:hint="eastAsia" w:ascii="宋体" w:hAnsi="宋体" w:eastAsia="宋体" w:cs="Times New Roman"/>
          <w:b/>
          <w:bCs/>
          <w:spacing w:val="-6"/>
          <w:szCs w:val="21"/>
        </w:rPr>
        <w:t>.资格文件（单独上传）。</w:t>
      </w:r>
      <w:r>
        <w:rPr>
          <w:rFonts w:hint="eastAsia" w:ascii="宋体" w:hAnsi="宋体" w:eastAsia="宋体" w:cs="宋体"/>
          <w:b/>
          <w:bCs/>
          <w:szCs w:val="21"/>
        </w:rPr>
        <w:t>资格审查要求的资格证明材料（均需加盖公章）</w:t>
      </w:r>
    </w:p>
    <w:p w14:paraId="10B12153">
      <w:pPr>
        <w:adjustRightInd w:val="0"/>
        <w:snapToGrid w:val="0"/>
        <w:spacing w:line="288" w:lineRule="auto"/>
        <w:ind w:firstLine="396" w:firstLineChars="200"/>
        <w:jc w:val="left"/>
        <w:rPr>
          <w:rFonts w:hint="eastAsia" w:ascii="宋体" w:hAnsi="宋体" w:eastAsia="宋体" w:cs="宋体"/>
          <w:bCs/>
          <w:spacing w:val="-6"/>
          <w:szCs w:val="21"/>
        </w:rPr>
      </w:pPr>
      <w:r>
        <w:rPr>
          <w:rFonts w:hint="eastAsia" w:ascii="宋体" w:hAnsi="宋体" w:eastAsia="宋体" w:cs="宋体"/>
          <w:bCs/>
          <w:spacing w:val="-6"/>
          <w:szCs w:val="21"/>
        </w:rPr>
        <w:t>（1）有效的法人或者其他组织的营业执照等证明文件，自然人的身份证明</w:t>
      </w:r>
    </w:p>
    <w:p w14:paraId="76582499">
      <w:pPr>
        <w:adjustRightInd w:val="0"/>
        <w:snapToGrid w:val="0"/>
        <w:spacing w:line="288" w:lineRule="auto"/>
        <w:ind w:firstLine="396" w:firstLineChars="200"/>
        <w:jc w:val="left"/>
        <w:rPr>
          <w:rFonts w:hint="eastAsia" w:ascii="宋体" w:hAnsi="宋体" w:eastAsia="宋体" w:cs="宋体"/>
          <w:bCs/>
          <w:spacing w:val="-6"/>
          <w:szCs w:val="21"/>
        </w:rPr>
      </w:pPr>
      <w:r>
        <w:rPr>
          <w:rFonts w:hint="eastAsia" w:ascii="宋体" w:hAnsi="宋体" w:eastAsia="宋体" w:cs="宋体"/>
          <w:bCs/>
          <w:spacing w:val="-6"/>
          <w:szCs w:val="21"/>
        </w:rPr>
        <w:t>（</w:t>
      </w:r>
      <w:r>
        <w:rPr>
          <w:rFonts w:ascii="宋体" w:hAnsi="宋体" w:eastAsia="宋体" w:cs="宋体"/>
          <w:bCs/>
          <w:spacing w:val="-6"/>
          <w:szCs w:val="21"/>
        </w:rPr>
        <w:t>2）符合参加政府采购活动应当具备的一般条件的承诺函</w:t>
      </w:r>
    </w:p>
    <w:p w14:paraId="2E80EB4F">
      <w:pPr>
        <w:adjustRightInd w:val="0"/>
        <w:snapToGrid w:val="0"/>
        <w:spacing w:line="288" w:lineRule="auto"/>
        <w:ind w:firstLine="396" w:firstLineChars="200"/>
        <w:jc w:val="left"/>
        <w:rPr>
          <w:rFonts w:hint="eastAsia" w:ascii="宋体" w:hAnsi="宋体" w:eastAsia="宋体" w:cs="宋体"/>
          <w:bCs/>
          <w:spacing w:val="-6"/>
          <w:szCs w:val="21"/>
        </w:rPr>
      </w:pPr>
      <w:r>
        <w:rPr>
          <w:rFonts w:hint="eastAsia" w:ascii="宋体" w:hAnsi="宋体" w:eastAsia="宋体" w:cs="宋体"/>
          <w:bCs/>
          <w:spacing w:val="-6"/>
          <w:szCs w:val="21"/>
        </w:rPr>
        <w:t>（</w:t>
      </w:r>
      <w:r>
        <w:rPr>
          <w:rFonts w:ascii="宋体" w:hAnsi="宋体" w:eastAsia="宋体" w:cs="宋体"/>
          <w:bCs/>
          <w:spacing w:val="-6"/>
          <w:szCs w:val="21"/>
        </w:rPr>
        <w:t>3）落实政府采购政策需满足的资格要求：无</w:t>
      </w:r>
    </w:p>
    <w:p w14:paraId="22CFF491">
      <w:pPr>
        <w:adjustRightInd w:val="0"/>
        <w:snapToGrid w:val="0"/>
        <w:spacing w:line="288" w:lineRule="auto"/>
        <w:ind w:firstLine="396" w:firstLineChars="200"/>
        <w:jc w:val="left"/>
        <w:rPr>
          <w:rFonts w:hint="eastAsia" w:ascii="宋体" w:hAnsi="宋体" w:eastAsia="宋体" w:cs="宋体"/>
          <w:bCs/>
          <w:spacing w:val="-6"/>
          <w:szCs w:val="21"/>
        </w:rPr>
      </w:pPr>
      <w:r>
        <w:rPr>
          <w:rFonts w:hint="eastAsia" w:ascii="宋体" w:hAnsi="宋体" w:eastAsia="宋体" w:cs="宋体"/>
          <w:bCs/>
          <w:spacing w:val="-6"/>
          <w:szCs w:val="21"/>
        </w:rPr>
        <w:t>（</w:t>
      </w:r>
      <w:r>
        <w:rPr>
          <w:rFonts w:ascii="宋体" w:hAnsi="宋体" w:eastAsia="宋体" w:cs="宋体"/>
          <w:bCs/>
          <w:spacing w:val="-6"/>
          <w:szCs w:val="21"/>
        </w:rPr>
        <w:t>4）</w:t>
      </w:r>
      <w:r>
        <w:rPr>
          <w:rFonts w:hint="eastAsia" w:ascii="宋体" w:hAnsi="宋体" w:eastAsia="宋体" w:cs="宋体"/>
          <w:bCs/>
          <w:spacing w:val="-6"/>
          <w:szCs w:val="21"/>
        </w:rPr>
        <w:t>本项目的特定资格要求证明材料：无</w:t>
      </w:r>
    </w:p>
    <w:p w14:paraId="1EE6215D">
      <w:pPr>
        <w:adjustRightInd w:val="0"/>
        <w:snapToGrid w:val="0"/>
        <w:spacing w:line="288" w:lineRule="auto"/>
        <w:ind w:firstLine="396" w:firstLineChars="200"/>
        <w:jc w:val="left"/>
        <w:rPr>
          <w:rFonts w:hint="eastAsia" w:ascii="宋体" w:hAnsi="宋体" w:eastAsia="宋体" w:cs="宋体"/>
          <w:bCs/>
          <w:spacing w:val="-6"/>
          <w:szCs w:val="21"/>
        </w:rPr>
      </w:pPr>
      <w:r>
        <w:rPr>
          <w:rFonts w:hint="eastAsia" w:ascii="宋体" w:hAnsi="宋体" w:eastAsia="宋体" w:cs="宋体"/>
          <w:bCs/>
          <w:spacing w:val="-6"/>
          <w:szCs w:val="21"/>
        </w:rPr>
        <w:t>（5）</w:t>
      </w:r>
      <w:r>
        <w:rPr>
          <w:rFonts w:hint="eastAsia" w:ascii="宋体" w:hAnsi="宋体" w:eastAsia="宋体" w:cs="宋体"/>
          <w:bCs/>
          <w:spacing w:val="-6"/>
          <w:szCs w:val="21"/>
          <w:lang w:val="zh-CN"/>
        </w:rPr>
        <w:t>联合协议</w:t>
      </w:r>
      <w:r>
        <w:rPr>
          <w:rFonts w:hint="eastAsia" w:ascii="宋体" w:hAnsi="宋体" w:eastAsia="宋体" w:cs="宋体"/>
          <w:bCs/>
          <w:spacing w:val="-6"/>
          <w:szCs w:val="21"/>
        </w:rPr>
        <w:t>（以联合体形式投标的，提供联合协议；本项目不接受联合体投标或者投标人不以联合体形式投标的，则不需要提供）</w:t>
      </w:r>
    </w:p>
    <w:p w14:paraId="7D9AB995">
      <w:pPr>
        <w:adjustRightInd w:val="0"/>
        <w:snapToGrid w:val="0"/>
        <w:spacing w:line="288" w:lineRule="auto"/>
        <w:ind w:firstLine="396" w:firstLineChars="200"/>
        <w:jc w:val="left"/>
        <w:rPr>
          <w:rFonts w:hint="eastAsia" w:ascii="宋体" w:hAnsi="宋体" w:eastAsia="宋体" w:cs="宋体"/>
          <w:bCs/>
          <w:spacing w:val="-6"/>
          <w:szCs w:val="21"/>
        </w:rPr>
      </w:pPr>
      <w:r>
        <w:rPr>
          <w:rFonts w:hint="eastAsia" w:ascii="宋体" w:hAnsi="宋体" w:eastAsia="宋体" w:cs="宋体"/>
          <w:bCs/>
          <w:spacing w:val="-6"/>
          <w:szCs w:val="21"/>
        </w:rPr>
        <w:t>▲联合体投标的，联合体各方均应提供资格文件（</w:t>
      </w:r>
      <w:r>
        <w:rPr>
          <w:rFonts w:ascii="宋体" w:hAnsi="宋体" w:eastAsia="宋体" w:cs="宋体"/>
          <w:bCs/>
          <w:spacing w:val="-6"/>
          <w:szCs w:val="21"/>
        </w:rPr>
        <w:t>1）</w:t>
      </w:r>
      <w:r>
        <w:rPr>
          <w:rFonts w:hint="eastAsia" w:ascii="宋体" w:hAnsi="宋体" w:eastAsia="宋体" w:cs="宋体"/>
          <w:bCs/>
          <w:spacing w:val="-6"/>
          <w:szCs w:val="21"/>
        </w:rPr>
        <w:t>、</w:t>
      </w:r>
      <w:r>
        <w:rPr>
          <w:rFonts w:ascii="宋体" w:hAnsi="宋体" w:eastAsia="宋体" w:cs="宋体"/>
          <w:bCs/>
          <w:spacing w:val="-6"/>
          <w:szCs w:val="21"/>
        </w:rPr>
        <w:t>（2）</w:t>
      </w:r>
      <w:r>
        <w:rPr>
          <w:rFonts w:hint="eastAsia" w:ascii="宋体" w:hAnsi="宋体" w:eastAsia="宋体" w:cs="宋体"/>
          <w:bCs/>
          <w:spacing w:val="-6"/>
          <w:szCs w:val="21"/>
        </w:rPr>
        <w:t>材料</w:t>
      </w:r>
      <w:r>
        <w:rPr>
          <w:rFonts w:ascii="宋体" w:hAnsi="宋体" w:eastAsia="宋体" w:cs="宋体"/>
          <w:bCs/>
          <w:spacing w:val="-6"/>
          <w:szCs w:val="21"/>
        </w:rPr>
        <w:t>。</w:t>
      </w:r>
    </w:p>
    <w:p w14:paraId="33CE904D">
      <w:pPr>
        <w:adjustRightInd w:val="0"/>
        <w:snapToGrid w:val="0"/>
        <w:spacing w:line="288" w:lineRule="auto"/>
        <w:jc w:val="left"/>
        <w:rPr>
          <w:rFonts w:hint="eastAsia" w:ascii="宋体" w:hAnsi="宋体" w:eastAsia="宋体" w:cs="宋体"/>
          <w:b/>
          <w:spacing w:val="-6"/>
          <w:szCs w:val="21"/>
        </w:rPr>
      </w:pPr>
    </w:p>
    <w:p w14:paraId="1682A787">
      <w:pPr>
        <w:adjustRightInd w:val="0"/>
        <w:snapToGrid w:val="0"/>
        <w:spacing w:line="288" w:lineRule="auto"/>
        <w:ind w:firstLine="398" w:firstLineChars="200"/>
        <w:jc w:val="left"/>
        <w:rPr>
          <w:rFonts w:hint="eastAsia" w:ascii="宋体" w:hAnsi="宋体" w:eastAsia="宋体" w:cs="Times New Roman"/>
          <w:b/>
          <w:bCs/>
          <w:spacing w:val="-6"/>
          <w:szCs w:val="21"/>
        </w:rPr>
      </w:pPr>
      <w:r>
        <w:rPr>
          <w:rFonts w:ascii="宋体" w:hAnsi="宋体" w:eastAsia="宋体" w:cs="Times New Roman"/>
          <w:b/>
          <w:spacing w:val="-6"/>
          <w:szCs w:val="21"/>
        </w:rPr>
        <w:t>2</w:t>
      </w:r>
      <w:r>
        <w:rPr>
          <w:rFonts w:hint="eastAsia" w:ascii="宋体" w:hAnsi="宋体" w:eastAsia="宋体" w:cs="Times New Roman"/>
          <w:b/>
          <w:spacing w:val="-6"/>
          <w:szCs w:val="21"/>
        </w:rPr>
        <w:t>.商务和</w:t>
      </w:r>
      <w:r>
        <w:rPr>
          <w:rFonts w:hint="eastAsia" w:ascii="宋体" w:hAnsi="宋体" w:eastAsia="宋体" w:cs="Times New Roman"/>
          <w:b/>
          <w:bCs/>
          <w:spacing w:val="-6"/>
          <w:szCs w:val="21"/>
        </w:rPr>
        <w:t>技术文件（单独上传）</w:t>
      </w:r>
    </w:p>
    <w:p w14:paraId="2D619972">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（1）投标函</w:t>
      </w:r>
    </w:p>
    <w:p w14:paraId="1448751F">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2）授权委托书</w:t>
      </w:r>
      <w:r>
        <w:rPr>
          <w:rFonts w:hint="eastAsia" w:ascii="宋体" w:hAnsi="宋体" w:eastAsia="宋体" w:cs="Times New Roman"/>
          <w:spacing w:val="-6"/>
          <w:szCs w:val="21"/>
        </w:rPr>
        <w:t>/法定代表人（单位负责人、自然人本人）身份证明</w:t>
      </w:r>
    </w:p>
    <w:p w14:paraId="3AC1DD69">
      <w:pPr>
        <w:adjustRightInd w:val="0"/>
        <w:snapToGrid w:val="0"/>
        <w:spacing w:line="288" w:lineRule="auto"/>
        <w:ind w:firstLine="396" w:firstLineChars="200"/>
        <w:jc w:val="left"/>
        <w:rPr>
          <w:rFonts w:hint="eastAsia" w:ascii="宋体" w:hAnsi="宋体" w:eastAsia="宋体" w:cs="Times New Roman"/>
          <w:spacing w:val="-6"/>
          <w:szCs w:val="21"/>
        </w:rPr>
      </w:pPr>
      <w:r>
        <w:rPr>
          <w:rFonts w:ascii="宋体" w:hAnsi="宋体" w:eastAsia="宋体" w:cs="Times New Roman"/>
          <w:spacing w:val="-6"/>
          <w:szCs w:val="21"/>
        </w:rPr>
        <w:t>附：授权代表社保缴纳证明（</w:t>
      </w:r>
      <w:r>
        <w:rPr>
          <w:rFonts w:hint="eastAsia" w:ascii="宋体" w:hAnsi="宋体" w:eastAsia="宋体" w:cs="Times New Roman"/>
          <w:spacing w:val="-6"/>
          <w:szCs w:val="21"/>
        </w:rPr>
        <w:t>2024年6月（含）</w:t>
      </w:r>
      <w:r>
        <w:rPr>
          <w:rFonts w:ascii="宋体" w:hAnsi="宋体" w:eastAsia="宋体" w:cs="Times New Roman"/>
          <w:spacing w:val="-6"/>
          <w:szCs w:val="21"/>
        </w:rPr>
        <w:t>以后任意一月）</w:t>
      </w:r>
    </w:p>
    <w:p w14:paraId="3A57D2FF">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3</w:t>
      </w:r>
      <w:r>
        <w:rPr>
          <w:rFonts w:hint="eastAsia" w:ascii="宋体" w:hAnsi="宋体" w:eastAsia="宋体" w:cs="Times New Roman"/>
          <w:spacing w:val="-6"/>
          <w:szCs w:val="21"/>
        </w:rPr>
        <w:t>）投标人同类合同一览表</w:t>
      </w:r>
    </w:p>
    <w:p w14:paraId="56464FE9">
      <w:pPr>
        <w:adjustRightInd w:val="0"/>
        <w:snapToGrid w:val="0"/>
        <w:spacing w:line="288" w:lineRule="auto"/>
        <w:ind w:firstLine="396" w:firstLineChars="200"/>
        <w:jc w:val="left"/>
        <w:rPr>
          <w:rFonts w:hint="eastAsia" w:ascii="宋体" w:hAnsi="宋体" w:eastAsia="宋体" w:cs="宋体"/>
          <w:spacing w:val="-6"/>
          <w:szCs w:val="21"/>
        </w:rPr>
      </w:pPr>
      <w:r>
        <w:rPr>
          <w:rFonts w:hint="eastAsia" w:ascii="宋体" w:hAnsi="宋体" w:eastAsia="宋体" w:cs="宋体"/>
          <w:spacing w:val="-6"/>
          <w:szCs w:val="21"/>
        </w:rPr>
        <w:t>（</w:t>
      </w:r>
      <w:r>
        <w:rPr>
          <w:rFonts w:ascii="宋体" w:hAnsi="宋体" w:eastAsia="宋体" w:cs="宋体"/>
          <w:spacing w:val="-6"/>
          <w:szCs w:val="21"/>
        </w:rPr>
        <w:t>4</w:t>
      </w:r>
      <w:r>
        <w:rPr>
          <w:rFonts w:hint="eastAsia" w:ascii="宋体" w:hAnsi="宋体" w:eastAsia="宋体" w:cs="宋体"/>
          <w:spacing w:val="-6"/>
          <w:szCs w:val="21"/>
        </w:rPr>
        <w:t>）采购需求偏离表</w:t>
      </w:r>
    </w:p>
    <w:p w14:paraId="62747E3A">
      <w:pPr>
        <w:adjustRightInd w:val="0"/>
        <w:snapToGrid w:val="0"/>
        <w:spacing w:line="288" w:lineRule="auto"/>
        <w:ind w:firstLine="396" w:firstLineChars="200"/>
        <w:jc w:val="left"/>
        <w:rPr>
          <w:rFonts w:hint="eastAsia" w:ascii="宋体" w:hAnsi="宋体" w:eastAsia="宋体" w:cs="宋体"/>
          <w:spacing w:val="-6"/>
          <w:szCs w:val="21"/>
        </w:rPr>
      </w:pPr>
      <w:r>
        <w:rPr>
          <w:rFonts w:hint="eastAsia" w:ascii="宋体" w:hAnsi="宋体" w:eastAsia="宋体" w:cs="宋体"/>
          <w:spacing w:val="-6"/>
          <w:szCs w:val="21"/>
        </w:rPr>
        <w:t>（</w:t>
      </w:r>
      <w:r>
        <w:rPr>
          <w:rFonts w:ascii="宋体" w:hAnsi="宋体" w:eastAsia="宋体" w:cs="宋体"/>
          <w:spacing w:val="-6"/>
          <w:szCs w:val="21"/>
        </w:rPr>
        <w:t>5</w:t>
      </w:r>
      <w:r>
        <w:rPr>
          <w:rFonts w:hint="eastAsia" w:ascii="宋体" w:hAnsi="宋体" w:eastAsia="宋体" w:cs="宋体"/>
          <w:spacing w:val="-6"/>
          <w:szCs w:val="21"/>
        </w:rPr>
        <w:t>）</w:t>
      </w:r>
      <w:r>
        <w:rPr>
          <w:rFonts w:hint="eastAsia" w:ascii="宋体" w:hAnsi="宋体" w:eastAsia="宋体" w:cs="宋体"/>
          <w:szCs w:val="21"/>
        </w:rPr>
        <w:t>标的配置清单</w:t>
      </w:r>
    </w:p>
    <w:p w14:paraId="2A1B5615">
      <w:pPr>
        <w:adjustRightInd w:val="0"/>
        <w:snapToGrid w:val="0"/>
        <w:spacing w:line="288" w:lineRule="auto"/>
        <w:ind w:firstLine="396" w:firstLineChars="200"/>
        <w:jc w:val="left"/>
        <w:rPr>
          <w:rFonts w:hint="eastAsia" w:ascii="宋体" w:hAnsi="宋体" w:eastAsia="宋体" w:cs="宋体"/>
          <w:spacing w:val="-6"/>
          <w:szCs w:val="21"/>
        </w:rPr>
      </w:pPr>
      <w:r>
        <w:rPr>
          <w:rFonts w:hint="eastAsia" w:ascii="宋体" w:hAnsi="宋体" w:eastAsia="宋体" w:cs="宋体"/>
          <w:spacing w:val="-6"/>
          <w:szCs w:val="21"/>
        </w:rPr>
        <w:t>（</w:t>
      </w:r>
      <w:r>
        <w:rPr>
          <w:rFonts w:ascii="宋体" w:hAnsi="宋体" w:eastAsia="宋体" w:cs="宋体"/>
          <w:spacing w:val="-6"/>
          <w:szCs w:val="21"/>
        </w:rPr>
        <w:t>6</w:t>
      </w:r>
      <w:r>
        <w:rPr>
          <w:rFonts w:hint="eastAsia" w:ascii="宋体" w:hAnsi="宋体" w:eastAsia="宋体" w:cs="宋体"/>
          <w:spacing w:val="-6"/>
          <w:szCs w:val="21"/>
        </w:rPr>
        <w:t>）技术方案</w:t>
      </w:r>
    </w:p>
    <w:p w14:paraId="75C22364">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7</w:t>
      </w:r>
      <w:r>
        <w:rPr>
          <w:rFonts w:hint="eastAsia" w:ascii="宋体" w:hAnsi="宋体" w:eastAsia="宋体" w:cs="Times New Roman"/>
          <w:spacing w:val="-6"/>
          <w:szCs w:val="21"/>
        </w:rPr>
        <w:t>）节能、环保产品证明材料</w:t>
      </w:r>
    </w:p>
    <w:p w14:paraId="33D4A346">
      <w:pPr>
        <w:adjustRightInd w:val="0"/>
        <w:snapToGrid w:val="0"/>
        <w:spacing w:line="288" w:lineRule="auto"/>
        <w:ind w:firstLine="396" w:firstLineChars="200"/>
        <w:jc w:val="left"/>
        <w:rPr>
          <w:rFonts w:hint="eastAsia" w:ascii="宋体" w:hAnsi="宋体" w:eastAsia="宋体" w:cs="宋体"/>
          <w:spacing w:val="-6"/>
          <w:szCs w:val="21"/>
        </w:rPr>
      </w:pPr>
      <w:r>
        <w:rPr>
          <w:rFonts w:hint="eastAsia" w:ascii="宋体" w:hAnsi="宋体" w:eastAsia="宋体" w:cs="宋体"/>
          <w:spacing w:val="-6"/>
          <w:szCs w:val="21"/>
        </w:rPr>
        <w:t>（……</w:t>
      </w:r>
      <w:r>
        <w:rPr>
          <w:rFonts w:ascii="宋体" w:hAnsi="宋体" w:eastAsia="宋体" w:cs="宋体"/>
          <w:spacing w:val="-6"/>
          <w:szCs w:val="21"/>
        </w:rPr>
        <w:t>）投标人需要说明的其他文件和材料。</w:t>
      </w:r>
    </w:p>
    <w:p w14:paraId="7F88764A">
      <w:pPr>
        <w:adjustRightInd w:val="0"/>
        <w:snapToGrid w:val="0"/>
        <w:spacing w:line="288" w:lineRule="auto"/>
        <w:jc w:val="left"/>
        <w:rPr>
          <w:rFonts w:hint="eastAsia" w:ascii="宋体" w:hAnsi="宋体" w:eastAsia="宋体" w:cs="Times New Roman"/>
          <w:b/>
          <w:spacing w:val="-6"/>
          <w:szCs w:val="21"/>
        </w:rPr>
      </w:pPr>
    </w:p>
    <w:p w14:paraId="312EE820">
      <w:pPr>
        <w:adjustRightInd w:val="0"/>
        <w:snapToGrid w:val="0"/>
        <w:spacing w:line="288" w:lineRule="auto"/>
        <w:ind w:firstLine="398" w:firstLineChars="200"/>
        <w:jc w:val="left"/>
        <w:rPr>
          <w:rFonts w:hint="eastAsia" w:ascii="宋体" w:hAnsi="宋体" w:eastAsia="宋体" w:cs="Times New Roman"/>
          <w:b/>
          <w:spacing w:val="-6"/>
          <w:szCs w:val="21"/>
        </w:rPr>
      </w:pPr>
      <w:r>
        <w:rPr>
          <w:rFonts w:ascii="宋体" w:hAnsi="宋体" w:eastAsia="宋体" w:cs="Times New Roman"/>
          <w:b/>
          <w:spacing w:val="-6"/>
          <w:szCs w:val="21"/>
        </w:rPr>
        <w:t>3.</w:t>
      </w:r>
      <w:r>
        <w:rPr>
          <w:rFonts w:hint="eastAsia" w:ascii="宋体" w:hAnsi="宋体" w:eastAsia="宋体" w:cs="Times New Roman"/>
          <w:b/>
          <w:spacing w:val="-6"/>
          <w:szCs w:val="21"/>
        </w:rPr>
        <w:t>报价文件</w:t>
      </w:r>
      <w:r>
        <w:rPr>
          <w:rFonts w:hint="eastAsia" w:ascii="宋体" w:hAnsi="宋体" w:eastAsia="宋体" w:cs="Times New Roman"/>
          <w:b/>
          <w:bCs/>
          <w:spacing w:val="-6"/>
          <w:szCs w:val="21"/>
        </w:rPr>
        <w:t>（单独上传）</w:t>
      </w:r>
    </w:p>
    <w:p w14:paraId="6F8BD52F">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（1）开标一览表</w:t>
      </w:r>
    </w:p>
    <w:p w14:paraId="627E69CD">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2</w:t>
      </w:r>
      <w:r>
        <w:rPr>
          <w:rFonts w:hint="eastAsia" w:ascii="宋体" w:hAnsi="宋体" w:eastAsia="宋体" w:cs="Times New Roman"/>
          <w:spacing w:val="-6"/>
          <w:szCs w:val="21"/>
        </w:rPr>
        <w:t>）中小企业声明函</w:t>
      </w:r>
      <w:bookmarkStart w:id="56" w:name="_Hlk81815656"/>
      <w:r>
        <w:rPr>
          <w:rFonts w:hint="eastAsia" w:ascii="宋体" w:hAnsi="宋体" w:eastAsia="宋体" w:cs="Times New Roman"/>
          <w:spacing w:val="-6"/>
          <w:szCs w:val="21"/>
        </w:rPr>
        <w:t>（若属于中小企业）</w:t>
      </w:r>
      <w:bookmarkEnd w:id="56"/>
    </w:p>
    <w:p w14:paraId="26ADD5E2">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3</w:t>
      </w:r>
      <w:r>
        <w:rPr>
          <w:rFonts w:hint="eastAsia" w:ascii="宋体" w:hAnsi="宋体" w:eastAsia="宋体" w:cs="Times New Roman"/>
          <w:spacing w:val="-6"/>
          <w:szCs w:val="21"/>
        </w:rPr>
        <w:t>）属于监狱企业的证明文件</w:t>
      </w:r>
      <w:bookmarkStart w:id="57" w:name="_Hlk81815359"/>
      <w:r>
        <w:rPr>
          <w:rFonts w:hint="eastAsia" w:ascii="宋体" w:hAnsi="宋体" w:eastAsia="宋体" w:cs="Times New Roman"/>
          <w:spacing w:val="-6"/>
          <w:szCs w:val="21"/>
        </w:rPr>
        <w:t>（若属于监狱企业）</w:t>
      </w:r>
      <w:bookmarkEnd w:id="57"/>
    </w:p>
    <w:p w14:paraId="75F314F7">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4</w:t>
      </w:r>
      <w:r>
        <w:rPr>
          <w:rFonts w:hint="eastAsia" w:ascii="宋体" w:hAnsi="宋体" w:eastAsia="宋体" w:cs="Times New Roman"/>
          <w:spacing w:val="-6"/>
          <w:szCs w:val="21"/>
        </w:rPr>
        <w:t>）</w:t>
      </w:r>
      <w:bookmarkStart w:id="58" w:name="OLE_LINK13"/>
      <w:bookmarkStart w:id="59" w:name="OLE_LINK14"/>
      <w:r>
        <w:rPr>
          <w:rFonts w:hint="eastAsia" w:ascii="宋体" w:hAnsi="宋体" w:eastAsia="宋体" w:cs="Times New Roman"/>
          <w:spacing w:val="-6"/>
          <w:szCs w:val="21"/>
        </w:rPr>
        <w:t>残疾人福利性单位声明函</w:t>
      </w:r>
      <w:bookmarkEnd w:id="58"/>
      <w:bookmarkEnd w:id="59"/>
      <w:bookmarkStart w:id="60" w:name="_Hlk81815372"/>
      <w:r>
        <w:rPr>
          <w:rFonts w:hint="eastAsia" w:ascii="宋体" w:hAnsi="宋体" w:eastAsia="宋体" w:cs="Times New Roman"/>
          <w:spacing w:val="-6"/>
          <w:szCs w:val="21"/>
        </w:rPr>
        <w:t>（若属于残疾人福利性单位）</w:t>
      </w:r>
      <w:bookmarkEnd w:id="60"/>
    </w:p>
    <w:p w14:paraId="09784E15">
      <w:pPr>
        <w:widowControl/>
        <w:adjustRightInd w:val="0"/>
        <w:snapToGrid w:val="0"/>
        <w:spacing w:line="288" w:lineRule="auto"/>
        <w:jc w:val="left"/>
        <w:rPr>
          <w:rFonts w:hint="eastAsia" w:ascii="宋体" w:hAnsi="宋体" w:eastAsia="宋体" w:cs="Times New Roman"/>
          <w:b/>
          <w:spacing w:val="-6"/>
          <w:szCs w:val="21"/>
        </w:rPr>
      </w:pPr>
      <w:r>
        <w:rPr>
          <w:rFonts w:ascii="宋体" w:hAnsi="宋体" w:eastAsia="宋体" w:cs="Times New Roman"/>
          <w:b/>
          <w:spacing w:val="-6"/>
          <w:szCs w:val="21"/>
        </w:rPr>
        <w:br w:type="page"/>
      </w:r>
    </w:p>
    <w:p w14:paraId="675822F7">
      <w:pPr>
        <w:tabs>
          <w:tab w:val="center" w:pos="4706"/>
        </w:tabs>
        <w:adjustRightInd w:val="0"/>
        <w:snapToGrid w:val="0"/>
        <w:spacing w:line="288" w:lineRule="auto"/>
        <w:jc w:val="center"/>
        <w:outlineLvl w:val="2"/>
        <w:rPr>
          <w:rFonts w:hint="eastAsia" w:ascii="宋体" w:hAnsi="宋体" w:eastAsia="宋体" w:cs="Times New Roman"/>
          <w:b/>
          <w:spacing w:val="-6"/>
          <w:szCs w:val="21"/>
        </w:rPr>
      </w:pPr>
      <w:r>
        <w:rPr>
          <w:rFonts w:hint="eastAsia" w:ascii="宋体" w:hAnsi="宋体" w:eastAsia="宋体" w:cs="Times New Roman"/>
          <w:b/>
          <w:spacing w:val="-6"/>
          <w:szCs w:val="21"/>
        </w:rPr>
        <w:t>评分索引表</w:t>
      </w:r>
    </w:p>
    <w:tbl>
      <w:tblPr>
        <w:tblStyle w:val="23"/>
        <w:tblW w:w="94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091"/>
        <w:gridCol w:w="709"/>
        <w:gridCol w:w="3040"/>
        <w:gridCol w:w="967"/>
        <w:gridCol w:w="1053"/>
        <w:gridCol w:w="882"/>
      </w:tblGrid>
      <w:tr w14:paraId="1C1A6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3B42456F">
            <w:pPr>
              <w:adjustRightInd w:val="0"/>
              <w:snapToGrid w:val="0"/>
              <w:spacing w:line="288" w:lineRule="auto"/>
              <w:jc w:val="center"/>
              <w:rPr>
                <w:rFonts w:hint="eastAsia" w:ascii="宋体" w:hAnsi="宋体" w:eastAsia="宋体" w:cs="Times New Roman"/>
                <w:b/>
                <w:spacing w:val="-6"/>
                <w:szCs w:val="21"/>
              </w:rPr>
            </w:pPr>
            <w:r>
              <w:rPr>
                <w:rFonts w:hint="eastAsia" w:ascii="宋体" w:hAnsi="宋体" w:eastAsia="宋体" w:cs="Times New Roman"/>
                <w:b/>
                <w:spacing w:val="-6"/>
                <w:szCs w:val="21"/>
              </w:rPr>
              <w:t>序号</w:t>
            </w:r>
          </w:p>
        </w:tc>
        <w:tc>
          <w:tcPr>
            <w:tcW w:w="2091" w:type="dxa"/>
            <w:vAlign w:val="center"/>
          </w:tcPr>
          <w:p w14:paraId="786E75C8">
            <w:pPr>
              <w:adjustRightInd w:val="0"/>
              <w:snapToGrid w:val="0"/>
              <w:spacing w:line="288" w:lineRule="auto"/>
              <w:jc w:val="center"/>
              <w:rPr>
                <w:rFonts w:hint="eastAsia" w:ascii="宋体" w:hAnsi="宋体" w:eastAsia="宋体" w:cs="Times New Roman"/>
                <w:b/>
                <w:spacing w:val="-6"/>
                <w:szCs w:val="21"/>
              </w:rPr>
            </w:pPr>
            <w:r>
              <w:rPr>
                <w:rFonts w:hint="eastAsia" w:ascii="宋体" w:hAnsi="宋体" w:eastAsia="宋体" w:cs="Times New Roman"/>
                <w:b/>
                <w:spacing w:val="-6"/>
                <w:szCs w:val="21"/>
              </w:rPr>
              <w:t>评审因素</w:t>
            </w:r>
          </w:p>
        </w:tc>
        <w:tc>
          <w:tcPr>
            <w:tcW w:w="709" w:type="dxa"/>
            <w:vAlign w:val="center"/>
          </w:tcPr>
          <w:p w14:paraId="40A97E48">
            <w:pPr>
              <w:adjustRightInd w:val="0"/>
              <w:snapToGrid w:val="0"/>
              <w:spacing w:line="288" w:lineRule="auto"/>
              <w:jc w:val="center"/>
              <w:rPr>
                <w:rFonts w:hint="eastAsia" w:ascii="宋体" w:hAnsi="宋体" w:eastAsia="宋体" w:cs="Times New Roman"/>
                <w:b/>
                <w:spacing w:val="-6"/>
                <w:szCs w:val="21"/>
              </w:rPr>
            </w:pPr>
            <w:r>
              <w:rPr>
                <w:rFonts w:hint="eastAsia" w:ascii="宋体" w:hAnsi="宋体" w:eastAsia="宋体" w:cs="Times New Roman"/>
                <w:b/>
                <w:spacing w:val="-6"/>
                <w:szCs w:val="21"/>
              </w:rPr>
              <w:t>分值</w:t>
            </w:r>
          </w:p>
        </w:tc>
        <w:tc>
          <w:tcPr>
            <w:tcW w:w="3040" w:type="dxa"/>
            <w:vAlign w:val="center"/>
          </w:tcPr>
          <w:p w14:paraId="415E571D">
            <w:pPr>
              <w:tabs>
                <w:tab w:val="left" w:pos="1418"/>
              </w:tabs>
              <w:adjustRightInd w:val="0"/>
              <w:snapToGrid w:val="0"/>
              <w:spacing w:line="288" w:lineRule="auto"/>
              <w:ind w:firstLine="398"/>
              <w:jc w:val="center"/>
              <w:rPr>
                <w:rFonts w:hint="eastAsia" w:ascii="宋体" w:hAnsi="宋体" w:eastAsia="宋体" w:cs="Times New Roman"/>
                <w:b/>
                <w:spacing w:val="-6"/>
                <w:kern w:val="0"/>
                <w:szCs w:val="21"/>
              </w:rPr>
            </w:pPr>
            <w:r>
              <w:rPr>
                <w:rFonts w:ascii="宋体" w:hAnsi="宋体" w:eastAsia="宋体" w:cs="Times New Roman"/>
                <w:b/>
                <w:spacing w:val="-6"/>
                <w:kern w:val="0"/>
                <w:szCs w:val="21"/>
              </w:rPr>
              <w:t>评分标准</w:t>
            </w:r>
          </w:p>
        </w:tc>
        <w:tc>
          <w:tcPr>
            <w:tcW w:w="967" w:type="dxa"/>
            <w:vAlign w:val="center"/>
          </w:tcPr>
          <w:p w14:paraId="5B40CDE6">
            <w:pPr>
              <w:tabs>
                <w:tab w:val="left" w:pos="1418"/>
              </w:tabs>
              <w:adjustRightInd w:val="0"/>
              <w:snapToGrid w:val="0"/>
              <w:spacing w:line="288" w:lineRule="auto"/>
              <w:jc w:val="center"/>
              <w:rPr>
                <w:rFonts w:hint="eastAsia" w:ascii="宋体" w:hAnsi="宋体" w:eastAsia="宋体" w:cs="Times New Roman"/>
                <w:b/>
                <w:spacing w:val="-6"/>
                <w:kern w:val="0"/>
                <w:szCs w:val="21"/>
              </w:rPr>
            </w:pPr>
            <w:r>
              <w:rPr>
                <w:rFonts w:ascii="宋体" w:hAnsi="宋体" w:eastAsia="宋体" w:cs="Times New Roman"/>
                <w:b/>
                <w:spacing w:val="-6"/>
                <w:kern w:val="0"/>
                <w:szCs w:val="21"/>
              </w:rPr>
              <w:t>自评分</w:t>
            </w:r>
          </w:p>
        </w:tc>
        <w:tc>
          <w:tcPr>
            <w:tcW w:w="1053" w:type="dxa"/>
            <w:vAlign w:val="center"/>
          </w:tcPr>
          <w:p w14:paraId="6027CCA4">
            <w:pPr>
              <w:tabs>
                <w:tab w:val="left" w:pos="1418"/>
              </w:tabs>
              <w:adjustRightInd w:val="0"/>
              <w:snapToGrid w:val="0"/>
              <w:spacing w:line="288" w:lineRule="auto"/>
              <w:jc w:val="center"/>
              <w:rPr>
                <w:rFonts w:hint="eastAsia" w:ascii="宋体" w:hAnsi="宋体" w:eastAsia="宋体" w:cs="Times New Roman"/>
                <w:b/>
                <w:spacing w:val="-6"/>
                <w:kern w:val="0"/>
                <w:szCs w:val="21"/>
              </w:rPr>
            </w:pPr>
            <w:r>
              <w:rPr>
                <w:rFonts w:ascii="宋体" w:hAnsi="宋体" w:eastAsia="宋体" w:cs="Times New Roman"/>
                <w:b/>
                <w:spacing w:val="-6"/>
                <w:kern w:val="0"/>
                <w:szCs w:val="21"/>
              </w:rPr>
              <w:t>自评依据</w:t>
            </w:r>
          </w:p>
        </w:tc>
        <w:tc>
          <w:tcPr>
            <w:tcW w:w="881" w:type="dxa"/>
            <w:vAlign w:val="center"/>
          </w:tcPr>
          <w:p w14:paraId="71E2927B">
            <w:pPr>
              <w:tabs>
                <w:tab w:val="left" w:pos="1418"/>
              </w:tabs>
              <w:adjustRightInd w:val="0"/>
              <w:snapToGrid w:val="0"/>
              <w:spacing w:line="288" w:lineRule="auto"/>
              <w:jc w:val="center"/>
              <w:rPr>
                <w:rFonts w:hint="eastAsia" w:ascii="宋体" w:hAnsi="宋体" w:eastAsia="宋体" w:cs="Times New Roman"/>
                <w:b/>
                <w:spacing w:val="-6"/>
                <w:kern w:val="0"/>
                <w:szCs w:val="21"/>
              </w:rPr>
            </w:pPr>
            <w:r>
              <w:rPr>
                <w:rFonts w:ascii="宋体" w:hAnsi="宋体" w:eastAsia="宋体" w:cs="Times New Roman"/>
                <w:b/>
                <w:spacing w:val="-6"/>
                <w:kern w:val="0"/>
                <w:szCs w:val="21"/>
              </w:rPr>
              <w:t>页码</w:t>
            </w:r>
          </w:p>
        </w:tc>
      </w:tr>
      <w:tr w14:paraId="613B4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3" w:type="dxa"/>
            <w:gridSpan w:val="7"/>
            <w:vAlign w:val="center"/>
          </w:tcPr>
          <w:p w14:paraId="3D437DBB">
            <w:pPr>
              <w:tabs>
                <w:tab w:val="left" w:pos="1418"/>
              </w:tabs>
              <w:adjustRightInd w:val="0"/>
              <w:snapToGrid w:val="0"/>
              <w:spacing w:line="288" w:lineRule="auto"/>
              <w:jc w:val="center"/>
              <w:rPr>
                <w:rFonts w:hint="eastAsia" w:ascii="宋体" w:hAnsi="宋体" w:eastAsia="宋体" w:cs="Times New Roman"/>
                <w:b/>
                <w:spacing w:val="-6"/>
                <w:kern w:val="0"/>
                <w:szCs w:val="21"/>
              </w:rPr>
            </w:pPr>
            <w:r>
              <w:rPr>
                <w:rFonts w:ascii="宋体" w:hAnsi="宋体" w:eastAsia="宋体" w:cs="Times New Roman"/>
                <w:b/>
                <w:spacing w:val="-6"/>
                <w:kern w:val="0"/>
                <w:szCs w:val="21"/>
              </w:rPr>
              <w:t>商务分</w:t>
            </w:r>
          </w:p>
        </w:tc>
      </w:tr>
      <w:tr w14:paraId="5A74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3ABCC198">
            <w:pPr>
              <w:adjustRightInd w:val="0"/>
              <w:snapToGrid w:val="0"/>
              <w:spacing w:line="288" w:lineRule="auto"/>
              <w:jc w:val="center"/>
              <w:rPr>
                <w:rFonts w:hint="eastAsia" w:ascii="宋体" w:hAnsi="宋体" w:eastAsia="宋体" w:cs="Times New Roman"/>
                <w:spacing w:val="-6"/>
                <w:szCs w:val="21"/>
              </w:rPr>
            </w:pPr>
          </w:p>
        </w:tc>
        <w:tc>
          <w:tcPr>
            <w:tcW w:w="2091" w:type="dxa"/>
            <w:vAlign w:val="center"/>
          </w:tcPr>
          <w:p w14:paraId="765BB0F1">
            <w:pPr>
              <w:adjustRightInd w:val="0"/>
              <w:snapToGrid w:val="0"/>
              <w:spacing w:line="288" w:lineRule="auto"/>
              <w:jc w:val="center"/>
              <w:rPr>
                <w:rFonts w:hint="eastAsia" w:ascii="宋体" w:hAnsi="宋体" w:eastAsia="宋体" w:cs="Times New Roman"/>
                <w:spacing w:val="-6"/>
                <w:szCs w:val="21"/>
              </w:rPr>
            </w:pPr>
          </w:p>
        </w:tc>
        <w:tc>
          <w:tcPr>
            <w:tcW w:w="709" w:type="dxa"/>
            <w:vAlign w:val="center"/>
          </w:tcPr>
          <w:p w14:paraId="36A00DC1">
            <w:pPr>
              <w:adjustRightInd w:val="0"/>
              <w:snapToGrid w:val="0"/>
              <w:spacing w:line="288" w:lineRule="auto"/>
              <w:jc w:val="center"/>
              <w:rPr>
                <w:rFonts w:hint="eastAsia" w:ascii="宋体" w:hAnsi="宋体" w:eastAsia="宋体" w:cs="Times New Roman"/>
                <w:spacing w:val="-6"/>
                <w:szCs w:val="21"/>
              </w:rPr>
            </w:pPr>
          </w:p>
        </w:tc>
        <w:tc>
          <w:tcPr>
            <w:tcW w:w="3040" w:type="dxa"/>
            <w:vAlign w:val="center"/>
          </w:tcPr>
          <w:p w14:paraId="353C76DC">
            <w:pPr>
              <w:adjustRightInd w:val="0"/>
              <w:snapToGrid w:val="0"/>
              <w:spacing w:line="288" w:lineRule="auto"/>
              <w:rPr>
                <w:rFonts w:hint="eastAsia" w:ascii="宋体" w:hAnsi="宋体" w:eastAsia="宋体" w:cs="Times New Roman"/>
                <w:spacing w:val="-6"/>
                <w:szCs w:val="21"/>
              </w:rPr>
            </w:pPr>
          </w:p>
        </w:tc>
        <w:tc>
          <w:tcPr>
            <w:tcW w:w="967" w:type="dxa"/>
            <w:vAlign w:val="center"/>
          </w:tcPr>
          <w:p w14:paraId="6BA8B647">
            <w:pPr>
              <w:adjustRightInd w:val="0"/>
              <w:snapToGrid w:val="0"/>
              <w:spacing w:line="288" w:lineRule="auto"/>
              <w:jc w:val="center"/>
              <w:rPr>
                <w:rFonts w:hint="eastAsia" w:ascii="宋体" w:hAnsi="宋体" w:eastAsia="宋体" w:cs="Times New Roman"/>
                <w:spacing w:val="-6"/>
                <w:szCs w:val="21"/>
              </w:rPr>
            </w:pPr>
          </w:p>
        </w:tc>
        <w:tc>
          <w:tcPr>
            <w:tcW w:w="1053" w:type="dxa"/>
            <w:vAlign w:val="center"/>
          </w:tcPr>
          <w:p w14:paraId="4265B243">
            <w:pPr>
              <w:adjustRightInd w:val="0"/>
              <w:snapToGrid w:val="0"/>
              <w:spacing w:line="288" w:lineRule="auto"/>
              <w:jc w:val="center"/>
              <w:rPr>
                <w:rFonts w:hint="eastAsia" w:ascii="宋体" w:hAnsi="宋体" w:eastAsia="宋体" w:cs="Times New Roman"/>
                <w:spacing w:val="-6"/>
                <w:szCs w:val="21"/>
              </w:rPr>
            </w:pPr>
          </w:p>
        </w:tc>
        <w:tc>
          <w:tcPr>
            <w:tcW w:w="881" w:type="dxa"/>
          </w:tcPr>
          <w:p w14:paraId="5274808B">
            <w:pPr>
              <w:adjustRightInd w:val="0"/>
              <w:snapToGrid w:val="0"/>
              <w:spacing w:line="288" w:lineRule="auto"/>
              <w:jc w:val="center"/>
              <w:rPr>
                <w:rFonts w:hint="eastAsia" w:ascii="宋体" w:hAnsi="宋体" w:eastAsia="宋体" w:cs="Times New Roman"/>
                <w:spacing w:val="-6"/>
                <w:szCs w:val="21"/>
              </w:rPr>
            </w:pPr>
          </w:p>
        </w:tc>
      </w:tr>
      <w:tr w14:paraId="1C48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3492DCE4">
            <w:pPr>
              <w:adjustRightInd w:val="0"/>
              <w:snapToGrid w:val="0"/>
              <w:spacing w:line="288" w:lineRule="auto"/>
              <w:jc w:val="center"/>
              <w:rPr>
                <w:rFonts w:hint="eastAsia" w:ascii="宋体" w:hAnsi="宋体" w:eastAsia="宋体" w:cs="Times New Roman"/>
                <w:spacing w:val="-6"/>
                <w:szCs w:val="21"/>
              </w:rPr>
            </w:pPr>
          </w:p>
        </w:tc>
        <w:tc>
          <w:tcPr>
            <w:tcW w:w="2091" w:type="dxa"/>
            <w:vAlign w:val="center"/>
          </w:tcPr>
          <w:p w14:paraId="0130ED99">
            <w:pPr>
              <w:adjustRightInd w:val="0"/>
              <w:snapToGrid w:val="0"/>
              <w:spacing w:line="288" w:lineRule="auto"/>
              <w:jc w:val="center"/>
              <w:rPr>
                <w:rFonts w:hint="eastAsia" w:ascii="宋体" w:hAnsi="宋体" w:eastAsia="宋体" w:cs="Times New Roman"/>
                <w:spacing w:val="-6"/>
                <w:szCs w:val="21"/>
              </w:rPr>
            </w:pPr>
          </w:p>
        </w:tc>
        <w:tc>
          <w:tcPr>
            <w:tcW w:w="709" w:type="dxa"/>
            <w:vAlign w:val="center"/>
          </w:tcPr>
          <w:p w14:paraId="4D17C718">
            <w:pPr>
              <w:adjustRightInd w:val="0"/>
              <w:snapToGrid w:val="0"/>
              <w:spacing w:line="288" w:lineRule="auto"/>
              <w:jc w:val="center"/>
              <w:rPr>
                <w:rFonts w:hint="eastAsia" w:ascii="宋体" w:hAnsi="宋体" w:eastAsia="宋体" w:cs="Times New Roman"/>
                <w:spacing w:val="-6"/>
                <w:szCs w:val="21"/>
              </w:rPr>
            </w:pPr>
          </w:p>
        </w:tc>
        <w:tc>
          <w:tcPr>
            <w:tcW w:w="3040" w:type="dxa"/>
            <w:vAlign w:val="center"/>
          </w:tcPr>
          <w:p w14:paraId="243DCC9F">
            <w:pPr>
              <w:adjustRightInd w:val="0"/>
              <w:snapToGrid w:val="0"/>
              <w:spacing w:line="288" w:lineRule="auto"/>
              <w:rPr>
                <w:rFonts w:hint="eastAsia" w:ascii="宋体" w:hAnsi="宋体" w:eastAsia="宋体" w:cs="Times New Roman"/>
                <w:spacing w:val="-6"/>
                <w:szCs w:val="21"/>
              </w:rPr>
            </w:pPr>
          </w:p>
        </w:tc>
        <w:tc>
          <w:tcPr>
            <w:tcW w:w="967" w:type="dxa"/>
            <w:vAlign w:val="center"/>
          </w:tcPr>
          <w:p w14:paraId="71DFBA16">
            <w:pPr>
              <w:adjustRightInd w:val="0"/>
              <w:snapToGrid w:val="0"/>
              <w:spacing w:line="288" w:lineRule="auto"/>
              <w:jc w:val="center"/>
              <w:rPr>
                <w:rFonts w:hint="eastAsia" w:ascii="宋体" w:hAnsi="宋体" w:eastAsia="宋体" w:cs="Times New Roman"/>
                <w:spacing w:val="-6"/>
                <w:szCs w:val="21"/>
              </w:rPr>
            </w:pPr>
          </w:p>
        </w:tc>
        <w:tc>
          <w:tcPr>
            <w:tcW w:w="1053" w:type="dxa"/>
            <w:vAlign w:val="center"/>
          </w:tcPr>
          <w:p w14:paraId="2EF2E564">
            <w:pPr>
              <w:adjustRightInd w:val="0"/>
              <w:snapToGrid w:val="0"/>
              <w:spacing w:line="288" w:lineRule="auto"/>
              <w:jc w:val="center"/>
              <w:rPr>
                <w:rFonts w:hint="eastAsia" w:ascii="宋体" w:hAnsi="宋体" w:eastAsia="宋体" w:cs="Times New Roman"/>
                <w:spacing w:val="-6"/>
                <w:szCs w:val="21"/>
              </w:rPr>
            </w:pPr>
          </w:p>
        </w:tc>
        <w:tc>
          <w:tcPr>
            <w:tcW w:w="881" w:type="dxa"/>
          </w:tcPr>
          <w:p w14:paraId="3756E97F">
            <w:pPr>
              <w:adjustRightInd w:val="0"/>
              <w:snapToGrid w:val="0"/>
              <w:spacing w:line="288" w:lineRule="auto"/>
              <w:jc w:val="center"/>
              <w:rPr>
                <w:rFonts w:hint="eastAsia" w:ascii="宋体" w:hAnsi="宋体" w:eastAsia="宋体" w:cs="Times New Roman"/>
                <w:spacing w:val="-6"/>
                <w:szCs w:val="21"/>
              </w:rPr>
            </w:pPr>
          </w:p>
        </w:tc>
      </w:tr>
      <w:tr w14:paraId="29F7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249D1FEF">
            <w:pPr>
              <w:adjustRightInd w:val="0"/>
              <w:snapToGrid w:val="0"/>
              <w:spacing w:line="288" w:lineRule="auto"/>
              <w:jc w:val="center"/>
              <w:rPr>
                <w:rFonts w:hint="eastAsia" w:ascii="宋体" w:hAnsi="宋体" w:eastAsia="宋体" w:cs="Times New Roman"/>
                <w:kern w:val="0"/>
                <w:szCs w:val="21"/>
              </w:rPr>
            </w:pPr>
          </w:p>
        </w:tc>
        <w:tc>
          <w:tcPr>
            <w:tcW w:w="2091" w:type="dxa"/>
            <w:vAlign w:val="center"/>
          </w:tcPr>
          <w:p w14:paraId="3ADEE725">
            <w:pPr>
              <w:adjustRightInd w:val="0"/>
              <w:snapToGrid w:val="0"/>
              <w:spacing w:line="288" w:lineRule="auto"/>
              <w:jc w:val="center"/>
              <w:rPr>
                <w:rFonts w:hint="eastAsia" w:ascii="宋体" w:hAnsi="宋体" w:eastAsia="宋体" w:cs="Times New Roman"/>
                <w:kern w:val="0"/>
                <w:szCs w:val="21"/>
              </w:rPr>
            </w:pPr>
          </w:p>
        </w:tc>
        <w:tc>
          <w:tcPr>
            <w:tcW w:w="709" w:type="dxa"/>
            <w:vAlign w:val="center"/>
          </w:tcPr>
          <w:p w14:paraId="14564FAF">
            <w:pPr>
              <w:adjustRightInd w:val="0"/>
              <w:snapToGrid w:val="0"/>
              <w:spacing w:line="288" w:lineRule="auto"/>
              <w:jc w:val="center"/>
              <w:rPr>
                <w:rFonts w:hint="eastAsia" w:ascii="宋体" w:hAnsi="宋体" w:eastAsia="宋体" w:cs="Times New Roman"/>
                <w:kern w:val="0"/>
                <w:szCs w:val="21"/>
              </w:rPr>
            </w:pPr>
          </w:p>
        </w:tc>
        <w:tc>
          <w:tcPr>
            <w:tcW w:w="3040" w:type="dxa"/>
            <w:vAlign w:val="center"/>
          </w:tcPr>
          <w:p w14:paraId="4E3BACDD">
            <w:pPr>
              <w:adjustRightInd w:val="0"/>
              <w:snapToGrid w:val="0"/>
              <w:spacing w:line="288" w:lineRule="auto"/>
              <w:rPr>
                <w:rFonts w:hint="eastAsia" w:ascii="宋体" w:hAnsi="宋体" w:eastAsia="宋体" w:cs="Times New Roman"/>
                <w:kern w:val="0"/>
                <w:szCs w:val="21"/>
              </w:rPr>
            </w:pPr>
          </w:p>
        </w:tc>
        <w:tc>
          <w:tcPr>
            <w:tcW w:w="967" w:type="dxa"/>
            <w:vAlign w:val="center"/>
          </w:tcPr>
          <w:p w14:paraId="62636E47">
            <w:pPr>
              <w:adjustRightInd w:val="0"/>
              <w:snapToGrid w:val="0"/>
              <w:spacing w:line="288" w:lineRule="auto"/>
              <w:jc w:val="center"/>
              <w:rPr>
                <w:rFonts w:hint="eastAsia" w:ascii="宋体" w:hAnsi="宋体" w:eastAsia="宋体" w:cs="Times New Roman"/>
                <w:szCs w:val="21"/>
              </w:rPr>
            </w:pPr>
          </w:p>
        </w:tc>
        <w:tc>
          <w:tcPr>
            <w:tcW w:w="1053" w:type="dxa"/>
            <w:vAlign w:val="center"/>
          </w:tcPr>
          <w:p w14:paraId="1B8A8B63">
            <w:pPr>
              <w:adjustRightInd w:val="0"/>
              <w:snapToGrid w:val="0"/>
              <w:spacing w:line="288" w:lineRule="auto"/>
              <w:jc w:val="center"/>
              <w:rPr>
                <w:rFonts w:hint="eastAsia" w:ascii="宋体" w:hAnsi="宋体" w:eastAsia="宋体" w:cs="Times New Roman"/>
                <w:szCs w:val="21"/>
              </w:rPr>
            </w:pPr>
          </w:p>
        </w:tc>
        <w:tc>
          <w:tcPr>
            <w:tcW w:w="881" w:type="dxa"/>
          </w:tcPr>
          <w:p w14:paraId="2D121687">
            <w:pPr>
              <w:adjustRightInd w:val="0"/>
              <w:snapToGrid w:val="0"/>
              <w:spacing w:line="288" w:lineRule="auto"/>
              <w:jc w:val="center"/>
              <w:rPr>
                <w:rFonts w:hint="eastAsia" w:ascii="宋体" w:hAnsi="宋体" w:eastAsia="宋体" w:cs="Times New Roman"/>
                <w:szCs w:val="21"/>
              </w:rPr>
            </w:pPr>
          </w:p>
        </w:tc>
      </w:tr>
      <w:tr w14:paraId="78226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063D5E0C">
            <w:pPr>
              <w:adjustRightInd w:val="0"/>
              <w:snapToGrid w:val="0"/>
              <w:spacing w:line="288" w:lineRule="auto"/>
              <w:jc w:val="center"/>
              <w:rPr>
                <w:rFonts w:hint="eastAsia" w:ascii="宋体" w:hAnsi="宋体" w:eastAsia="宋体" w:cs="Times New Roman"/>
                <w:spacing w:val="-6"/>
                <w:szCs w:val="21"/>
              </w:rPr>
            </w:pPr>
          </w:p>
        </w:tc>
        <w:tc>
          <w:tcPr>
            <w:tcW w:w="2091" w:type="dxa"/>
            <w:vAlign w:val="center"/>
          </w:tcPr>
          <w:p w14:paraId="7B4D93ED">
            <w:pPr>
              <w:adjustRightInd w:val="0"/>
              <w:snapToGrid w:val="0"/>
              <w:spacing w:line="288" w:lineRule="auto"/>
              <w:jc w:val="center"/>
              <w:rPr>
                <w:rFonts w:hint="eastAsia" w:ascii="宋体" w:hAnsi="宋体" w:eastAsia="宋体" w:cs="Times New Roman"/>
                <w:spacing w:val="-6"/>
                <w:szCs w:val="21"/>
              </w:rPr>
            </w:pPr>
          </w:p>
        </w:tc>
        <w:tc>
          <w:tcPr>
            <w:tcW w:w="709" w:type="dxa"/>
            <w:vAlign w:val="center"/>
          </w:tcPr>
          <w:p w14:paraId="6A30D352">
            <w:pPr>
              <w:adjustRightInd w:val="0"/>
              <w:snapToGrid w:val="0"/>
              <w:spacing w:line="288" w:lineRule="auto"/>
              <w:jc w:val="center"/>
              <w:rPr>
                <w:rFonts w:hint="eastAsia" w:ascii="宋体" w:hAnsi="宋体" w:eastAsia="宋体" w:cs="Times New Roman"/>
                <w:spacing w:val="-6"/>
                <w:szCs w:val="21"/>
              </w:rPr>
            </w:pPr>
          </w:p>
        </w:tc>
        <w:tc>
          <w:tcPr>
            <w:tcW w:w="3040" w:type="dxa"/>
            <w:vAlign w:val="center"/>
          </w:tcPr>
          <w:p w14:paraId="6E27E41A">
            <w:pPr>
              <w:adjustRightInd w:val="0"/>
              <w:snapToGrid w:val="0"/>
              <w:spacing w:line="288" w:lineRule="auto"/>
              <w:rPr>
                <w:rFonts w:hint="eastAsia" w:ascii="宋体" w:hAnsi="宋体" w:eastAsia="宋体" w:cs="Times New Roman"/>
                <w:spacing w:val="-6"/>
                <w:szCs w:val="21"/>
              </w:rPr>
            </w:pPr>
          </w:p>
        </w:tc>
        <w:tc>
          <w:tcPr>
            <w:tcW w:w="967" w:type="dxa"/>
            <w:vAlign w:val="center"/>
          </w:tcPr>
          <w:p w14:paraId="0B66A831">
            <w:pPr>
              <w:adjustRightInd w:val="0"/>
              <w:snapToGrid w:val="0"/>
              <w:spacing w:line="288" w:lineRule="auto"/>
              <w:jc w:val="center"/>
              <w:rPr>
                <w:rFonts w:hint="eastAsia" w:ascii="宋体" w:hAnsi="宋体" w:eastAsia="宋体" w:cs="Times New Roman"/>
                <w:spacing w:val="-6"/>
                <w:szCs w:val="21"/>
              </w:rPr>
            </w:pPr>
          </w:p>
        </w:tc>
        <w:tc>
          <w:tcPr>
            <w:tcW w:w="1053" w:type="dxa"/>
            <w:vAlign w:val="center"/>
          </w:tcPr>
          <w:p w14:paraId="7C4F2542">
            <w:pPr>
              <w:adjustRightInd w:val="0"/>
              <w:snapToGrid w:val="0"/>
              <w:spacing w:line="288" w:lineRule="auto"/>
              <w:jc w:val="center"/>
              <w:rPr>
                <w:rFonts w:hint="eastAsia" w:ascii="宋体" w:hAnsi="宋体" w:eastAsia="宋体" w:cs="Times New Roman"/>
                <w:spacing w:val="-6"/>
                <w:szCs w:val="21"/>
              </w:rPr>
            </w:pPr>
          </w:p>
        </w:tc>
        <w:tc>
          <w:tcPr>
            <w:tcW w:w="881" w:type="dxa"/>
          </w:tcPr>
          <w:p w14:paraId="03553D6E">
            <w:pPr>
              <w:adjustRightInd w:val="0"/>
              <w:snapToGrid w:val="0"/>
              <w:spacing w:line="288" w:lineRule="auto"/>
              <w:jc w:val="center"/>
              <w:rPr>
                <w:rFonts w:hint="eastAsia" w:ascii="宋体" w:hAnsi="宋体" w:eastAsia="宋体" w:cs="Times New Roman"/>
                <w:spacing w:val="-6"/>
                <w:szCs w:val="21"/>
              </w:rPr>
            </w:pPr>
          </w:p>
        </w:tc>
      </w:tr>
      <w:tr w14:paraId="215B0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59DE0465">
            <w:pPr>
              <w:adjustRightInd w:val="0"/>
              <w:snapToGrid w:val="0"/>
              <w:spacing w:line="288" w:lineRule="auto"/>
              <w:jc w:val="center"/>
              <w:rPr>
                <w:rFonts w:hint="eastAsia" w:ascii="宋体" w:hAnsi="宋体" w:eastAsia="宋体" w:cs="Times New Roman"/>
                <w:spacing w:val="-6"/>
                <w:szCs w:val="21"/>
              </w:rPr>
            </w:pPr>
          </w:p>
        </w:tc>
        <w:tc>
          <w:tcPr>
            <w:tcW w:w="2091" w:type="dxa"/>
            <w:vAlign w:val="center"/>
          </w:tcPr>
          <w:p w14:paraId="355B7015">
            <w:pPr>
              <w:adjustRightInd w:val="0"/>
              <w:snapToGrid w:val="0"/>
              <w:spacing w:line="288" w:lineRule="auto"/>
              <w:jc w:val="center"/>
              <w:rPr>
                <w:rFonts w:hint="eastAsia" w:ascii="宋体" w:hAnsi="宋体" w:eastAsia="宋体" w:cs="Times New Roman"/>
                <w:spacing w:val="-6"/>
                <w:szCs w:val="21"/>
              </w:rPr>
            </w:pPr>
          </w:p>
        </w:tc>
        <w:tc>
          <w:tcPr>
            <w:tcW w:w="709" w:type="dxa"/>
            <w:vAlign w:val="center"/>
          </w:tcPr>
          <w:p w14:paraId="0FE7A3DB">
            <w:pPr>
              <w:adjustRightInd w:val="0"/>
              <w:snapToGrid w:val="0"/>
              <w:spacing w:line="288" w:lineRule="auto"/>
              <w:jc w:val="center"/>
              <w:rPr>
                <w:rFonts w:hint="eastAsia" w:ascii="宋体" w:hAnsi="宋体" w:eastAsia="宋体" w:cs="Times New Roman"/>
                <w:spacing w:val="-6"/>
                <w:szCs w:val="21"/>
              </w:rPr>
            </w:pPr>
          </w:p>
        </w:tc>
        <w:tc>
          <w:tcPr>
            <w:tcW w:w="3040" w:type="dxa"/>
            <w:vAlign w:val="center"/>
          </w:tcPr>
          <w:p w14:paraId="4485D450">
            <w:pPr>
              <w:adjustRightInd w:val="0"/>
              <w:snapToGrid w:val="0"/>
              <w:spacing w:line="288" w:lineRule="auto"/>
              <w:rPr>
                <w:rFonts w:hint="eastAsia" w:ascii="宋体" w:hAnsi="宋体" w:eastAsia="宋体" w:cs="Times New Roman"/>
                <w:spacing w:val="-6"/>
                <w:szCs w:val="21"/>
              </w:rPr>
            </w:pPr>
          </w:p>
        </w:tc>
        <w:tc>
          <w:tcPr>
            <w:tcW w:w="967" w:type="dxa"/>
            <w:vAlign w:val="center"/>
          </w:tcPr>
          <w:p w14:paraId="5D2ECD0A">
            <w:pPr>
              <w:adjustRightInd w:val="0"/>
              <w:snapToGrid w:val="0"/>
              <w:spacing w:line="288" w:lineRule="auto"/>
              <w:jc w:val="center"/>
              <w:rPr>
                <w:rFonts w:hint="eastAsia" w:ascii="宋体" w:hAnsi="宋体" w:eastAsia="宋体" w:cs="Times New Roman"/>
                <w:spacing w:val="-6"/>
                <w:szCs w:val="21"/>
              </w:rPr>
            </w:pPr>
          </w:p>
        </w:tc>
        <w:tc>
          <w:tcPr>
            <w:tcW w:w="1053" w:type="dxa"/>
            <w:vAlign w:val="center"/>
          </w:tcPr>
          <w:p w14:paraId="677CD983">
            <w:pPr>
              <w:adjustRightInd w:val="0"/>
              <w:snapToGrid w:val="0"/>
              <w:spacing w:line="288" w:lineRule="auto"/>
              <w:jc w:val="center"/>
              <w:rPr>
                <w:rFonts w:hint="eastAsia" w:ascii="宋体" w:hAnsi="宋体" w:eastAsia="宋体" w:cs="Times New Roman"/>
                <w:spacing w:val="-6"/>
                <w:szCs w:val="21"/>
              </w:rPr>
            </w:pPr>
          </w:p>
        </w:tc>
        <w:tc>
          <w:tcPr>
            <w:tcW w:w="881" w:type="dxa"/>
          </w:tcPr>
          <w:p w14:paraId="3BB17179">
            <w:pPr>
              <w:adjustRightInd w:val="0"/>
              <w:snapToGrid w:val="0"/>
              <w:spacing w:line="288" w:lineRule="auto"/>
              <w:jc w:val="center"/>
              <w:rPr>
                <w:rFonts w:hint="eastAsia" w:ascii="宋体" w:hAnsi="宋体" w:eastAsia="宋体" w:cs="Times New Roman"/>
                <w:spacing w:val="-6"/>
                <w:szCs w:val="21"/>
              </w:rPr>
            </w:pPr>
          </w:p>
        </w:tc>
      </w:tr>
      <w:tr w14:paraId="26512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3BCC5306">
            <w:pPr>
              <w:adjustRightInd w:val="0"/>
              <w:snapToGrid w:val="0"/>
              <w:spacing w:line="288" w:lineRule="auto"/>
              <w:jc w:val="center"/>
              <w:rPr>
                <w:rFonts w:hint="eastAsia" w:ascii="宋体" w:hAnsi="宋体" w:eastAsia="宋体" w:cs="Times New Roman"/>
                <w:spacing w:val="-6"/>
                <w:szCs w:val="21"/>
              </w:rPr>
            </w:pPr>
          </w:p>
        </w:tc>
        <w:tc>
          <w:tcPr>
            <w:tcW w:w="2091" w:type="dxa"/>
            <w:vAlign w:val="center"/>
          </w:tcPr>
          <w:p w14:paraId="2899E72C">
            <w:pPr>
              <w:adjustRightInd w:val="0"/>
              <w:snapToGrid w:val="0"/>
              <w:spacing w:line="288" w:lineRule="auto"/>
              <w:jc w:val="center"/>
              <w:rPr>
                <w:rFonts w:hint="eastAsia" w:ascii="宋体" w:hAnsi="宋体" w:eastAsia="宋体" w:cs="Times New Roman"/>
                <w:spacing w:val="-6"/>
                <w:szCs w:val="21"/>
              </w:rPr>
            </w:pPr>
          </w:p>
        </w:tc>
        <w:tc>
          <w:tcPr>
            <w:tcW w:w="709" w:type="dxa"/>
            <w:vAlign w:val="center"/>
          </w:tcPr>
          <w:p w14:paraId="33463C3B">
            <w:pPr>
              <w:adjustRightInd w:val="0"/>
              <w:snapToGrid w:val="0"/>
              <w:spacing w:line="288" w:lineRule="auto"/>
              <w:jc w:val="center"/>
              <w:rPr>
                <w:rFonts w:hint="eastAsia" w:ascii="宋体" w:hAnsi="宋体" w:eastAsia="宋体" w:cs="Times New Roman"/>
                <w:spacing w:val="-6"/>
                <w:szCs w:val="21"/>
              </w:rPr>
            </w:pPr>
          </w:p>
        </w:tc>
        <w:tc>
          <w:tcPr>
            <w:tcW w:w="3040" w:type="dxa"/>
            <w:vAlign w:val="center"/>
          </w:tcPr>
          <w:p w14:paraId="28817495">
            <w:pPr>
              <w:adjustRightInd w:val="0"/>
              <w:snapToGrid w:val="0"/>
              <w:spacing w:line="288" w:lineRule="auto"/>
              <w:rPr>
                <w:rFonts w:hint="eastAsia" w:ascii="宋体" w:hAnsi="宋体" w:eastAsia="宋体" w:cs="Times New Roman"/>
                <w:spacing w:val="-6"/>
                <w:szCs w:val="21"/>
              </w:rPr>
            </w:pPr>
          </w:p>
        </w:tc>
        <w:tc>
          <w:tcPr>
            <w:tcW w:w="967" w:type="dxa"/>
            <w:vAlign w:val="center"/>
          </w:tcPr>
          <w:p w14:paraId="0962471B">
            <w:pPr>
              <w:adjustRightInd w:val="0"/>
              <w:snapToGrid w:val="0"/>
              <w:spacing w:line="288" w:lineRule="auto"/>
              <w:jc w:val="center"/>
              <w:rPr>
                <w:rFonts w:hint="eastAsia" w:ascii="宋体" w:hAnsi="宋体" w:eastAsia="宋体" w:cs="Times New Roman"/>
                <w:spacing w:val="-6"/>
                <w:szCs w:val="21"/>
              </w:rPr>
            </w:pPr>
          </w:p>
        </w:tc>
        <w:tc>
          <w:tcPr>
            <w:tcW w:w="1053" w:type="dxa"/>
            <w:vAlign w:val="center"/>
          </w:tcPr>
          <w:p w14:paraId="1A4E9B85">
            <w:pPr>
              <w:adjustRightInd w:val="0"/>
              <w:snapToGrid w:val="0"/>
              <w:spacing w:line="288" w:lineRule="auto"/>
              <w:jc w:val="center"/>
              <w:rPr>
                <w:rFonts w:hint="eastAsia" w:ascii="宋体" w:hAnsi="宋体" w:eastAsia="宋体" w:cs="Times New Roman"/>
                <w:spacing w:val="-6"/>
                <w:szCs w:val="21"/>
              </w:rPr>
            </w:pPr>
          </w:p>
        </w:tc>
        <w:tc>
          <w:tcPr>
            <w:tcW w:w="881" w:type="dxa"/>
          </w:tcPr>
          <w:p w14:paraId="54B10672">
            <w:pPr>
              <w:adjustRightInd w:val="0"/>
              <w:snapToGrid w:val="0"/>
              <w:spacing w:line="288" w:lineRule="auto"/>
              <w:jc w:val="center"/>
              <w:rPr>
                <w:rFonts w:hint="eastAsia" w:ascii="宋体" w:hAnsi="宋体" w:eastAsia="宋体" w:cs="Times New Roman"/>
                <w:spacing w:val="-6"/>
                <w:szCs w:val="21"/>
              </w:rPr>
            </w:pPr>
          </w:p>
        </w:tc>
      </w:tr>
      <w:tr w14:paraId="6E38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3" w:type="dxa"/>
            <w:gridSpan w:val="7"/>
            <w:vAlign w:val="center"/>
          </w:tcPr>
          <w:p w14:paraId="127A05AA">
            <w:pPr>
              <w:adjustRightInd w:val="0"/>
              <w:snapToGrid w:val="0"/>
              <w:spacing w:line="288" w:lineRule="auto"/>
              <w:jc w:val="center"/>
              <w:rPr>
                <w:rFonts w:hint="eastAsia" w:ascii="宋体" w:hAnsi="宋体" w:eastAsia="宋体" w:cs="Times New Roman"/>
                <w:b/>
                <w:spacing w:val="-6"/>
                <w:szCs w:val="21"/>
              </w:rPr>
            </w:pPr>
            <w:r>
              <w:rPr>
                <w:rFonts w:hint="eastAsia" w:ascii="宋体" w:hAnsi="宋体" w:eastAsia="宋体" w:cs="Times New Roman"/>
                <w:b/>
                <w:spacing w:val="-6"/>
                <w:szCs w:val="21"/>
              </w:rPr>
              <w:t>技术</w:t>
            </w:r>
            <w:r>
              <w:rPr>
                <w:rFonts w:ascii="宋体" w:hAnsi="宋体" w:eastAsia="宋体" w:cs="Times New Roman"/>
                <w:b/>
                <w:spacing w:val="-6"/>
                <w:szCs w:val="21"/>
              </w:rPr>
              <w:t>分</w:t>
            </w:r>
          </w:p>
        </w:tc>
      </w:tr>
      <w:tr w14:paraId="3D8D5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781DB311">
            <w:pPr>
              <w:adjustRightInd w:val="0"/>
              <w:snapToGrid w:val="0"/>
              <w:spacing w:line="288" w:lineRule="auto"/>
              <w:jc w:val="center"/>
              <w:rPr>
                <w:rFonts w:hint="eastAsia" w:ascii="宋体" w:hAnsi="宋体" w:eastAsia="宋体" w:cs="Times New Roman"/>
                <w:spacing w:val="-6"/>
                <w:szCs w:val="21"/>
              </w:rPr>
            </w:pPr>
          </w:p>
        </w:tc>
        <w:tc>
          <w:tcPr>
            <w:tcW w:w="2091" w:type="dxa"/>
            <w:vAlign w:val="center"/>
          </w:tcPr>
          <w:p w14:paraId="266B7CE7">
            <w:pPr>
              <w:adjustRightInd w:val="0"/>
              <w:snapToGrid w:val="0"/>
              <w:spacing w:line="288" w:lineRule="auto"/>
              <w:jc w:val="center"/>
              <w:rPr>
                <w:rFonts w:hint="eastAsia" w:ascii="宋体" w:hAnsi="宋体" w:eastAsia="宋体" w:cs="Times New Roman"/>
                <w:spacing w:val="-6"/>
                <w:szCs w:val="21"/>
              </w:rPr>
            </w:pPr>
          </w:p>
        </w:tc>
        <w:tc>
          <w:tcPr>
            <w:tcW w:w="709" w:type="dxa"/>
            <w:vAlign w:val="center"/>
          </w:tcPr>
          <w:p w14:paraId="04A368C9">
            <w:pPr>
              <w:adjustRightInd w:val="0"/>
              <w:snapToGrid w:val="0"/>
              <w:spacing w:line="288" w:lineRule="auto"/>
              <w:jc w:val="center"/>
              <w:rPr>
                <w:rFonts w:hint="eastAsia" w:ascii="宋体" w:hAnsi="宋体" w:eastAsia="宋体" w:cs="Times New Roman"/>
                <w:spacing w:val="-6"/>
                <w:szCs w:val="21"/>
              </w:rPr>
            </w:pPr>
          </w:p>
        </w:tc>
        <w:tc>
          <w:tcPr>
            <w:tcW w:w="3040" w:type="dxa"/>
            <w:vAlign w:val="center"/>
          </w:tcPr>
          <w:p w14:paraId="0BF7A9B6">
            <w:pPr>
              <w:adjustRightInd w:val="0"/>
              <w:snapToGrid w:val="0"/>
              <w:spacing w:line="288" w:lineRule="auto"/>
              <w:rPr>
                <w:rFonts w:hint="eastAsia" w:ascii="宋体" w:hAnsi="宋体" w:eastAsia="宋体" w:cs="Times New Roman"/>
                <w:spacing w:val="-6"/>
                <w:szCs w:val="21"/>
              </w:rPr>
            </w:pPr>
          </w:p>
        </w:tc>
        <w:tc>
          <w:tcPr>
            <w:tcW w:w="967" w:type="dxa"/>
            <w:vAlign w:val="center"/>
          </w:tcPr>
          <w:p w14:paraId="3736518E">
            <w:pPr>
              <w:adjustRightInd w:val="0"/>
              <w:snapToGrid w:val="0"/>
              <w:spacing w:line="288" w:lineRule="auto"/>
              <w:jc w:val="center"/>
              <w:rPr>
                <w:rFonts w:hint="eastAsia" w:ascii="宋体" w:hAnsi="宋体" w:eastAsia="宋体" w:cs="Times New Roman"/>
                <w:spacing w:val="-6"/>
                <w:szCs w:val="21"/>
              </w:rPr>
            </w:pPr>
          </w:p>
        </w:tc>
        <w:tc>
          <w:tcPr>
            <w:tcW w:w="1053" w:type="dxa"/>
            <w:vAlign w:val="center"/>
          </w:tcPr>
          <w:p w14:paraId="39E39565">
            <w:pPr>
              <w:adjustRightInd w:val="0"/>
              <w:snapToGrid w:val="0"/>
              <w:spacing w:line="288" w:lineRule="auto"/>
              <w:jc w:val="center"/>
              <w:rPr>
                <w:rFonts w:hint="eastAsia" w:ascii="宋体" w:hAnsi="宋体" w:eastAsia="宋体" w:cs="Times New Roman"/>
                <w:spacing w:val="-6"/>
                <w:szCs w:val="21"/>
              </w:rPr>
            </w:pPr>
          </w:p>
        </w:tc>
        <w:tc>
          <w:tcPr>
            <w:tcW w:w="881" w:type="dxa"/>
          </w:tcPr>
          <w:p w14:paraId="6AE7113D">
            <w:pPr>
              <w:adjustRightInd w:val="0"/>
              <w:snapToGrid w:val="0"/>
              <w:spacing w:line="288" w:lineRule="auto"/>
              <w:jc w:val="center"/>
              <w:rPr>
                <w:rFonts w:hint="eastAsia" w:ascii="宋体" w:hAnsi="宋体" w:eastAsia="宋体" w:cs="Times New Roman"/>
                <w:spacing w:val="-6"/>
                <w:szCs w:val="21"/>
              </w:rPr>
            </w:pPr>
          </w:p>
        </w:tc>
      </w:tr>
      <w:tr w14:paraId="7B756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71744EBC">
            <w:pPr>
              <w:adjustRightInd w:val="0"/>
              <w:snapToGrid w:val="0"/>
              <w:spacing w:line="288" w:lineRule="auto"/>
              <w:jc w:val="center"/>
              <w:rPr>
                <w:rFonts w:hint="eastAsia" w:ascii="宋体" w:hAnsi="宋体" w:eastAsia="宋体" w:cs="Times New Roman"/>
                <w:spacing w:val="-6"/>
                <w:szCs w:val="21"/>
              </w:rPr>
            </w:pPr>
          </w:p>
        </w:tc>
        <w:tc>
          <w:tcPr>
            <w:tcW w:w="2091" w:type="dxa"/>
            <w:vAlign w:val="center"/>
          </w:tcPr>
          <w:p w14:paraId="15FD6DBF">
            <w:pPr>
              <w:adjustRightInd w:val="0"/>
              <w:snapToGrid w:val="0"/>
              <w:spacing w:line="288" w:lineRule="auto"/>
              <w:jc w:val="center"/>
              <w:rPr>
                <w:rFonts w:hint="eastAsia" w:ascii="宋体" w:hAnsi="宋体" w:eastAsia="宋体" w:cs="Times New Roman"/>
                <w:spacing w:val="-6"/>
                <w:szCs w:val="21"/>
              </w:rPr>
            </w:pPr>
          </w:p>
        </w:tc>
        <w:tc>
          <w:tcPr>
            <w:tcW w:w="709" w:type="dxa"/>
            <w:vAlign w:val="center"/>
          </w:tcPr>
          <w:p w14:paraId="3667FE25">
            <w:pPr>
              <w:adjustRightInd w:val="0"/>
              <w:snapToGrid w:val="0"/>
              <w:spacing w:line="288" w:lineRule="auto"/>
              <w:jc w:val="center"/>
              <w:rPr>
                <w:rFonts w:hint="eastAsia" w:ascii="宋体" w:hAnsi="宋体" w:eastAsia="宋体" w:cs="Times New Roman"/>
                <w:spacing w:val="-6"/>
                <w:szCs w:val="21"/>
              </w:rPr>
            </w:pPr>
          </w:p>
        </w:tc>
        <w:tc>
          <w:tcPr>
            <w:tcW w:w="3040" w:type="dxa"/>
            <w:vAlign w:val="center"/>
          </w:tcPr>
          <w:p w14:paraId="4E8DAF67">
            <w:pPr>
              <w:adjustRightInd w:val="0"/>
              <w:snapToGrid w:val="0"/>
              <w:spacing w:line="288" w:lineRule="auto"/>
              <w:rPr>
                <w:rFonts w:hint="eastAsia" w:ascii="宋体" w:hAnsi="宋体" w:eastAsia="宋体" w:cs="Times New Roman"/>
                <w:spacing w:val="-6"/>
                <w:szCs w:val="21"/>
              </w:rPr>
            </w:pPr>
          </w:p>
        </w:tc>
        <w:tc>
          <w:tcPr>
            <w:tcW w:w="967" w:type="dxa"/>
            <w:vAlign w:val="center"/>
          </w:tcPr>
          <w:p w14:paraId="2C8ED3B7">
            <w:pPr>
              <w:adjustRightInd w:val="0"/>
              <w:snapToGrid w:val="0"/>
              <w:spacing w:line="288" w:lineRule="auto"/>
              <w:jc w:val="center"/>
              <w:rPr>
                <w:rFonts w:hint="eastAsia" w:ascii="宋体" w:hAnsi="宋体" w:eastAsia="宋体" w:cs="Times New Roman"/>
                <w:spacing w:val="-6"/>
                <w:szCs w:val="21"/>
              </w:rPr>
            </w:pPr>
          </w:p>
        </w:tc>
        <w:tc>
          <w:tcPr>
            <w:tcW w:w="1053" w:type="dxa"/>
            <w:vAlign w:val="center"/>
          </w:tcPr>
          <w:p w14:paraId="7E5CF063">
            <w:pPr>
              <w:adjustRightInd w:val="0"/>
              <w:snapToGrid w:val="0"/>
              <w:spacing w:line="288" w:lineRule="auto"/>
              <w:jc w:val="center"/>
              <w:rPr>
                <w:rFonts w:hint="eastAsia" w:ascii="宋体" w:hAnsi="宋体" w:eastAsia="宋体" w:cs="Times New Roman"/>
                <w:spacing w:val="-6"/>
                <w:szCs w:val="21"/>
              </w:rPr>
            </w:pPr>
          </w:p>
        </w:tc>
        <w:tc>
          <w:tcPr>
            <w:tcW w:w="881" w:type="dxa"/>
          </w:tcPr>
          <w:p w14:paraId="4E7F0F28">
            <w:pPr>
              <w:adjustRightInd w:val="0"/>
              <w:snapToGrid w:val="0"/>
              <w:spacing w:line="288" w:lineRule="auto"/>
              <w:jc w:val="center"/>
              <w:rPr>
                <w:rFonts w:hint="eastAsia" w:ascii="宋体" w:hAnsi="宋体" w:eastAsia="宋体" w:cs="Times New Roman"/>
                <w:spacing w:val="-6"/>
                <w:szCs w:val="21"/>
              </w:rPr>
            </w:pPr>
          </w:p>
        </w:tc>
      </w:tr>
      <w:tr w14:paraId="4275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6137A662">
            <w:pPr>
              <w:adjustRightInd w:val="0"/>
              <w:snapToGrid w:val="0"/>
              <w:spacing w:line="288" w:lineRule="auto"/>
              <w:jc w:val="center"/>
              <w:rPr>
                <w:rFonts w:hint="eastAsia" w:ascii="宋体" w:hAnsi="宋体" w:eastAsia="宋体" w:cs="Times New Roman"/>
                <w:spacing w:val="-6"/>
                <w:szCs w:val="21"/>
              </w:rPr>
            </w:pPr>
          </w:p>
        </w:tc>
        <w:tc>
          <w:tcPr>
            <w:tcW w:w="2091" w:type="dxa"/>
            <w:vAlign w:val="center"/>
          </w:tcPr>
          <w:p w14:paraId="2EF6F4D0">
            <w:pPr>
              <w:adjustRightInd w:val="0"/>
              <w:snapToGrid w:val="0"/>
              <w:spacing w:line="288" w:lineRule="auto"/>
              <w:jc w:val="center"/>
              <w:rPr>
                <w:rFonts w:hint="eastAsia" w:ascii="宋体" w:hAnsi="宋体" w:eastAsia="宋体" w:cs="Times New Roman"/>
                <w:spacing w:val="-6"/>
                <w:szCs w:val="21"/>
              </w:rPr>
            </w:pPr>
          </w:p>
        </w:tc>
        <w:tc>
          <w:tcPr>
            <w:tcW w:w="709" w:type="dxa"/>
            <w:vAlign w:val="center"/>
          </w:tcPr>
          <w:p w14:paraId="531AA907">
            <w:pPr>
              <w:adjustRightInd w:val="0"/>
              <w:snapToGrid w:val="0"/>
              <w:spacing w:line="288" w:lineRule="auto"/>
              <w:jc w:val="center"/>
              <w:rPr>
                <w:rFonts w:hint="eastAsia" w:ascii="宋体" w:hAnsi="宋体" w:eastAsia="宋体" w:cs="Times New Roman"/>
                <w:spacing w:val="-6"/>
                <w:szCs w:val="21"/>
              </w:rPr>
            </w:pPr>
          </w:p>
        </w:tc>
        <w:tc>
          <w:tcPr>
            <w:tcW w:w="3040" w:type="dxa"/>
            <w:vAlign w:val="center"/>
          </w:tcPr>
          <w:p w14:paraId="40D346BD">
            <w:pPr>
              <w:adjustRightInd w:val="0"/>
              <w:snapToGrid w:val="0"/>
              <w:spacing w:line="288" w:lineRule="auto"/>
              <w:rPr>
                <w:rFonts w:hint="eastAsia" w:ascii="宋体" w:hAnsi="宋体" w:eastAsia="宋体" w:cs="Times New Roman"/>
                <w:spacing w:val="-6"/>
                <w:szCs w:val="21"/>
              </w:rPr>
            </w:pPr>
          </w:p>
        </w:tc>
        <w:tc>
          <w:tcPr>
            <w:tcW w:w="967" w:type="dxa"/>
            <w:vAlign w:val="center"/>
          </w:tcPr>
          <w:p w14:paraId="044D884C">
            <w:pPr>
              <w:adjustRightInd w:val="0"/>
              <w:snapToGrid w:val="0"/>
              <w:spacing w:line="288" w:lineRule="auto"/>
              <w:jc w:val="center"/>
              <w:rPr>
                <w:rFonts w:hint="eastAsia" w:ascii="宋体" w:hAnsi="宋体" w:eastAsia="宋体" w:cs="Times New Roman"/>
                <w:spacing w:val="-6"/>
                <w:szCs w:val="21"/>
              </w:rPr>
            </w:pPr>
          </w:p>
        </w:tc>
        <w:tc>
          <w:tcPr>
            <w:tcW w:w="1053" w:type="dxa"/>
            <w:vAlign w:val="center"/>
          </w:tcPr>
          <w:p w14:paraId="2D727199">
            <w:pPr>
              <w:adjustRightInd w:val="0"/>
              <w:snapToGrid w:val="0"/>
              <w:spacing w:line="288" w:lineRule="auto"/>
              <w:jc w:val="center"/>
              <w:rPr>
                <w:rFonts w:hint="eastAsia" w:ascii="宋体" w:hAnsi="宋体" w:eastAsia="宋体" w:cs="Times New Roman"/>
                <w:spacing w:val="-6"/>
                <w:szCs w:val="21"/>
              </w:rPr>
            </w:pPr>
          </w:p>
        </w:tc>
        <w:tc>
          <w:tcPr>
            <w:tcW w:w="881" w:type="dxa"/>
          </w:tcPr>
          <w:p w14:paraId="1A7CD7F2">
            <w:pPr>
              <w:adjustRightInd w:val="0"/>
              <w:snapToGrid w:val="0"/>
              <w:spacing w:line="288" w:lineRule="auto"/>
              <w:jc w:val="center"/>
              <w:rPr>
                <w:rFonts w:hint="eastAsia" w:ascii="宋体" w:hAnsi="宋体" w:eastAsia="宋体" w:cs="Times New Roman"/>
                <w:spacing w:val="-6"/>
                <w:szCs w:val="21"/>
              </w:rPr>
            </w:pPr>
          </w:p>
        </w:tc>
      </w:tr>
      <w:tr w14:paraId="4E30B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222C8289">
            <w:pPr>
              <w:adjustRightInd w:val="0"/>
              <w:snapToGrid w:val="0"/>
              <w:spacing w:line="288" w:lineRule="auto"/>
              <w:jc w:val="center"/>
              <w:rPr>
                <w:rFonts w:hint="eastAsia" w:ascii="宋体" w:hAnsi="宋体" w:eastAsia="宋体" w:cs="Times New Roman"/>
                <w:spacing w:val="-6"/>
                <w:szCs w:val="21"/>
              </w:rPr>
            </w:pPr>
          </w:p>
        </w:tc>
        <w:tc>
          <w:tcPr>
            <w:tcW w:w="2091" w:type="dxa"/>
            <w:vAlign w:val="center"/>
          </w:tcPr>
          <w:p w14:paraId="20987B3E">
            <w:pPr>
              <w:adjustRightInd w:val="0"/>
              <w:snapToGrid w:val="0"/>
              <w:spacing w:line="288" w:lineRule="auto"/>
              <w:jc w:val="center"/>
              <w:rPr>
                <w:rFonts w:hint="eastAsia" w:ascii="宋体" w:hAnsi="宋体" w:eastAsia="宋体" w:cs="Times New Roman"/>
                <w:spacing w:val="-6"/>
                <w:szCs w:val="21"/>
              </w:rPr>
            </w:pPr>
          </w:p>
        </w:tc>
        <w:tc>
          <w:tcPr>
            <w:tcW w:w="709" w:type="dxa"/>
            <w:vAlign w:val="center"/>
          </w:tcPr>
          <w:p w14:paraId="14BCB937">
            <w:pPr>
              <w:adjustRightInd w:val="0"/>
              <w:snapToGrid w:val="0"/>
              <w:spacing w:line="288" w:lineRule="auto"/>
              <w:jc w:val="center"/>
              <w:rPr>
                <w:rFonts w:hint="eastAsia" w:ascii="宋体" w:hAnsi="宋体" w:eastAsia="宋体" w:cs="Times New Roman"/>
                <w:spacing w:val="-6"/>
                <w:szCs w:val="21"/>
              </w:rPr>
            </w:pPr>
          </w:p>
        </w:tc>
        <w:tc>
          <w:tcPr>
            <w:tcW w:w="3040" w:type="dxa"/>
            <w:vAlign w:val="center"/>
          </w:tcPr>
          <w:p w14:paraId="271A3598">
            <w:pPr>
              <w:adjustRightInd w:val="0"/>
              <w:snapToGrid w:val="0"/>
              <w:spacing w:line="288" w:lineRule="auto"/>
              <w:rPr>
                <w:rFonts w:hint="eastAsia" w:ascii="宋体" w:hAnsi="宋体" w:eastAsia="宋体" w:cs="Times New Roman"/>
                <w:spacing w:val="-6"/>
                <w:szCs w:val="21"/>
              </w:rPr>
            </w:pPr>
          </w:p>
        </w:tc>
        <w:tc>
          <w:tcPr>
            <w:tcW w:w="967" w:type="dxa"/>
            <w:vAlign w:val="center"/>
          </w:tcPr>
          <w:p w14:paraId="3386CE0E">
            <w:pPr>
              <w:adjustRightInd w:val="0"/>
              <w:snapToGrid w:val="0"/>
              <w:spacing w:line="288" w:lineRule="auto"/>
              <w:jc w:val="center"/>
              <w:rPr>
                <w:rFonts w:hint="eastAsia" w:ascii="宋体" w:hAnsi="宋体" w:eastAsia="宋体" w:cs="Times New Roman"/>
                <w:spacing w:val="-6"/>
                <w:szCs w:val="21"/>
              </w:rPr>
            </w:pPr>
          </w:p>
        </w:tc>
        <w:tc>
          <w:tcPr>
            <w:tcW w:w="1053" w:type="dxa"/>
            <w:vAlign w:val="center"/>
          </w:tcPr>
          <w:p w14:paraId="559BADA6">
            <w:pPr>
              <w:adjustRightInd w:val="0"/>
              <w:snapToGrid w:val="0"/>
              <w:spacing w:line="288" w:lineRule="auto"/>
              <w:jc w:val="center"/>
              <w:rPr>
                <w:rFonts w:hint="eastAsia" w:ascii="宋体" w:hAnsi="宋体" w:eastAsia="宋体" w:cs="Times New Roman"/>
                <w:spacing w:val="-6"/>
                <w:szCs w:val="21"/>
              </w:rPr>
            </w:pPr>
          </w:p>
        </w:tc>
        <w:tc>
          <w:tcPr>
            <w:tcW w:w="881" w:type="dxa"/>
          </w:tcPr>
          <w:p w14:paraId="5061ACD8">
            <w:pPr>
              <w:adjustRightInd w:val="0"/>
              <w:snapToGrid w:val="0"/>
              <w:spacing w:line="288" w:lineRule="auto"/>
              <w:jc w:val="center"/>
              <w:rPr>
                <w:rFonts w:hint="eastAsia" w:ascii="宋体" w:hAnsi="宋体" w:eastAsia="宋体" w:cs="Times New Roman"/>
                <w:spacing w:val="-6"/>
                <w:szCs w:val="21"/>
              </w:rPr>
            </w:pPr>
          </w:p>
        </w:tc>
      </w:tr>
      <w:tr w14:paraId="53F7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3E06466C">
            <w:pPr>
              <w:adjustRightInd w:val="0"/>
              <w:snapToGrid w:val="0"/>
              <w:spacing w:line="288" w:lineRule="auto"/>
              <w:jc w:val="center"/>
              <w:rPr>
                <w:rFonts w:hint="eastAsia" w:ascii="宋体" w:hAnsi="宋体" w:eastAsia="宋体" w:cs="Times New Roman"/>
                <w:spacing w:val="-6"/>
                <w:szCs w:val="21"/>
              </w:rPr>
            </w:pPr>
          </w:p>
        </w:tc>
        <w:tc>
          <w:tcPr>
            <w:tcW w:w="2091" w:type="dxa"/>
            <w:vAlign w:val="center"/>
          </w:tcPr>
          <w:p w14:paraId="11C878E0">
            <w:pPr>
              <w:adjustRightInd w:val="0"/>
              <w:snapToGrid w:val="0"/>
              <w:spacing w:line="288" w:lineRule="auto"/>
              <w:jc w:val="center"/>
              <w:rPr>
                <w:rFonts w:hint="eastAsia" w:ascii="宋体" w:hAnsi="宋体" w:eastAsia="宋体" w:cs="Times New Roman"/>
                <w:spacing w:val="-6"/>
                <w:szCs w:val="21"/>
              </w:rPr>
            </w:pPr>
          </w:p>
        </w:tc>
        <w:tc>
          <w:tcPr>
            <w:tcW w:w="709" w:type="dxa"/>
            <w:vAlign w:val="center"/>
          </w:tcPr>
          <w:p w14:paraId="52D1E278">
            <w:pPr>
              <w:adjustRightInd w:val="0"/>
              <w:snapToGrid w:val="0"/>
              <w:spacing w:line="288" w:lineRule="auto"/>
              <w:jc w:val="center"/>
              <w:rPr>
                <w:rFonts w:hint="eastAsia" w:ascii="宋体" w:hAnsi="宋体" w:eastAsia="宋体" w:cs="Times New Roman"/>
                <w:spacing w:val="-6"/>
                <w:szCs w:val="21"/>
              </w:rPr>
            </w:pPr>
          </w:p>
        </w:tc>
        <w:tc>
          <w:tcPr>
            <w:tcW w:w="3040" w:type="dxa"/>
            <w:vAlign w:val="center"/>
          </w:tcPr>
          <w:p w14:paraId="58E9FF2B">
            <w:pPr>
              <w:adjustRightInd w:val="0"/>
              <w:snapToGrid w:val="0"/>
              <w:spacing w:line="288" w:lineRule="auto"/>
              <w:rPr>
                <w:rFonts w:hint="eastAsia" w:ascii="宋体" w:hAnsi="宋体" w:eastAsia="宋体" w:cs="Times New Roman"/>
                <w:spacing w:val="-6"/>
                <w:szCs w:val="21"/>
              </w:rPr>
            </w:pPr>
          </w:p>
        </w:tc>
        <w:tc>
          <w:tcPr>
            <w:tcW w:w="967" w:type="dxa"/>
            <w:vAlign w:val="center"/>
          </w:tcPr>
          <w:p w14:paraId="23EEEBD7">
            <w:pPr>
              <w:adjustRightInd w:val="0"/>
              <w:snapToGrid w:val="0"/>
              <w:spacing w:line="288" w:lineRule="auto"/>
              <w:jc w:val="center"/>
              <w:rPr>
                <w:rFonts w:hint="eastAsia" w:ascii="宋体" w:hAnsi="宋体" w:eastAsia="宋体" w:cs="Times New Roman"/>
                <w:spacing w:val="-6"/>
                <w:szCs w:val="21"/>
              </w:rPr>
            </w:pPr>
          </w:p>
        </w:tc>
        <w:tc>
          <w:tcPr>
            <w:tcW w:w="1053" w:type="dxa"/>
            <w:vAlign w:val="center"/>
          </w:tcPr>
          <w:p w14:paraId="1FDA5B11">
            <w:pPr>
              <w:adjustRightInd w:val="0"/>
              <w:snapToGrid w:val="0"/>
              <w:spacing w:line="288" w:lineRule="auto"/>
              <w:jc w:val="center"/>
              <w:rPr>
                <w:rFonts w:hint="eastAsia" w:ascii="宋体" w:hAnsi="宋体" w:eastAsia="宋体" w:cs="Times New Roman"/>
                <w:spacing w:val="-6"/>
                <w:szCs w:val="21"/>
              </w:rPr>
            </w:pPr>
          </w:p>
        </w:tc>
        <w:tc>
          <w:tcPr>
            <w:tcW w:w="881" w:type="dxa"/>
          </w:tcPr>
          <w:p w14:paraId="16E46B5A">
            <w:pPr>
              <w:adjustRightInd w:val="0"/>
              <w:snapToGrid w:val="0"/>
              <w:spacing w:line="288" w:lineRule="auto"/>
              <w:jc w:val="center"/>
              <w:rPr>
                <w:rFonts w:hint="eastAsia" w:ascii="宋体" w:hAnsi="宋体" w:eastAsia="宋体" w:cs="Times New Roman"/>
                <w:spacing w:val="-6"/>
                <w:szCs w:val="21"/>
              </w:rPr>
            </w:pPr>
          </w:p>
        </w:tc>
      </w:tr>
    </w:tbl>
    <w:p w14:paraId="4A19051E">
      <w:pPr>
        <w:adjustRightInd w:val="0"/>
        <w:snapToGrid w:val="0"/>
        <w:spacing w:line="288" w:lineRule="auto"/>
        <w:rPr>
          <w:rFonts w:hint="eastAsia" w:ascii="宋体" w:hAnsi="宋体" w:eastAsia="宋体" w:cs="Times New Roman"/>
          <w:spacing w:val="-6"/>
          <w:szCs w:val="21"/>
        </w:rPr>
      </w:pPr>
    </w:p>
    <w:p w14:paraId="3CE63A86">
      <w:pPr>
        <w:widowControl/>
        <w:jc w:val="left"/>
        <w:rPr>
          <w:rFonts w:hint="eastAsia" w:ascii="宋体" w:hAnsi="宋体" w:eastAsia="宋体" w:cs="Times New Roman"/>
          <w:spacing w:val="-6"/>
          <w:szCs w:val="21"/>
        </w:rPr>
      </w:pPr>
      <w:r>
        <w:rPr>
          <w:rFonts w:hint="eastAsia" w:ascii="宋体" w:hAnsi="宋体" w:eastAsia="宋体" w:cs="Times New Roman"/>
          <w:spacing w:val="-6"/>
          <w:szCs w:val="21"/>
        </w:rPr>
        <w:t>备注：本表仅为方便评标委员会评审使用，不作为判别投标文件是否有效的依据。</w:t>
      </w:r>
    </w:p>
    <w:p w14:paraId="675FEC5C">
      <w:pPr>
        <w:widowControl/>
        <w:jc w:val="left"/>
        <w:rPr>
          <w:rFonts w:hint="eastAsia" w:ascii="宋体" w:hAnsi="宋体" w:eastAsia="宋体" w:cs="宋体"/>
          <w:b/>
          <w:spacing w:val="-6"/>
          <w:szCs w:val="21"/>
        </w:rPr>
      </w:pPr>
      <w:r>
        <w:rPr>
          <w:rFonts w:ascii="宋体" w:hAnsi="宋体" w:eastAsia="宋体" w:cs="宋体"/>
          <w:b/>
          <w:spacing w:val="-6"/>
          <w:szCs w:val="21"/>
        </w:rPr>
        <w:br w:type="page"/>
      </w:r>
    </w:p>
    <w:p w14:paraId="65FB82C6">
      <w:pPr>
        <w:adjustRightInd w:val="0"/>
        <w:snapToGrid w:val="0"/>
        <w:spacing w:line="288" w:lineRule="auto"/>
        <w:jc w:val="center"/>
        <w:outlineLvl w:val="1"/>
        <w:rPr>
          <w:rFonts w:hint="eastAsia" w:ascii="宋体" w:hAnsi="宋体" w:eastAsia="宋体" w:cs="Times New Roman"/>
          <w:b/>
          <w:spacing w:val="-6"/>
          <w:sz w:val="84"/>
          <w:szCs w:val="84"/>
        </w:rPr>
      </w:pPr>
      <w:r>
        <w:rPr>
          <w:rFonts w:hint="eastAsia" w:ascii="宋体" w:hAnsi="宋体" w:eastAsia="宋体" w:cs="Times New Roman"/>
          <w:b/>
          <w:spacing w:val="-6"/>
          <w:sz w:val="84"/>
          <w:szCs w:val="84"/>
        </w:rPr>
        <w:t>资格文件</w:t>
      </w:r>
    </w:p>
    <w:p w14:paraId="7CD4E1B5">
      <w:pPr>
        <w:adjustRightInd w:val="0"/>
        <w:snapToGrid w:val="0"/>
        <w:spacing w:line="288" w:lineRule="auto"/>
        <w:jc w:val="center"/>
        <w:rPr>
          <w:rFonts w:hint="eastAsia" w:ascii="宋体" w:hAnsi="宋体" w:eastAsia="宋体" w:cs="宋体"/>
          <w:b/>
          <w:bCs/>
          <w:sz w:val="24"/>
          <w:szCs w:val="24"/>
        </w:rPr>
      </w:pPr>
    </w:p>
    <w:p w14:paraId="0DE3DFA8">
      <w:pPr>
        <w:adjustRightInd w:val="0"/>
        <w:snapToGrid w:val="0"/>
        <w:spacing w:line="288" w:lineRule="auto"/>
        <w:jc w:val="center"/>
        <w:rPr>
          <w:rFonts w:hint="eastAsia" w:ascii="宋体" w:hAnsi="宋体" w:eastAsia="宋体" w:cs="宋体"/>
          <w:b/>
          <w:bCs/>
          <w:sz w:val="24"/>
          <w:szCs w:val="24"/>
        </w:rPr>
      </w:pPr>
    </w:p>
    <w:p w14:paraId="7A07F017">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资格审查要求的资格证明材料（均需加盖公章）</w:t>
      </w:r>
    </w:p>
    <w:p w14:paraId="1D92AE2D">
      <w:pPr>
        <w:widowControl/>
        <w:adjustRightInd w:val="0"/>
        <w:snapToGrid w:val="0"/>
        <w:spacing w:line="288" w:lineRule="auto"/>
        <w:jc w:val="left"/>
        <w:rPr>
          <w:rFonts w:hint="eastAsia" w:ascii="宋体" w:hAnsi="宋体" w:eastAsia="宋体" w:cs="宋体"/>
          <w:b/>
          <w:spacing w:val="-6"/>
          <w:szCs w:val="21"/>
        </w:rPr>
      </w:pPr>
      <w:r>
        <w:rPr>
          <w:rFonts w:ascii="宋体" w:hAnsi="宋体" w:eastAsia="宋体" w:cs="宋体"/>
          <w:b/>
          <w:spacing w:val="-6"/>
          <w:szCs w:val="21"/>
        </w:rPr>
        <w:br w:type="page"/>
      </w:r>
    </w:p>
    <w:p w14:paraId="1F30A5BA">
      <w:pPr>
        <w:adjustRightInd w:val="0"/>
        <w:snapToGrid w:val="0"/>
        <w:spacing w:line="288" w:lineRule="auto"/>
        <w:rPr>
          <w:rFonts w:hint="eastAsia" w:ascii="宋体" w:hAnsi="宋体" w:eastAsia="宋体" w:cs="宋体"/>
          <w:b/>
          <w:spacing w:val="-6"/>
          <w:szCs w:val="21"/>
        </w:rPr>
      </w:pPr>
    </w:p>
    <w:p w14:paraId="28529EF2">
      <w:pPr>
        <w:adjustRightInd w:val="0"/>
        <w:snapToGrid w:val="0"/>
        <w:spacing w:line="288" w:lineRule="auto"/>
        <w:outlineLvl w:val="2"/>
        <w:rPr>
          <w:rFonts w:hint="eastAsia"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1</w:t>
      </w:r>
      <w:r>
        <w:rPr>
          <w:rFonts w:hint="eastAsia" w:ascii="宋体" w:hAnsi="宋体" w:eastAsia="宋体" w:cs="宋体"/>
          <w:b/>
          <w:spacing w:val="-6"/>
          <w:szCs w:val="21"/>
        </w:rPr>
        <w:t>）有效的法人或者其他组织的营业执照等证明文件，自然人的身份证明</w:t>
      </w:r>
      <w:r>
        <w:rPr>
          <w:rFonts w:hint="eastAsia" w:ascii="宋体" w:hAnsi="宋体" w:eastAsia="宋体" w:cs="Times New Roman"/>
          <w:b/>
          <w:spacing w:val="-6"/>
          <w:szCs w:val="21"/>
        </w:rPr>
        <w:t>（扫描件）</w:t>
      </w:r>
    </w:p>
    <w:p w14:paraId="04A8839B">
      <w:pPr>
        <w:adjustRightInd w:val="0"/>
        <w:snapToGrid w:val="0"/>
        <w:spacing w:line="288" w:lineRule="auto"/>
        <w:rPr>
          <w:rFonts w:hint="eastAsia" w:ascii="宋体" w:hAnsi="宋体" w:eastAsia="宋体" w:cs="Times New Roman"/>
          <w:bCs/>
          <w:spacing w:val="-6"/>
          <w:szCs w:val="21"/>
        </w:rPr>
      </w:pPr>
    </w:p>
    <w:p w14:paraId="4FCD950B">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说明</w:t>
      </w:r>
      <w:r>
        <w:rPr>
          <w:rFonts w:ascii="宋体" w:hAnsi="宋体" w:eastAsia="宋体" w:cs="Times New Roman"/>
          <w:bCs/>
          <w:spacing w:val="-6"/>
          <w:szCs w:val="21"/>
        </w:rPr>
        <w:t>：</w:t>
      </w:r>
    </w:p>
    <w:p w14:paraId="1CDBA8A1">
      <w:pPr>
        <w:adjustRightInd w:val="0"/>
        <w:snapToGrid w:val="0"/>
        <w:spacing w:line="288" w:lineRule="auto"/>
        <w:ind w:left="396" w:hanging="396" w:hangingChars="200"/>
        <w:rPr>
          <w:rFonts w:hint="eastAsia" w:ascii="宋体" w:hAnsi="宋体" w:eastAsia="宋体" w:cs="Times New Roman"/>
          <w:bCs/>
          <w:spacing w:val="-6"/>
          <w:szCs w:val="21"/>
        </w:rPr>
      </w:pPr>
      <w:r>
        <w:rPr>
          <w:rFonts w:hint="eastAsia" w:ascii="宋体" w:hAnsi="宋体" w:eastAsia="宋体" w:cs="Times New Roman"/>
          <w:bCs/>
          <w:spacing w:val="-6"/>
          <w:szCs w:val="21"/>
        </w:rPr>
        <w:t>1</w:t>
      </w:r>
      <w:r>
        <w:rPr>
          <w:rFonts w:ascii="宋体" w:hAnsi="宋体" w:eastAsia="宋体" w:cs="Times New Roman"/>
          <w:bCs/>
          <w:spacing w:val="-6"/>
          <w:szCs w:val="21"/>
        </w:rPr>
        <w:t>.</w:t>
      </w:r>
      <w:r>
        <w:rPr>
          <w:rFonts w:hint="eastAsia" w:ascii="宋体" w:hAnsi="宋体" w:eastAsia="宋体" w:cs="Times New Roman"/>
          <w:bCs/>
          <w:spacing w:val="-6"/>
          <w:szCs w:val="21"/>
        </w:rPr>
        <w:t>如投标人是企业（包括合伙企业），提供在工商部门注册的有效“企业法人营业执照”或“营业执照”；</w:t>
      </w:r>
    </w:p>
    <w:p w14:paraId="31E0F5F7">
      <w:pPr>
        <w:adjustRightInd w:val="0"/>
        <w:snapToGrid w:val="0"/>
        <w:spacing w:line="288" w:lineRule="auto"/>
        <w:ind w:left="396" w:hanging="396" w:hangingChars="200"/>
        <w:rPr>
          <w:rFonts w:hint="eastAsia" w:ascii="宋体" w:hAnsi="宋体" w:eastAsia="宋体" w:cs="Times New Roman"/>
          <w:bCs/>
          <w:spacing w:val="-6"/>
          <w:szCs w:val="21"/>
        </w:rPr>
      </w:pPr>
      <w:r>
        <w:rPr>
          <w:rFonts w:hint="eastAsia" w:ascii="宋体" w:hAnsi="宋体" w:eastAsia="宋体" w:cs="Times New Roman"/>
          <w:bCs/>
          <w:spacing w:val="-6"/>
          <w:szCs w:val="21"/>
        </w:rPr>
        <w:t>2</w:t>
      </w:r>
      <w:r>
        <w:rPr>
          <w:rFonts w:ascii="宋体" w:hAnsi="宋体" w:eastAsia="宋体" w:cs="Times New Roman"/>
          <w:bCs/>
          <w:spacing w:val="-6"/>
          <w:szCs w:val="21"/>
        </w:rPr>
        <w:t>.</w:t>
      </w:r>
      <w:r>
        <w:rPr>
          <w:rFonts w:hint="eastAsia" w:ascii="宋体" w:hAnsi="宋体" w:eastAsia="宋体" w:cs="Times New Roman"/>
          <w:bCs/>
          <w:spacing w:val="-6"/>
          <w:szCs w:val="21"/>
        </w:rPr>
        <w:t>如投标人是事业单位，提供有效的“事业单位法人证书”；</w:t>
      </w:r>
    </w:p>
    <w:p w14:paraId="1E48D787">
      <w:pPr>
        <w:adjustRightInd w:val="0"/>
        <w:snapToGrid w:val="0"/>
        <w:spacing w:line="288" w:lineRule="auto"/>
        <w:ind w:left="396" w:hanging="396" w:hangingChars="200"/>
        <w:rPr>
          <w:rFonts w:hint="eastAsia" w:ascii="宋体" w:hAnsi="宋体" w:eastAsia="宋体" w:cs="Times New Roman"/>
          <w:bCs/>
          <w:spacing w:val="-6"/>
          <w:szCs w:val="21"/>
        </w:rPr>
      </w:pPr>
      <w:r>
        <w:rPr>
          <w:rFonts w:hint="eastAsia" w:ascii="宋体" w:hAnsi="宋体" w:eastAsia="宋体" w:cs="Times New Roman"/>
          <w:bCs/>
          <w:spacing w:val="-6"/>
          <w:szCs w:val="21"/>
        </w:rPr>
        <w:t>3</w:t>
      </w:r>
      <w:r>
        <w:rPr>
          <w:rFonts w:ascii="宋体" w:hAnsi="宋体" w:eastAsia="宋体" w:cs="Times New Roman"/>
          <w:bCs/>
          <w:spacing w:val="-6"/>
          <w:szCs w:val="21"/>
        </w:rPr>
        <w:t>.</w:t>
      </w:r>
      <w:r>
        <w:rPr>
          <w:rFonts w:hint="eastAsia" w:ascii="宋体" w:hAnsi="宋体" w:eastAsia="宋体" w:cs="Times New Roman"/>
          <w:bCs/>
          <w:spacing w:val="-6"/>
          <w:szCs w:val="21"/>
        </w:rPr>
        <w:t>如投标人是非企业专业服务机构的，提供执业许可证等证明文件；</w:t>
      </w:r>
    </w:p>
    <w:p w14:paraId="6B8124DD">
      <w:pPr>
        <w:adjustRightInd w:val="0"/>
        <w:snapToGrid w:val="0"/>
        <w:spacing w:line="288" w:lineRule="auto"/>
        <w:ind w:left="396" w:hanging="396" w:hangingChars="200"/>
        <w:rPr>
          <w:rFonts w:hint="eastAsia" w:ascii="宋体" w:hAnsi="宋体" w:eastAsia="宋体" w:cs="Times New Roman"/>
          <w:bCs/>
          <w:spacing w:val="-6"/>
          <w:szCs w:val="21"/>
        </w:rPr>
      </w:pPr>
      <w:r>
        <w:rPr>
          <w:rFonts w:hint="eastAsia" w:ascii="宋体" w:hAnsi="宋体" w:eastAsia="宋体" w:cs="Times New Roman"/>
          <w:bCs/>
          <w:spacing w:val="-6"/>
          <w:szCs w:val="21"/>
        </w:rPr>
        <w:t>4</w:t>
      </w:r>
      <w:r>
        <w:rPr>
          <w:rFonts w:ascii="宋体" w:hAnsi="宋体" w:eastAsia="宋体" w:cs="Times New Roman"/>
          <w:bCs/>
          <w:spacing w:val="-6"/>
          <w:szCs w:val="21"/>
        </w:rPr>
        <w:t>.</w:t>
      </w:r>
      <w:r>
        <w:rPr>
          <w:rFonts w:hint="eastAsia" w:ascii="宋体" w:hAnsi="宋体" w:eastAsia="宋体" w:cs="Times New Roman"/>
          <w:bCs/>
          <w:spacing w:val="-6"/>
          <w:szCs w:val="21"/>
        </w:rPr>
        <w:t>如投标人是个体工商户，提供有效的“个体工商户营业执照”；</w:t>
      </w:r>
    </w:p>
    <w:p w14:paraId="547035C9">
      <w:pPr>
        <w:adjustRightInd w:val="0"/>
        <w:snapToGrid w:val="0"/>
        <w:spacing w:line="288" w:lineRule="auto"/>
        <w:ind w:left="396" w:hanging="396" w:hangingChars="200"/>
        <w:rPr>
          <w:rFonts w:hint="eastAsia" w:ascii="宋体" w:hAnsi="宋体" w:eastAsia="宋体" w:cs="Times New Roman"/>
          <w:bCs/>
          <w:spacing w:val="-6"/>
          <w:szCs w:val="21"/>
        </w:rPr>
      </w:pPr>
      <w:r>
        <w:rPr>
          <w:rFonts w:hint="eastAsia" w:ascii="宋体" w:hAnsi="宋体" w:eastAsia="宋体" w:cs="Times New Roman"/>
          <w:bCs/>
          <w:spacing w:val="-6"/>
          <w:szCs w:val="21"/>
        </w:rPr>
        <w:t>5</w:t>
      </w:r>
      <w:r>
        <w:rPr>
          <w:rFonts w:ascii="宋体" w:hAnsi="宋体" w:eastAsia="宋体" w:cs="Times New Roman"/>
          <w:bCs/>
          <w:spacing w:val="-6"/>
          <w:szCs w:val="21"/>
        </w:rPr>
        <w:t>.</w:t>
      </w:r>
      <w:r>
        <w:rPr>
          <w:rFonts w:hint="eastAsia" w:ascii="宋体" w:hAnsi="宋体" w:eastAsia="宋体" w:cs="Times New Roman"/>
          <w:bCs/>
          <w:spacing w:val="-6"/>
          <w:szCs w:val="21"/>
        </w:rPr>
        <w:t>如投标人是自然人，提供有效的自然人身份证明。</w:t>
      </w:r>
    </w:p>
    <w:p w14:paraId="6FCC3177">
      <w:pPr>
        <w:adjustRightInd w:val="0"/>
        <w:snapToGrid w:val="0"/>
        <w:spacing w:line="288" w:lineRule="auto"/>
        <w:jc w:val="center"/>
        <w:outlineLvl w:val="2"/>
        <w:rPr>
          <w:rFonts w:hint="eastAsia" w:ascii="宋体" w:hAnsi="宋体" w:eastAsia="宋体" w:cs="宋体"/>
          <w:b/>
          <w:spacing w:val="-6"/>
          <w:szCs w:val="21"/>
        </w:rPr>
      </w:pPr>
      <w:r>
        <w:rPr>
          <w:rFonts w:ascii="宋体" w:hAnsi="宋体" w:eastAsia="宋体" w:cs="Times New Roman"/>
          <w:bCs/>
          <w:spacing w:val="-6"/>
          <w:szCs w:val="21"/>
        </w:rPr>
        <w:br w:type="page"/>
      </w:r>
      <w:r>
        <w:rPr>
          <w:rFonts w:hint="eastAsia" w:ascii="宋体" w:hAnsi="宋体" w:eastAsia="宋体" w:cs="宋体"/>
          <w:b/>
          <w:spacing w:val="-6"/>
          <w:szCs w:val="21"/>
        </w:rPr>
        <w:t>（</w:t>
      </w:r>
      <w:r>
        <w:rPr>
          <w:rFonts w:ascii="宋体" w:hAnsi="宋体" w:eastAsia="宋体" w:cs="宋体"/>
          <w:b/>
          <w:spacing w:val="-6"/>
          <w:szCs w:val="21"/>
        </w:rPr>
        <w:t>2）符合参加政府采购活动应当具备的一般条件的承诺函</w:t>
      </w:r>
    </w:p>
    <w:p w14:paraId="07928D15">
      <w:pPr>
        <w:adjustRightInd w:val="0"/>
        <w:snapToGrid w:val="0"/>
        <w:spacing w:line="288" w:lineRule="auto"/>
        <w:rPr>
          <w:rFonts w:hint="eastAsia" w:ascii="宋体" w:hAnsi="宋体" w:eastAsia="宋体" w:cs="Times New Roman"/>
          <w:b/>
          <w:bCs/>
          <w:spacing w:val="-6"/>
          <w:szCs w:val="21"/>
        </w:rPr>
      </w:pPr>
    </w:p>
    <w:p w14:paraId="1C3B1302">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致：浙江工商大学、浙江求是招标代理有限公司</w:t>
      </w:r>
    </w:p>
    <w:p w14:paraId="2154E5EE">
      <w:pPr>
        <w:adjustRightInd w:val="0"/>
        <w:snapToGrid w:val="0"/>
        <w:spacing w:line="288" w:lineRule="auto"/>
        <w:ind w:firstLine="396" w:firstLineChars="200"/>
        <w:rPr>
          <w:rFonts w:hint="eastAsia" w:ascii="宋体" w:hAnsi="宋体" w:eastAsia="宋体" w:cs="Times New Roman"/>
          <w:spacing w:val="-6"/>
          <w:szCs w:val="21"/>
        </w:rPr>
      </w:pPr>
    </w:p>
    <w:p w14:paraId="5105A9C3">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我方</w:t>
      </w:r>
      <w:r>
        <w:rPr>
          <w:rFonts w:hint="eastAsia" w:ascii="宋体" w:hAnsi="宋体" w:eastAsia="宋体" w:cs="Times New Roman"/>
          <w:spacing w:val="-6"/>
          <w:szCs w:val="21"/>
          <w:u w:val="single"/>
        </w:rPr>
        <w:t xml:space="preserve">（投标人名称） </w:t>
      </w:r>
      <w:r>
        <w:rPr>
          <w:rFonts w:ascii="宋体" w:hAnsi="宋体" w:eastAsia="宋体" w:cs="Times New Roman"/>
          <w:spacing w:val="-6"/>
          <w:szCs w:val="21"/>
          <w:u w:val="single"/>
        </w:rPr>
        <w:t xml:space="preserve">     </w:t>
      </w:r>
      <w:r>
        <w:rPr>
          <w:rFonts w:hint="eastAsia" w:ascii="宋体" w:hAnsi="宋体" w:eastAsia="宋体" w:cs="Times New Roman"/>
          <w:spacing w:val="-6"/>
          <w:szCs w:val="21"/>
          <w:u w:val="single"/>
        </w:rPr>
        <w:t xml:space="preserve"> </w:t>
      </w:r>
      <w:r>
        <w:rPr>
          <w:rFonts w:ascii="宋体" w:hAnsi="宋体" w:eastAsia="宋体" w:cs="Times New Roman"/>
          <w:spacing w:val="-6"/>
          <w:szCs w:val="21"/>
          <w:u w:val="single"/>
        </w:rPr>
        <w:t xml:space="preserve"> </w:t>
      </w:r>
      <w:r>
        <w:rPr>
          <w:rFonts w:hint="eastAsia" w:ascii="宋体" w:hAnsi="宋体" w:eastAsia="宋体" w:cs="Times New Roman"/>
          <w:spacing w:val="-6"/>
          <w:szCs w:val="21"/>
        </w:rPr>
        <w:t>参加</w:t>
      </w:r>
      <w:r>
        <w:rPr>
          <w:rFonts w:hint="eastAsia" w:ascii="宋体" w:hAnsi="宋体" w:eastAsia="宋体" w:cs="Times New Roman"/>
          <w:spacing w:val="-6"/>
          <w:szCs w:val="21"/>
          <w:u w:val="single"/>
        </w:rPr>
        <w:t xml:space="preserve">（项目名称） </w:t>
      </w:r>
      <w:r>
        <w:rPr>
          <w:rFonts w:ascii="宋体" w:hAnsi="宋体" w:eastAsia="宋体" w:cs="Times New Roman"/>
          <w:spacing w:val="-6"/>
          <w:szCs w:val="21"/>
          <w:u w:val="single"/>
        </w:rPr>
        <w:t xml:space="preserve">      </w:t>
      </w:r>
      <w:r>
        <w:rPr>
          <w:rFonts w:hint="eastAsia" w:ascii="宋体" w:hAnsi="宋体" w:eastAsia="宋体" w:cs="Times New Roman"/>
          <w:spacing w:val="-6"/>
          <w:szCs w:val="21"/>
          <w:u w:val="single"/>
        </w:rPr>
        <w:t xml:space="preserve"> </w:t>
      </w:r>
      <w:r>
        <w:rPr>
          <w:rFonts w:hint="eastAsia" w:ascii="宋体" w:hAnsi="宋体" w:eastAsia="宋体" w:cs="Times New Roman"/>
          <w:spacing w:val="-6"/>
          <w:szCs w:val="21"/>
        </w:rPr>
        <w:t>项目的采购活动并承诺如下：</w:t>
      </w:r>
    </w:p>
    <w:p w14:paraId="614E708F">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一、我方满足《中华人民共和国政府采购法》第二十二条规定：</w:t>
      </w:r>
    </w:p>
    <w:p w14:paraId="19410C2C">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（一）具有独立承担民事责任的能力；</w:t>
      </w:r>
    </w:p>
    <w:p w14:paraId="6F7CAEE0">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（二）具有良好的商业信誉和健全的财务会计制度；</w:t>
      </w:r>
    </w:p>
    <w:p w14:paraId="1D4DBEBD">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（三）具有履行合同所必需的设备和专业技术能力；</w:t>
      </w:r>
    </w:p>
    <w:p w14:paraId="4A9B19C6">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（四）有依法缴纳税收和社会保障资金的良好记录；</w:t>
      </w:r>
    </w:p>
    <w:p w14:paraId="3B3894DA">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（五）参加本项目政府采购活动前三年内，在经营活动中</w:t>
      </w:r>
      <w:r>
        <w:rPr>
          <w:rFonts w:hint="eastAsia" w:ascii="宋体" w:hAnsi="宋体" w:eastAsia="宋体" w:cs="Times New Roman"/>
          <w:b/>
          <w:spacing w:val="-6"/>
          <w:szCs w:val="21"/>
          <w:u w:val="single"/>
        </w:rPr>
        <w:t xml:space="preserve">  没有  </w:t>
      </w:r>
      <w:r>
        <w:rPr>
          <w:rFonts w:hint="eastAsia" w:ascii="宋体" w:hAnsi="宋体" w:eastAsia="宋体" w:cs="Times New Roman"/>
          <w:spacing w:val="-6"/>
          <w:szCs w:val="21"/>
        </w:rPr>
        <w:t>重大违法记录。（重大违法记录是指投标人因违法经营受到刑事处罚或者责令停产停业、吊销许可证或者执照、较大数额罚款等行政处罚）</w:t>
      </w:r>
    </w:p>
    <w:p w14:paraId="04B33375">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（六）法律、行政法规规定的其他条件。</w:t>
      </w:r>
    </w:p>
    <w:p w14:paraId="69C9D52F">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二、未被信用中国（www.creditchina.gov.cn）</w:t>
      </w:r>
      <w:r>
        <w:rPr>
          <w:rFonts w:ascii="宋体" w:hAnsi="宋体" w:eastAsia="宋体" w:cs="Times New Roman"/>
          <w:spacing w:val="-6"/>
          <w:szCs w:val="21"/>
        </w:rPr>
        <w:t>、中国政府采购网（www.ccgp.gov.cn）列入失信被执行人、重大税收违法案件当事人名单、政府采购严重违法失信行为记录名单。</w:t>
      </w:r>
    </w:p>
    <w:p w14:paraId="7F04696D">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三、不存在以下情况：</w:t>
      </w:r>
    </w:p>
    <w:p w14:paraId="674D7661">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1、</w:t>
      </w:r>
      <w:r>
        <w:rPr>
          <w:rFonts w:ascii="宋体" w:hAnsi="宋体" w:eastAsia="宋体" w:cs="Times New Roman"/>
          <w:spacing w:val="-6"/>
          <w:szCs w:val="21"/>
        </w:rPr>
        <w:t>单位负责人为同一人或者存在直接控股、管理关系的不同供应商参加同一合同项下的政府采购活动的；</w:t>
      </w:r>
    </w:p>
    <w:p w14:paraId="21C343C7">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2、</w:t>
      </w:r>
      <w:r>
        <w:rPr>
          <w:rFonts w:ascii="宋体" w:hAnsi="宋体" w:eastAsia="宋体" w:cs="Times New Roman"/>
          <w:spacing w:val="-6"/>
          <w:szCs w:val="21"/>
        </w:rPr>
        <w:t>为采购项目提供整体设计、规范编制或者项目管理、监理、检测等服务后再参加该采购项目的其他采购活动的。</w:t>
      </w:r>
    </w:p>
    <w:p w14:paraId="5B0BE948">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四、</w:t>
      </w:r>
      <w:r>
        <w:rPr>
          <w:rFonts w:ascii="宋体" w:hAnsi="宋体" w:eastAsia="宋体" w:cs="Times New Roman"/>
          <w:spacing w:val="-6"/>
          <w:szCs w:val="21"/>
        </w:rPr>
        <w:t>以上事项如有虚假或隐瞒，我方愿意承担一切后果和责任。</w:t>
      </w:r>
    </w:p>
    <w:p w14:paraId="73014DA3">
      <w:pPr>
        <w:adjustRightInd w:val="0"/>
        <w:snapToGrid w:val="0"/>
        <w:spacing w:line="288" w:lineRule="auto"/>
        <w:rPr>
          <w:rFonts w:hint="eastAsia" w:ascii="宋体" w:hAnsi="宋体" w:eastAsia="宋体" w:cs="Times New Roman"/>
          <w:szCs w:val="21"/>
        </w:rPr>
      </w:pPr>
    </w:p>
    <w:p w14:paraId="140C684B">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14:paraId="3B09C54F">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日期：     年   月   日</w:t>
      </w:r>
    </w:p>
    <w:p w14:paraId="00E34D28">
      <w:pPr>
        <w:widowControl/>
        <w:adjustRightInd w:val="0"/>
        <w:snapToGrid w:val="0"/>
        <w:spacing w:line="288" w:lineRule="auto"/>
        <w:jc w:val="left"/>
        <w:rPr>
          <w:rFonts w:hint="eastAsia" w:ascii="宋体" w:hAnsi="宋体" w:eastAsia="宋体" w:cs="宋体"/>
          <w:b/>
          <w:spacing w:val="-6"/>
          <w:szCs w:val="21"/>
        </w:rPr>
      </w:pPr>
    </w:p>
    <w:p w14:paraId="2B13A8C3">
      <w:pPr>
        <w:widowControl/>
        <w:adjustRightInd w:val="0"/>
        <w:snapToGrid w:val="0"/>
        <w:spacing w:line="288" w:lineRule="auto"/>
        <w:jc w:val="left"/>
        <w:rPr>
          <w:rFonts w:hint="eastAsia" w:ascii="宋体" w:hAnsi="宋体" w:eastAsia="宋体" w:cs="宋体"/>
          <w:b/>
          <w:spacing w:val="-6"/>
          <w:szCs w:val="21"/>
        </w:rPr>
      </w:pPr>
      <w:r>
        <w:rPr>
          <w:rFonts w:ascii="宋体" w:hAnsi="宋体" w:eastAsia="宋体" w:cs="宋体"/>
          <w:b/>
          <w:spacing w:val="-6"/>
          <w:szCs w:val="21"/>
        </w:rPr>
        <w:br w:type="page"/>
      </w:r>
    </w:p>
    <w:p w14:paraId="2C3E0148">
      <w:pPr>
        <w:adjustRightInd w:val="0"/>
        <w:snapToGrid w:val="0"/>
        <w:spacing w:line="288" w:lineRule="auto"/>
        <w:jc w:val="left"/>
        <w:outlineLvl w:val="2"/>
        <w:rPr>
          <w:rFonts w:hint="eastAsia"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3）落实政府采购政策需满足的资格要求：无</w:t>
      </w:r>
    </w:p>
    <w:p w14:paraId="61C3EE39">
      <w:pPr>
        <w:adjustRightInd w:val="0"/>
        <w:snapToGrid w:val="0"/>
        <w:spacing w:line="288" w:lineRule="auto"/>
        <w:jc w:val="left"/>
        <w:outlineLvl w:val="2"/>
        <w:rPr>
          <w:rFonts w:hint="eastAsia"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4</w:t>
      </w:r>
      <w:r>
        <w:rPr>
          <w:rFonts w:hint="eastAsia" w:ascii="宋体" w:hAnsi="宋体" w:eastAsia="宋体" w:cs="宋体"/>
          <w:b/>
          <w:spacing w:val="-6"/>
          <w:szCs w:val="21"/>
        </w:rPr>
        <w:t>）本项目的特定资格要求证明材料：无</w:t>
      </w:r>
    </w:p>
    <w:p w14:paraId="3496F8B5">
      <w:pPr>
        <w:adjustRightInd w:val="0"/>
        <w:snapToGrid w:val="0"/>
        <w:spacing w:line="288" w:lineRule="auto"/>
        <w:jc w:val="left"/>
        <w:outlineLvl w:val="2"/>
        <w:rPr>
          <w:rFonts w:hint="eastAsia" w:ascii="宋体" w:hAnsi="宋体" w:eastAsia="宋体" w:cs="宋体"/>
          <w:b/>
          <w:spacing w:val="-6"/>
          <w:szCs w:val="21"/>
        </w:rPr>
      </w:pPr>
      <w:r>
        <w:rPr>
          <w:rFonts w:hint="eastAsia" w:ascii="宋体" w:hAnsi="宋体" w:eastAsia="宋体" w:cs="宋体"/>
          <w:b/>
          <w:spacing w:val="-6"/>
          <w:szCs w:val="21"/>
        </w:rPr>
        <w:t>（5）</w:t>
      </w:r>
      <w:r>
        <w:rPr>
          <w:rFonts w:hint="eastAsia" w:ascii="宋体" w:hAnsi="宋体" w:eastAsia="宋体" w:cs="宋体"/>
          <w:b/>
          <w:spacing w:val="-6"/>
          <w:szCs w:val="21"/>
          <w:lang w:val="zh-CN"/>
        </w:rPr>
        <w:t>联合协议</w:t>
      </w:r>
      <w:r>
        <w:rPr>
          <w:rFonts w:hint="eastAsia" w:ascii="宋体" w:hAnsi="宋体" w:eastAsia="宋体" w:cs="宋体"/>
          <w:b/>
          <w:spacing w:val="-6"/>
          <w:szCs w:val="21"/>
        </w:rPr>
        <w:t>（以联合体形式投标的，提供联合协议；本项目不接受联合体投标或者投标人不以联合体形式投标的，则不需要提供）</w:t>
      </w:r>
    </w:p>
    <w:p w14:paraId="1ECFFA71">
      <w:pPr>
        <w:adjustRightInd w:val="0"/>
        <w:snapToGrid w:val="0"/>
        <w:spacing w:line="288" w:lineRule="auto"/>
        <w:rPr>
          <w:rFonts w:hint="eastAsia" w:ascii="宋体" w:hAnsi="宋体" w:eastAsia="宋体" w:cs="Times New Roman"/>
          <w:b/>
          <w:spacing w:val="-6"/>
          <w:szCs w:val="21"/>
        </w:rPr>
      </w:pPr>
      <w:r>
        <w:rPr>
          <w:rFonts w:ascii="宋体" w:hAnsi="宋体" w:eastAsia="宋体" w:cs="Times New Roman"/>
          <w:b/>
          <w:spacing w:val="-6"/>
          <w:szCs w:val="21"/>
        </w:rPr>
        <w:br w:type="page"/>
      </w:r>
    </w:p>
    <w:p w14:paraId="2BC78DDB">
      <w:pPr>
        <w:overflowPunct w:val="0"/>
        <w:adjustRightInd w:val="0"/>
        <w:snapToGrid w:val="0"/>
        <w:spacing w:line="288" w:lineRule="auto"/>
        <w:jc w:val="center"/>
        <w:outlineLvl w:val="1"/>
        <w:rPr>
          <w:rFonts w:hint="eastAsia" w:ascii="宋体" w:hAnsi="宋体" w:eastAsia="宋体" w:cs="Times New Roman"/>
          <w:bCs/>
          <w:spacing w:val="-6"/>
          <w:sz w:val="84"/>
          <w:szCs w:val="84"/>
        </w:rPr>
      </w:pPr>
      <w:r>
        <w:rPr>
          <w:rFonts w:hint="eastAsia" w:ascii="宋体" w:hAnsi="宋体" w:eastAsia="宋体" w:cs="Times New Roman"/>
          <w:b/>
          <w:spacing w:val="-6"/>
          <w:sz w:val="84"/>
          <w:szCs w:val="84"/>
        </w:rPr>
        <w:t>商务和技术文件</w:t>
      </w:r>
    </w:p>
    <w:p w14:paraId="2199C501">
      <w:pPr>
        <w:widowControl/>
        <w:adjustRightInd w:val="0"/>
        <w:snapToGrid w:val="0"/>
        <w:spacing w:line="288" w:lineRule="auto"/>
        <w:jc w:val="left"/>
        <w:rPr>
          <w:rFonts w:hint="eastAsia" w:ascii="宋体" w:hAnsi="宋体" w:eastAsia="宋体" w:cs="宋体"/>
          <w:b/>
          <w:spacing w:val="-6"/>
          <w:szCs w:val="21"/>
        </w:rPr>
      </w:pPr>
      <w:r>
        <w:rPr>
          <w:rFonts w:ascii="宋体" w:hAnsi="宋体" w:eastAsia="宋体" w:cs="宋体"/>
          <w:b/>
          <w:spacing w:val="-6"/>
          <w:szCs w:val="21"/>
        </w:rPr>
        <w:br w:type="page"/>
      </w:r>
    </w:p>
    <w:p w14:paraId="232784EB">
      <w:pPr>
        <w:adjustRightInd w:val="0"/>
        <w:snapToGrid w:val="0"/>
        <w:spacing w:line="288" w:lineRule="auto"/>
        <w:jc w:val="center"/>
        <w:outlineLvl w:val="2"/>
        <w:rPr>
          <w:rFonts w:hint="eastAsia" w:ascii="宋体" w:hAnsi="宋体" w:eastAsia="宋体" w:cs="宋体"/>
          <w:b/>
          <w:spacing w:val="-6"/>
          <w:szCs w:val="21"/>
        </w:rPr>
      </w:pPr>
      <w:r>
        <w:rPr>
          <w:rFonts w:hint="eastAsia" w:ascii="宋体" w:hAnsi="宋体" w:eastAsia="宋体" w:cs="宋体"/>
          <w:b/>
          <w:spacing w:val="-6"/>
          <w:szCs w:val="21"/>
        </w:rPr>
        <w:t>（1）投标函</w:t>
      </w:r>
    </w:p>
    <w:p w14:paraId="3E22DEC6">
      <w:pPr>
        <w:adjustRightInd w:val="0"/>
        <w:snapToGrid w:val="0"/>
        <w:spacing w:line="288" w:lineRule="auto"/>
        <w:rPr>
          <w:rFonts w:hint="eastAsia" w:ascii="宋体" w:hAnsi="宋体" w:eastAsia="宋体" w:cs="Times New Roman"/>
          <w:spacing w:val="-6"/>
          <w:szCs w:val="21"/>
        </w:rPr>
      </w:pPr>
    </w:p>
    <w:p w14:paraId="5AC91CA2">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致：浙江工商大学、浙江求是招标代理有限公司</w:t>
      </w:r>
    </w:p>
    <w:p w14:paraId="705C505C">
      <w:pPr>
        <w:adjustRightInd w:val="0"/>
        <w:snapToGrid w:val="0"/>
        <w:spacing w:line="288" w:lineRule="auto"/>
        <w:ind w:firstLine="396" w:firstLineChars="200"/>
        <w:rPr>
          <w:rFonts w:hint="eastAsia" w:ascii="宋体" w:hAnsi="宋体" w:eastAsia="宋体" w:cs="Times New Roman"/>
          <w:spacing w:val="-6"/>
          <w:szCs w:val="21"/>
        </w:rPr>
      </w:pPr>
    </w:p>
    <w:p w14:paraId="2083CDA3">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我方参加</w:t>
      </w:r>
      <w:r>
        <w:rPr>
          <w:rFonts w:hint="eastAsia" w:ascii="宋体" w:hAnsi="宋体" w:eastAsia="宋体" w:cs="Times New Roman"/>
          <w:bCs/>
          <w:spacing w:val="-6"/>
          <w:szCs w:val="21"/>
          <w:u w:val="single"/>
        </w:rPr>
        <w:t>浙江工商大学未来营养健康与共同富裕计算设备更新-共同富裕计算设备（第一批）</w:t>
      </w:r>
      <w:r>
        <w:rPr>
          <w:rFonts w:hint="eastAsia" w:ascii="宋体" w:hAnsi="宋体" w:eastAsia="宋体" w:cs="Times New Roman"/>
          <w:spacing w:val="-6"/>
          <w:szCs w:val="21"/>
          <w:u w:val="single"/>
        </w:rPr>
        <w:t>（项目编号</w:t>
      </w:r>
      <w:r>
        <w:rPr>
          <w:rFonts w:hint="eastAsia" w:ascii="宋体" w:hAnsi="宋体" w:eastAsia="宋体" w:cs="Times New Roman"/>
          <w:bCs/>
          <w:spacing w:val="-6"/>
          <w:szCs w:val="21"/>
          <w:u w:val="single"/>
        </w:rPr>
        <w:t>：QSZB-Z(H)-C24374(GK)LL</w:t>
      </w:r>
      <w:r>
        <w:rPr>
          <w:rFonts w:hint="eastAsia" w:ascii="宋体" w:hAnsi="宋体" w:eastAsia="宋体" w:cs="Times New Roman"/>
          <w:spacing w:val="-6"/>
          <w:szCs w:val="21"/>
          <w:u w:val="single"/>
        </w:rPr>
        <w:t>）</w:t>
      </w:r>
      <w:r>
        <w:rPr>
          <w:rFonts w:hint="eastAsia" w:ascii="宋体" w:hAnsi="宋体" w:eastAsia="宋体" w:cs="Times New Roman"/>
          <w:spacing w:val="-6"/>
          <w:szCs w:val="21"/>
        </w:rPr>
        <w:t>项目，为此，我方提交电子加密投标文件一份、以介质（U盘）存储的数据电文形式的</w:t>
      </w:r>
      <w:r>
        <w:rPr>
          <w:rFonts w:hint="eastAsia" w:ascii="宋体" w:hAnsi="宋体" w:eastAsia="宋体" w:cs="Times New Roman"/>
          <w:spacing w:val="-6"/>
          <w:szCs w:val="21"/>
          <w:u w:val="single"/>
        </w:rPr>
        <w:t xml:space="preserve">备份投标文件 </w:t>
      </w:r>
      <w:r>
        <w:rPr>
          <w:rFonts w:ascii="宋体" w:hAnsi="宋体" w:eastAsia="宋体" w:cs="Times New Roman"/>
          <w:spacing w:val="-6"/>
          <w:szCs w:val="21"/>
          <w:u w:val="single"/>
        </w:rPr>
        <w:t xml:space="preserve">   </w:t>
      </w:r>
      <w:r>
        <w:rPr>
          <w:rFonts w:hint="eastAsia" w:ascii="宋体" w:hAnsi="宋体" w:eastAsia="宋体" w:cs="Times New Roman"/>
          <w:spacing w:val="-6"/>
          <w:szCs w:val="21"/>
          <w:u w:val="single"/>
        </w:rPr>
        <w:t>份</w:t>
      </w:r>
      <w:r>
        <w:rPr>
          <w:rFonts w:hint="eastAsia" w:ascii="宋体" w:hAnsi="宋体" w:eastAsia="宋体" w:cs="Times New Roman"/>
          <w:spacing w:val="-6"/>
          <w:szCs w:val="21"/>
        </w:rPr>
        <w:t>。宣布同意如下：</w:t>
      </w:r>
    </w:p>
    <w:p w14:paraId="7B74B590">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1</w:t>
      </w:r>
      <w:r>
        <w:rPr>
          <w:rFonts w:ascii="宋体" w:hAnsi="宋体" w:eastAsia="宋体" w:cs="Times New Roman"/>
          <w:spacing w:val="-6"/>
          <w:szCs w:val="21"/>
        </w:rPr>
        <w:t>.</w:t>
      </w:r>
      <w:r>
        <w:rPr>
          <w:rFonts w:hint="eastAsia" w:ascii="宋体" w:hAnsi="宋体" w:eastAsia="宋体" w:cs="Times New Roman"/>
          <w:spacing w:val="-6"/>
          <w:szCs w:val="21"/>
        </w:rPr>
        <w:t>我方已详细审查全部“招标文件”，包括修改文件（如有）以及全部参考资料和有关附件，已经了解我方对于招标文件、招标过程、中标结果有依法进行询问、质疑、投诉的权利及相关渠道和要求。</w:t>
      </w:r>
    </w:p>
    <w:p w14:paraId="47663CDD">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2</w:t>
      </w:r>
      <w:r>
        <w:rPr>
          <w:rFonts w:ascii="宋体" w:hAnsi="宋体" w:eastAsia="宋体" w:cs="Times New Roman"/>
          <w:spacing w:val="-6"/>
          <w:szCs w:val="21"/>
        </w:rPr>
        <w:t>.</w:t>
      </w:r>
      <w:r>
        <w:rPr>
          <w:rFonts w:hint="eastAsia" w:ascii="宋体" w:hAnsi="宋体" w:eastAsia="宋体" w:cs="Times New Roman"/>
          <w:spacing w:val="-6"/>
          <w:szCs w:val="21"/>
        </w:rPr>
        <w:t>我方在投标之前已经与贵方进行了充分的沟通，完全理解并接受招标文件的各项规定和要求，对招标文件的合理性、合法性不再有异议。</w:t>
      </w:r>
    </w:p>
    <w:p w14:paraId="3839C553">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3</w:t>
      </w:r>
      <w:r>
        <w:rPr>
          <w:rFonts w:ascii="宋体" w:hAnsi="宋体" w:eastAsia="宋体" w:cs="Times New Roman"/>
          <w:spacing w:val="-6"/>
          <w:szCs w:val="21"/>
        </w:rPr>
        <w:t>.</w:t>
      </w:r>
      <w:r>
        <w:rPr>
          <w:rFonts w:hint="eastAsia" w:ascii="宋体" w:hAnsi="宋体" w:eastAsia="宋体" w:cs="Times New Roman"/>
          <w:spacing w:val="-6"/>
          <w:szCs w:val="21"/>
        </w:rPr>
        <w:t>投标有效期自提交投标文件的截止之日起</w:t>
      </w:r>
      <w:r>
        <w:rPr>
          <w:rFonts w:hint="eastAsia" w:ascii="宋体" w:hAnsi="宋体" w:eastAsia="宋体" w:cs="Times New Roman"/>
          <w:bCs/>
          <w:spacing w:val="-6"/>
          <w:szCs w:val="21"/>
          <w:u w:val="single"/>
        </w:rPr>
        <w:t xml:space="preserve"> 90</w:t>
      </w:r>
      <w:r>
        <w:rPr>
          <w:rFonts w:ascii="宋体" w:hAnsi="宋体" w:eastAsia="宋体" w:cs="Times New Roman"/>
          <w:bCs/>
          <w:spacing w:val="-6"/>
          <w:szCs w:val="21"/>
          <w:u w:val="single"/>
        </w:rPr>
        <w:t xml:space="preserve"> </w:t>
      </w:r>
      <w:r>
        <w:rPr>
          <w:rFonts w:hint="eastAsia" w:ascii="宋体" w:hAnsi="宋体" w:eastAsia="宋体" w:cs="Times New Roman"/>
          <w:spacing w:val="-6"/>
          <w:szCs w:val="21"/>
        </w:rPr>
        <w:t>天。</w:t>
      </w:r>
    </w:p>
    <w:p w14:paraId="1B53CF3B">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4</w:t>
      </w:r>
      <w:r>
        <w:rPr>
          <w:rFonts w:ascii="宋体" w:hAnsi="宋体" w:eastAsia="宋体" w:cs="Times New Roman"/>
          <w:spacing w:val="-6"/>
          <w:szCs w:val="21"/>
        </w:rPr>
        <w:t>.</w:t>
      </w:r>
      <w:r>
        <w:rPr>
          <w:rFonts w:hint="eastAsia" w:ascii="宋体" w:hAnsi="宋体" w:eastAsia="宋体" w:cs="Times New Roman"/>
          <w:spacing w:val="-6"/>
          <w:szCs w:val="21"/>
        </w:rPr>
        <w:t>如中标，本投标文件至本项目合同履行完毕止均保持有效，我方将按“招标文件”及政府采购法律、法规的规定履行合同责任和义务。关于代理服务费，我方承诺按照招标文件的规定履行并承担相应的责任。</w:t>
      </w:r>
    </w:p>
    <w:p w14:paraId="7941C83F">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5</w:t>
      </w:r>
      <w:r>
        <w:rPr>
          <w:rFonts w:ascii="宋体" w:hAnsi="宋体" w:eastAsia="宋体" w:cs="Times New Roman"/>
          <w:spacing w:val="-6"/>
          <w:szCs w:val="21"/>
        </w:rPr>
        <w:t>.</w:t>
      </w:r>
      <w:r>
        <w:rPr>
          <w:rFonts w:hint="eastAsia" w:ascii="宋体" w:hAnsi="宋体" w:eastAsia="宋体" w:cs="Times New Roman"/>
          <w:spacing w:val="-6"/>
          <w:szCs w:val="21"/>
        </w:rPr>
        <w:t>我方同意按照贵方要求提供与投标有关的一切数据或资料。</w:t>
      </w:r>
    </w:p>
    <w:p w14:paraId="6BAC1378">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6</w:t>
      </w:r>
      <w:r>
        <w:rPr>
          <w:rFonts w:ascii="宋体" w:hAnsi="宋体" w:eastAsia="宋体" w:cs="Times New Roman"/>
          <w:spacing w:val="-6"/>
          <w:szCs w:val="21"/>
        </w:rPr>
        <w:t>.</w:t>
      </w:r>
      <w:r>
        <w:rPr>
          <w:rFonts w:hint="eastAsia" w:ascii="宋体" w:hAnsi="宋体" w:eastAsia="宋体" w:cs="Times New Roman"/>
          <w:spacing w:val="-6"/>
          <w:szCs w:val="21"/>
        </w:rPr>
        <w:t>与本投标有关的一切正式往来信函联系：</w:t>
      </w:r>
    </w:p>
    <w:tbl>
      <w:tblPr>
        <w:tblStyle w:val="24"/>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808"/>
      </w:tblGrid>
      <w:tr w14:paraId="2EC0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4373C2BA">
            <w:pPr>
              <w:adjustRightInd w:val="0"/>
              <w:snapToGrid w:val="0"/>
              <w:spacing w:line="288" w:lineRule="auto"/>
              <w:rPr>
                <w:rFonts w:hint="eastAsia" w:ascii="宋体" w:hAnsi="宋体" w:eastAsia="宋体" w:cs="Times New Roman"/>
                <w:spacing w:val="-6"/>
                <w:szCs w:val="21"/>
              </w:rPr>
            </w:pPr>
            <w:r>
              <w:rPr>
                <w:rFonts w:hint="eastAsia" w:ascii="宋体" w:hAnsi="宋体" w:eastAsia="宋体" w:cs="Times New Roman"/>
                <w:spacing w:val="-6"/>
                <w:szCs w:val="21"/>
              </w:rPr>
              <w:t>联系人：</w:t>
            </w:r>
          </w:p>
        </w:tc>
        <w:tc>
          <w:tcPr>
            <w:tcW w:w="6808" w:type="dxa"/>
          </w:tcPr>
          <w:p w14:paraId="4B023535">
            <w:pPr>
              <w:adjustRightInd w:val="0"/>
              <w:snapToGrid w:val="0"/>
              <w:spacing w:line="288" w:lineRule="auto"/>
              <w:rPr>
                <w:rFonts w:hint="eastAsia" w:ascii="宋体" w:hAnsi="宋体" w:eastAsia="宋体" w:cs="Times New Roman"/>
                <w:spacing w:val="-6"/>
                <w:szCs w:val="21"/>
              </w:rPr>
            </w:pPr>
          </w:p>
        </w:tc>
      </w:tr>
      <w:tr w14:paraId="5883B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19745CB2">
            <w:pPr>
              <w:adjustRightInd w:val="0"/>
              <w:snapToGrid w:val="0"/>
              <w:spacing w:line="288" w:lineRule="auto"/>
              <w:rPr>
                <w:rFonts w:hint="eastAsia" w:ascii="宋体" w:hAnsi="宋体" w:eastAsia="宋体" w:cs="Times New Roman"/>
                <w:spacing w:val="-6"/>
                <w:szCs w:val="21"/>
              </w:rPr>
            </w:pPr>
            <w:r>
              <w:rPr>
                <w:rFonts w:hint="eastAsia" w:ascii="宋体" w:hAnsi="宋体" w:eastAsia="宋体" w:cs="Times New Roman"/>
                <w:spacing w:val="-6"/>
                <w:szCs w:val="21"/>
              </w:rPr>
              <w:t>职务：</w:t>
            </w:r>
          </w:p>
        </w:tc>
        <w:tc>
          <w:tcPr>
            <w:tcW w:w="6808" w:type="dxa"/>
          </w:tcPr>
          <w:p w14:paraId="2014C985">
            <w:pPr>
              <w:adjustRightInd w:val="0"/>
              <w:snapToGrid w:val="0"/>
              <w:spacing w:line="288" w:lineRule="auto"/>
              <w:rPr>
                <w:rFonts w:hint="eastAsia" w:ascii="宋体" w:hAnsi="宋体" w:eastAsia="宋体" w:cs="Times New Roman"/>
                <w:spacing w:val="-6"/>
                <w:szCs w:val="21"/>
              </w:rPr>
            </w:pPr>
          </w:p>
        </w:tc>
      </w:tr>
      <w:tr w14:paraId="3DF4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501AEEF7">
            <w:pPr>
              <w:adjustRightInd w:val="0"/>
              <w:snapToGrid w:val="0"/>
              <w:spacing w:line="288" w:lineRule="auto"/>
              <w:rPr>
                <w:rFonts w:hint="eastAsia" w:ascii="宋体" w:hAnsi="宋体" w:eastAsia="宋体" w:cs="Times New Roman"/>
                <w:spacing w:val="-6"/>
                <w:szCs w:val="21"/>
              </w:rPr>
            </w:pPr>
            <w:r>
              <w:rPr>
                <w:rFonts w:hint="eastAsia" w:ascii="宋体" w:hAnsi="宋体" w:eastAsia="宋体" w:cs="Times New Roman"/>
                <w:spacing w:val="-6"/>
                <w:szCs w:val="21"/>
              </w:rPr>
              <w:t>手机：</w:t>
            </w:r>
          </w:p>
        </w:tc>
        <w:tc>
          <w:tcPr>
            <w:tcW w:w="6808" w:type="dxa"/>
          </w:tcPr>
          <w:p w14:paraId="344E6135">
            <w:pPr>
              <w:adjustRightInd w:val="0"/>
              <w:snapToGrid w:val="0"/>
              <w:spacing w:line="288" w:lineRule="auto"/>
              <w:rPr>
                <w:rFonts w:hint="eastAsia" w:ascii="宋体" w:hAnsi="宋体" w:eastAsia="宋体" w:cs="Times New Roman"/>
                <w:spacing w:val="-6"/>
                <w:szCs w:val="21"/>
              </w:rPr>
            </w:pPr>
          </w:p>
        </w:tc>
      </w:tr>
      <w:tr w14:paraId="797F6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55043C9B">
            <w:pPr>
              <w:adjustRightInd w:val="0"/>
              <w:snapToGrid w:val="0"/>
              <w:spacing w:line="288" w:lineRule="auto"/>
              <w:rPr>
                <w:rFonts w:hint="eastAsia" w:ascii="宋体" w:hAnsi="宋体" w:eastAsia="宋体" w:cs="Times New Roman"/>
                <w:spacing w:val="-6"/>
                <w:szCs w:val="21"/>
              </w:rPr>
            </w:pPr>
            <w:r>
              <w:rPr>
                <w:rFonts w:hint="eastAsia" w:ascii="宋体" w:hAnsi="宋体" w:eastAsia="宋体" w:cs="Times New Roman"/>
                <w:spacing w:val="-6"/>
                <w:szCs w:val="21"/>
              </w:rPr>
              <w:t>电子邮箱：</w:t>
            </w:r>
          </w:p>
        </w:tc>
        <w:tc>
          <w:tcPr>
            <w:tcW w:w="6808" w:type="dxa"/>
          </w:tcPr>
          <w:p w14:paraId="1E95F25C">
            <w:pPr>
              <w:adjustRightInd w:val="0"/>
              <w:snapToGrid w:val="0"/>
              <w:spacing w:line="288" w:lineRule="auto"/>
              <w:rPr>
                <w:rFonts w:hint="eastAsia" w:ascii="宋体" w:hAnsi="宋体" w:eastAsia="宋体" w:cs="Times New Roman"/>
                <w:spacing w:val="-6"/>
                <w:szCs w:val="21"/>
              </w:rPr>
            </w:pPr>
          </w:p>
        </w:tc>
      </w:tr>
      <w:tr w14:paraId="584C0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272E1C25">
            <w:pPr>
              <w:adjustRightInd w:val="0"/>
              <w:snapToGrid w:val="0"/>
              <w:spacing w:line="288" w:lineRule="auto"/>
              <w:rPr>
                <w:rFonts w:hint="eastAsia" w:ascii="宋体" w:hAnsi="宋体" w:eastAsia="宋体" w:cs="Times New Roman"/>
                <w:spacing w:val="-6"/>
                <w:szCs w:val="21"/>
              </w:rPr>
            </w:pPr>
            <w:r>
              <w:rPr>
                <w:rFonts w:hint="eastAsia" w:ascii="宋体" w:hAnsi="宋体" w:eastAsia="宋体" w:cs="Times New Roman"/>
                <w:spacing w:val="-6"/>
                <w:szCs w:val="21"/>
              </w:rPr>
              <w:t>地址：</w:t>
            </w:r>
          </w:p>
        </w:tc>
        <w:tc>
          <w:tcPr>
            <w:tcW w:w="6808" w:type="dxa"/>
          </w:tcPr>
          <w:p w14:paraId="2EFA6D9E">
            <w:pPr>
              <w:adjustRightInd w:val="0"/>
              <w:snapToGrid w:val="0"/>
              <w:spacing w:line="288" w:lineRule="auto"/>
              <w:rPr>
                <w:rFonts w:hint="eastAsia" w:ascii="宋体" w:hAnsi="宋体" w:eastAsia="宋体" w:cs="Times New Roman"/>
                <w:spacing w:val="-6"/>
                <w:szCs w:val="21"/>
              </w:rPr>
            </w:pPr>
          </w:p>
        </w:tc>
      </w:tr>
      <w:tr w14:paraId="05486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779DE272">
            <w:pPr>
              <w:adjustRightInd w:val="0"/>
              <w:snapToGrid w:val="0"/>
              <w:spacing w:line="288" w:lineRule="auto"/>
              <w:rPr>
                <w:rFonts w:hint="eastAsia" w:ascii="宋体" w:hAnsi="宋体" w:eastAsia="宋体" w:cs="Times New Roman"/>
                <w:spacing w:val="-6"/>
                <w:szCs w:val="21"/>
              </w:rPr>
            </w:pPr>
            <w:r>
              <w:rPr>
                <w:rFonts w:hint="eastAsia" w:ascii="宋体" w:hAnsi="宋体" w:eastAsia="宋体" w:cs="Times New Roman"/>
                <w:spacing w:val="-6"/>
                <w:szCs w:val="21"/>
              </w:rPr>
              <w:t>开户银行：</w:t>
            </w:r>
          </w:p>
        </w:tc>
        <w:tc>
          <w:tcPr>
            <w:tcW w:w="6808" w:type="dxa"/>
          </w:tcPr>
          <w:p w14:paraId="7F05317C">
            <w:pPr>
              <w:adjustRightInd w:val="0"/>
              <w:snapToGrid w:val="0"/>
              <w:spacing w:line="288" w:lineRule="auto"/>
              <w:rPr>
                <w:rFonts w:hint="eastAsia" w:ascii="宋体" w:hAnsi="宋体" w:eastAsia="宋体" w:cs="Times New Roman"/>
                <w:spacing w:val="-6"/>
                <w:szCs w:val="21"/>
              </w:rPr>
            </w:pPr>
          </w:p>
        </w:tc>
      </w:tr>
      <w:tr w14:paraId="1074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46D0ED45">
            <w:pPr>
              <w:adjustRightInd w:val="0"/>
              <w:snapToGrid w:val="0"/>
              <w:spacing w:line="288" w:lineRule="auto"/>
              <w:rPr>
                <w:rFonts w:hint="eastAsia" w:ascii="宋体" w:hAnsi="宋体" w:eastAsia="宋体" w:cs="Times New Roman"/>
                <w:spacing w:val="-6"/>
                <w:szCs w:val="21"/>
              </w:rPr>
            </w:pPr>
            <w:r>
              <w:rPr>
                <w:rFonts w:hint="eastAsia" w:ascii="宋体" w:hAnsi="宋体" w:eastAsia="宋体" w:cs="Times New Roman"/>
                <w:spacing w:val="-6"/>
                <w:szCs w:val="21"/>
              </w:rPr>
              <w:t>银行账号：</w:t>
            </w:r>
          </w:p>
        </w:tc>
        <w:tc>
          <w:tcPr>
            <w:tcW w:w="6808" w:type="dxa"/>
          </w:tcPr>
          <w:p w14:paraId="582B4EA0">
            <w:pPr>
              <w:adjustRightInd w:val="0"/>
              <w:snapToGrid w:val="0"/>
              <w:spacing w:line="288" w:lineRule="auto"/>
              <w:rPr>
                <w:rFonts w:hint="eastAsia" w:ascii="宋体" w:hAnsi="宋体" w:eastAsia="宋体" w:cs="Times New Roman"/>
                <w:spacing w:val="-6"/>
                <w:szCs w:val="21"/>
              </w:rPr>
            </w:pPr>
          </w:p>
        </w:tc>
      </w:tr>
    </w:tbl>
    <w:p w14:paraId="54CDEB24">
      <w:pPr>
        <w:adjustRightInd w:val="0"/>
        <w:snapToGrid w:val="0"/>
        <w:spacing w:line="288" w:lineRule="auto"/>
        <w:rPr>
          <w:rFonts w:hint="eastAsia" w:ascii="宋体" w:hAnsi="宋体" w:eastAsia="宋体" w:cs="Times New Roman"/>
          <w:spacing w:val="-6"/>
          <w:szCs w:val="21"/>
        </w:rPr>
      </w:pPr>
    </w:p>
    <w:p w14:paraId="7AC2A9E7">
      <w:pPr>
        <w:adjustRightInd w:val="0"/>
        <w:snapToGrid w:val="0"/>
        <w:spacing w:line="288" w:lineRule="auto"/>
        <w:rPr>
          <w:rFonts w:hint="eastAsia" w:ascii="宋体" w:hAnsi="宋体" w:eastAsia="宋体" w:cs="Times New Roman"/>
          <w:spacing w:val="-6"/>
          <w:szCs w:val="21"/>
        </w:rPr>
      </w:pPr>
    </w:p>
    <w:p w14:paraId="18FCFD5B">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14:paraId="3C90380B">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日期：     年   月   日</w:t>
      </w:r>
    </w:p>
    <w:p w14:paraId="03C2C961">
      <w:pPr>
        <w:widowControl/>
        <w:adjustRightInd w:val="0"/>
        <w:snapToGrid w:val="0"/>
        <w:spacing w:line="288" w:lineRule="auto"/>
        <w:jc w:val="left"/>
        <w:rPr>
          <w:rFonts w:hint="eastAsia" w:ascii="宋体" w:hAnsi="宋体" w:eastAsia="宋体" w:cs="Times New Roman"/>
          <w:b/>
          <w:spacing w:val="-6"/>
          <w:szCs w:val="21"/>
        </w:rPr>
      </w:pPr>
      <w:r>
        <w:rPr>
          <w:rFonts w:ascii="宋体" w:hAnsi="宋体" w:eastAsia="宋体" w:cs="Times New Roman"/>
          <w:b/>
          <w:spacing w:val="-6"/>
          <w:szCs w:val="21"/>
        </w:rPr>
        <w:br w:type="page"/>
      </w:r>
    </w:p>
    <w:p w14:paraId="62B4375F">
      <w:pPr>
        <w:adjustRightInd w:val="0"/>
        <w:snapToGrid w:val="0"/>
        <w:spacing w:line="288" w:lineRule="auto"/>
        <w:ind w:firstLine="498" w:firstLineChars="236"/>
        <w:jc w:val="center"/>
        <w:outlineLvl w:val="2"/>
        <w:rPr>
          <w:rFonts w:hint="eastAsia" w:ascii="宋体" w:hAnsi="宋体" w:eastAsia="宋体" w:cs="Times New Roman"/>
          <w:b/>
          <w:bCs/>
          <w:szCs w:val="21"/>
        </w:rPr>
      </w:pPr>
      <w:r>
        <w:rPr>
          <w:rFonts w:hint="eastAsia" w:ascii="宋体" w:hAnsi="宋体" w:eastAsia="宋体" w:cs="Times New Roman"/>
          <w:b/>
          <w:bCs/>
          <w:szCs w:val="21"/>
        </w:rPr>
        <w:t>（</w:t>
      </w:r>
      <w:r>
        <w:rPr>
          <w:rFonts w:ascii="宋体" w:hAnsi="宋体" w:eastAsia="宋体" w:cs="Times New Roman"/>
          <w:b/>
          <w:bCs/>
          <w:szCs w:val="21"/>
        </w:rPr>
        <w:t>2</w:t>
      </w:r>
      <w:r>
        <w:rPr>
          <w:rFonts w:hint="eastAsia" w:ascii="宋体" w:hAnsi="宋体" w:eastAsia="宋体" w:cs="Times New Roman"/>
          <w:b/>
          <w:bCs/>
          <w:szCs w:val="21"/>
        </w:rPr>
        <w:t>）授权委托书</w:t>
      </w:r>
    </w:p>
    <w:p w14:paraId="36BD2D00">
      <w:pPr>
        <w:adjustRightInd w:val="0"/>
        <w:snapToGrid w:val="0"/>
        <w:spacing w:line="288" w:lineRule="auto"/>
        <w:rPr>
          <w:rFonts w:hint="eastAsia" w:ascii="宋体" w:hAnsi="宋体" w:eastAsia="宋体" w:cs="Times New Roman"/>
          <w:b/>
          <w:bCs/>
          <w:spacing w:val="-6"/>
          <w:szCs w:val="21"/>
        </w:rPr>
      </w:pPr>
    </w:p>
    <w:p w14:paraId="12742BA6">
      <w:pPr>
        <w:adjustRightInd w:val="0"/>
        <w:snapToGrid w:val="0"/>
        <w:spacing w:line="288" w:lineRule="auto"/>
        <w:rPr>
          <w:rFonts w:hint="eastAsia" w:ascii="宋体" w:hAnsi="宋体" w:eastAsia="宋体" w:cs="Times New Roman"/>
          <w:b/>
          <w:spacing w:val="-6"/>
          <w:szCs w:val="21"/>
        </w:rPr>
      </w:pPr>
      <w:r>
        <w:rPr>
          <w:rFonts w:hint="eastAsia" w:ascii="宋体" w:hAnsi="宋体" w:eastAsia="宋体" w:cs="Times New Roman"/>
          <w:b/>
          <w:spacing w:val="-6"/>
          <w:szCs w:val="21"/>
        </w:rPr>
        <w:t>致：浙江工商大学、浙江求是招标代理有限公司</w:t>
      </w:r>
    </w:p>
    <w:p w14:paraId="0DBB4032">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现授权委托：</w:t>
      </w:r>
      <w:r>
        <w:rPr>
          <w:rFonts w:ascii="宋体" w:hAnsi="宋体" w:eastAsia="宋体" w:cs="Times New Roman"/>
          <w:spacing w:val="-6"/>
          <w:szCs w:val="21"/>
          <w:u w:val="single"/>
        </w:rPr>
        <w:t xml:space="preserve">            </w:t>
      </w:r>
      <w:r>
        <w:rPr>
          <w:rFonts w:hint="eastAsia" w:ascii="宋体" w:hAnsi="宋体" w:eastAsia="宋体" w:cs="Times New Roman"/>
          <w:spacing w:val="-6"/>
          <w:szCs w:val="21"/>
        </w:rPr>
        <w:t>（授权代表姓名）（身份证号码：</w:t>
      </w:r>
      <w:r>
        <w:rPr>
          <w:rFonts w:ascii="宋体" w:hAnsi="宋体" w:eastAsia="宋体" w:cs="Times New Roman"/>
          <w:spacing w:val="-6"/>
          <w:szCs w:val="21"/>
          <w:u w:val="single"/>
        </w:rPr>
        <w:t xml:space="preserve">            </w:t>
      </w:r>
      <w:r>
        <w:rPr>
          <w:rFonts w:hint="eastAsia" w:ascii="宋体" w:hAnsi="宋体" w:eastAsia="宋体" w:cs="Times New Roman"/>
          <w:spacing w:val="-6"/>
          <w:szCs w:val="21"/>
        </w:rPr>
        <w:t>，手机：</w:t>
      </w:r>
      <w:r>
        <w:rPr>
          <w:rFonts w:ascii="宋体" w:hAnsi="宋体" w:eastAsia="宋体" w:cs="Times New Roman"/>
          <w:spacing w:val="-6"/>
          <w:szCs w:val="21"/>
          <w:u w:val="single"/>
        </w:rPr>
        <w:t xml:space="preserve">            </w:t>
      </w:r>
      <w:r>
        <w:rPr>
          <w:rFonts w:hint="eastAsia" w:ascii="宋体" w:hAnsi="宋体" w:eastAsia="宋体" w:cs="Times New Roman"/>
          <w:spacing w:val="-6"/>
          <w:szCs w:val="21"/>
        </w:rPr>
        <w:t>）以我方的名义参加</w:t>
      </w:r>
      <w:r>
        <w:rPr>
          <w:rFonts w:hint="eastAsia" w:ascii="宋体" w:hAnsi="宋体" w:eastAsia="宋体" w:cs="Times New Roman"/>
          <w:bCs/>
          <w:spacing w:val="-6"/>
          <w:szCs w:val="21"/>
        </w:rPr>
        <w:t>浙江工商大学未来营养健康与共同富裕计算设备更新-共同富裕计算设备（第一批）项目（项目编号：QSZB-Z(H)-C24374(GK)LL）</w:t>
      </w:r>
      <w:r>
        <w:rPr>
          <w:rFonts w:hint="eastAsia" w:ascii="宋体" w:hAnsi="宋体" w:eastAsia="宋体" w:cs="Times New Roman"/>
          <w:spacing w:val="-6"/>
          <w:szCs w:val="21"/>
        </w:rPr>
        <w:t>的投标活动，并代表我方全权办理针对上述项目的投标、开标、评标、签约等具体事务和签署相关文件。</w:t>
      </w:r>
    </w:p>
    <w:p w14:paraId="639A7D2D">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我方对被授权人的签名负全部责任。</w:t>
      </w:r>
    </w:p>
    <w:p w14:paraId="38C11E56">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在撤销授权的书面通知以前，本授权书一直有效。被授权人在授权书有效期内签署的所有文件不因授权的撤销而失效。</w:t>
      </w:r>
    </w:p>
    <w:p w14:paraId="63B58DCD">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被授权人无转委托权，特此告知。</w:t>
      </w:r>
    </w:p>
    <w:p w14:paraId="470DD307">
      <w:pPr>
        <w:adjustRightInd w:val="0"/>
        <w:snapToGrid w:val="0"/>
        <w:spacing w:line="288" w:lineRule="auto"/>
        <w:ind w:firstLine="368" w:firstLineChars="186"/>
        <w:rPr>
          <w:rFonts w:hint="eastAsia" w:ascii="宋体" w:hAnsi="宋体" w:eastAsia="宋体" w:cs="Times New Roman"/>
          <w:spacing w:val="-6"/>
          <w:szCs w:val="21"/>
          <w:u w:val="single"/>
        </w:rPr>
      </w:pPr>
      <w:r>
        <w:rPr>
          <w:rFonts w:hint="eastAsia" w:ascii="宋体" w:hAnsi="宋体" w:eastAsia="宋体" w:cs="Times New Roman"/>
          <w:spacing w:val="-6"/>
          <w:szCs w:val="21"/>
          <w:u w:val="single"/>
        </w:rPr>
        <w:t>▲提供授权代表社保缴纳证明（2024年6月（含）以后任意一月）。</w:t>
      </w:r>
    </w:p>
    <w:p w14:paraId="7865A069">
      <w:pPr>
        <w:adjustRightInd w:val="0"/>
        <w:snapToGrid w:val="0"/>
        <w:spacing w:line="288" w:lineRule="auto"/>
        <w:rPr>
          <w:rFonts w:hint="eastAsia" w:ascii="宋体" w:hAnsi="宋体" w:eastAsia="宋体" w:cs="Times New Roman"/>
          <w:spacing w:val="-6"/>
          <w:szCs w:val="21"/>
        </w:rPr>
      </w:pPr>
    </w:p>
    <w:p w14:paraId="6DC7D96C">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14:paraId="26ECF90D">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日期：     年   月   日</w:t>
      </w:r>
    </w:p>
    <w:p w14:paraId="6C1B2217">
      <w:pPr>
        <w:adjustRightInd w:val="0"/>
        <w:snapToGrid w:val="0"/>
        <w:spacing w:line="288" w:lineRule="auto"/>
        <w:rPr>
          <w:rFonts w:hint="eastAsia" w:ascii="宋体" w:hAnsi="宋体" w:eastAsia="宋体" w:cs="Times New Roman"/>
          <w:szCs w:val="21"/>
        </w:rPr>
      </w:pPr>
    </w:p>
    <w:p w14:paraId="67F7B94D">
      <w:pPr>
        <w:adjustRightInd w:val="0"/>
        <w:snapToGrid w:val="0"/>
        <w:spacing w:line="288" w:lineRule="auto"/>
        <w:rPr>
          <w:rFonts w:hint="eastAsia" w:ascii="宋体" w:hAnsi="宋体" w:eastAsia="宋体" w:cs="Times New Roman"/>
          <w:szCs w:val="21"/>
        </w:rPr>
      </w:pPr>
      <w:r>
        <w:rPr>
          <w:rFonts w:hint="eastAsia" w:ascii="宋体" w:hAnsi="宋体" w:eastAsia="宋体" w:cs="Times New Roman"/>
          <w:szCs w:val="21"/>
        </w:rPr>
        <w:t>注：</w:t>
      </w:r>
    </w:p>
    <w:p w14:paraId="258C9D02">
      <w:pPr>
        <w:adjustRightInd w:val="0"/>
        <w:snapToGrid w:val="0"/>
        <w:spacing w:line="288" w:lineRule="auto"/>
        <w:rPr>
          <w:rFonts w:hint="eastAsia" w:ascii="宋体" w:hAnsi="宋体" w:eastAsia="宋体" w:cs="Times New Roman"/>
          <w:szCs w:val="21"/>
        </w:rPr>
      </w:pPr>
      <w:r>
        <w:rPr>
          <w:rFonts w:hint="eastAsia" w:ascii="宋体" w:hAnsi="宋体" w:eastAsia="宋体" w:cs="Times New Roman"/>
          <w:szCs w:val="21"/>
        </w:rPr>
        <w:t>1、投标人委派不在本单位缴纳社保的人员作为授权代表的，应当在投标文件中，说明具体原因、授权代表缴纳社保的单位，并附列该授权代表缴纳社保清单。</w:t>
      </w:r>
    </w:p>
    <w:p w14:paraId="1E702DFF">
      <w:pPr>
        <w:adjustRightInd w:val="0"/>
        <w:snapToGrid w:val="0"/>
        <w:spacing w:line="288" w:lineRule="auto"/>
        <w:rPr>
          <w:rFonts w:hint="eastAsia" w:ascii="宋体" w:hAnsi="宋体" w:eastAsia="宋体" w:cs="Times New Roman"/>
          <w:szCs w:val="21"/>
        </w:rPr>
      </w:pPr>
      <w:r>
        <w:rPr>
          <w:rFonts w:hint="eastAsia" w:ascii="宋体" w:hAnsi="宋体" w:eastAsia="宋体" w:cs="Times New Roman"/>
          <w:szCs w:val="21"/>
        </w:rPr>
        <w:t>2、投标人是联合体的，联合体各成员均应在“授权委托书”上盖章（电子签名</w:t>
      </w:r>
      <w:r>
        <w:rPr>
          <w:rFonts w:ascii="宋体" w:hAnsi="宋体" w:eastAsia="宋体" w:cs="Times New Roman"/>
          <w:szCs w:val="21"/>
        </w:rPr>
        <w:t>/公章）</w:t>
      </w:r>
      <w:r>
        <w:rPr>
          <w:rFonts w:hint="eastAsia" w:ascii="宋体" w:hAnsi="宋体" w:eastAsia="宋体" w:cs="Times New Roman"/>
          <w:szCs w:val="21"/>
        </w:rPr>
        <w:t>。</w:t>
      </w:r>
    </w:p>
    <w:p w14:paraId="50A14210">
      <w:pPr>
        <w:adjustRightInd w:val="0"/>
        <w:snapToGrid w:val="0"/>
        <w:spacing w:line="288" w:lineRule="auto"/>
        <w:rPr>
          <w:rFonts w:hint="eastAsia" w:ascii="宋体" w:hAnsi="宋体" w:eastAsia="宋体" w:cs="Times New Roman"/>
          <w:szCs w:val="21"/>
        </w:rPr>
      </w:pPr>
    </w:p>
    <w:p w14:paraId="55704304">
      <w:pPr>
        <w:adjustRightInd w:val="0"/>
        <w:snapToGrid w:val="0"/>
        <w:spacing w:line="288" w:lineRule="auto"/>
        <w:rPr>
          <w:rFonts w:hint="eastAsia" w:ascii="宋体" w:hAnsi="宋体" w:eastAsia="宋体" w:cs="Times New Roman"/>
          <w:szCs w:val="21"/>
        </w:rPr>
      </w:pPr>
    </w:p>
    <w:p w14:paraId="4EC7DD2C">
      <w:pPr>
        <w:adjustRightInd w:val="0"/>
        <w:snapToGrid w:val="0"/>
        <w:spacing w:line="288" w:lineRule="auto"/>
        <w:jc w:val="center"/>
        <w:outlineLvl w:val="2"/>
        <w:rPr>
          <w:rFonts w:hint="eastAsia" w:ascii="宋体" w:hAnsi="宋体" w:eastAsia="宋体" w:cs="Times New Roman"/>
          <w:b/>
          <w:bCs/>
          <w:spacing w:val="-6"/>
          <w:szCs w:val="21"/>
        </w:rPr>
      </w:pPr>
      <w:r>
        <w:rPr>
          <w:rFonts w:hint="eastAsia" w:ascii="宋体" w:hAnsi="宋体" w:eastAsia="宋体" w:cs="Times New Roman"/>
          <w:b/>
          <w:bCs/>
          <w:szCs w:val="21"/>
        </w:rPr>
        <w:t>（2）法定代表人（单位负责人、自然人本人）</w:t>
      </w:r>
      <w:r>
        <w:rPr>
          <w:rFonts w:hint="eastAsia" w:ascii="宋体" w:hAnsi="宋体" w:eastAsia="宋体" w:cs="Times New Roman"/>
          <w:b/>
          <w:bCs/>
          <w:spacing w:val="-6"/>
          <w:szCs w:val="21"/>
        </w:rPr>
        <w:t>身份证明</w:t>
      </w:r>
    </w:p>
    <w:p w14:paraId="647CD053">
      <w:pPr>
        <w:adjustRightInd w:val="0"/>
        <w:snapToGrid w:val="0"/>
        <w:spacing w:line="288" w:lineRule="auto"/>
        <w:ind w:firstLine="495" w:firstLineChars="236"/>
        <w:jc w:val="center"/>
        <w:rPr>
          <w:rFonts w:hint="eastAsia" w:ascii="宋体" w:hAnsi="宋体" w:eastAsia="宋体" w:cs="Times New Roman"/>
          <w:szCs w:val="21"/>
        </w:rPr>
      </w:pPr>
      <w:r>
        <w:rPr>
          <w:rFonts w:hint="eastAsia" w:ascii="宋体" w:hAnsi="宋体" w:eastAsia="宋体" w:cs="Times New Roman"/>
          <w:szCs w:val="21"/>
        </w:rPr>
        <w:t>（适用于：法定代表人（单位负责人、自然人本人）</w:t>
      </w:r>
      <w:r>
        <w:rPr>
          <w:rFonts w:hint="eastAsia" w:ascii="宋体" w:hAnsi="宋体" w:eastAsia="宋体" w:cs="Times New Roman"/>
          <w:spacing w:val="-6"/>
          <w:szCs w:val="21"/>
        </w:rPr>
        <w:t>代表投标人参加投标</w:t>
      </w:r>
      <w:r>
        <w:rPr>
          <w:rFonts w:hint="eastAsia" w:ascii="宋体" w:hAnsi="宋体" w:eastAsia="宋体" w:cs="Times New Roman"/>
          <w:szCs w:val="21"/>
        </w:rPr>
        <w:t>）</w:t>
      </w:r>
    </w:p>
    <w:p w14:paraId="2350FD36">
      <w:pPr>
        <w:adjustRightInd w:val="0"/>
        <w:snapToGrid w:val="0"/>
        <w:spacing w:line="288" w:lineRule="auto"/>
        <w:jc w:val="left"/>
        <w:rPr>
          <w:rFonts w:hint="eastAsia" w:ascii="宋体" w:hAnsi="宋体" w:eastAsia="宋体" w:cs="Times New Roman"/>
          <w:szCs w:val="21"/>
        </w:rPr>
      </w:pPr>
      <w:r>
        <w:rPr>
          <w:rFonts w:hint="eastAsia" w:ascii="宋体" w:hAnsi="宋体" w:eastAsia="宋体" w:cs="宋体"/>
          <w:bCs/>
          <w:szCs w:val="21"/>
        </w:rPr>
        <w:t>身份证件复印件</w:t>
      </w:r>
    </w:p>
    <w:tbl>
      <w:tblPr>
        <w:tblStyle w:val="1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14:paraId="5385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trPr>
        <w:tc>
          <w:tcPr>
            <w:tcW w:w="4951" w:type="dxa"/>
          </w:tcPr>
          <w:p w14:paraId="750EBA29">
            <w:pPr>
              <w:adjustRightInd w:val="0"/>
              <w:snapToGrid w:val="0"/>
              <w:spacing w:line="288" w:lineRule="auto"/>
              <w:rPr>
                <w:rFonts w:hint="eastAsia" w:ascii="宋体" w:hAnsi="宋体" w:eastAsia="宋体" w:cs="宋体"/>
                <w:bCs/>
                <w:szCs w:val="21"/>
              </w:rPr>
            </w:pPr>
            <w:r>
              <w:rPr>
                <w:rFonts w:hint="eastAsia" w:ascii="宋体" w:hAnsi="宋体" w:eastAsia="宋体" w:cs="宋体"/>
                <w:bCs/>
                <w:szCs w:val="21"/>
              </w:rPr>
              <w:t>正面：</w:t>
            </w:r>
          </w:p>
        </w:tc>
        <w:tc>
          <w:tcPr>
            <w:tcW w:w="4951" w:type="dxa"/>
          </w:tcPr>
          <w:p w14:paraId="5108A3EA">
            <w:pPr>
              <w:adjustRightInd w:val="0"/>
              <w:snapToGrid w:val="0"/>
              <w:spacing w:line="288" w:lineRule="auto"/>
              <w:rPr>
                <w:rFonts w:hint="eastAsia" w:ascii="宋体" w:hAnsi="宋体" w:eastAsia="宋体" w:cs="宋体"/>
                <w:bCs/>
                <w:szCs w:val="21"/>
              </w:rPr>
            </w:pPr>
            <w:r>
              <w:rPr>
                <w:rFonts w:hint="eastAsia" w:ascii="宋体" w:hAnsi="宋体" w:eastAsia="宋体" w:cs="宋体"/>
                <w:bCs/>
                <w:szCs w:val="21"/>
              </w:rPr>
              <w:t>反面：</w:t>
            </w:r>
          </w:p>
        </w:tc>
      </w:tr>
    </w:tbl>
    <w:p w14:paraId="3719C05D">
      <w:pPr>
        <w:adjustRightInd w:val="0"/>
        <w:snapToGrid w:val="0"/>
        <w:spacing w:line="288" w:lineRule="auto"/>
        <w:rPr>
          <w:rFonts w:ascii="Times New Roman" w:hAnsi="Times New Roman" w:eastAsia="宋体" w:cs="Times New Roman"/>
          <w:szCs w:val="21"/>
        </w:rPr>
      </w:pPr>
    </w:p>
    <w:p w14:paraId="71F58D11">
      <w:pPr>
        <w:widowControl/>
        <w:jc w:val="left"/>
        <w:rPr>
          <w:rFonts w:ascii="Times New Roman" w:hAnsi="Times New Roman" w:eastAsia="宋体" w:cs="Times New Roman"/>
          <w:szCs w:val="21"/>
        </w:rPr>
      </w:pPr>
      <w:r>
        <w:rPr>
          <w:rFonts w:ascii="Times New Roman" w:hAnsi="Times New Roman" w:eastAsia="宋体" w:cs="Times New Roman"/>
          <w:szCs w:val="21"/>
        </w:rPr>
        <w:br w:type="page"/>
      </w:r>
    </w:p>
    <w:p w14:paraId="7431CAD8">
      <w:pPr>
        <w:adjustRightInd w:val="0"/>
        <w:snapToGrid w:val="0"/>
        <w:spacing w:line="288" w:lineRule="auto"/>
        <w:jc w:val="left"/>
        <w:outlineLvl w:val="2"/>
        <w:rPr>
          <w:rFonts w:hint="eastAsia" w:ascii="宋体" w:hAnsi="宋体" w:eastAsia="宋体" w:cs="Times New Roman"/>
          <w:b/>
          <w:bCs/>
          <w:szCs w:val="21"/>
        </w:rPr>
      </w:pPr>
      <w:r>
        <w:rPr>
          <w:rFonts w:hint="eastAsia" w:ascii="宋体" w:hAnsi="宋体" w:eastAsia="宋体" w:cs="Times New Roman"/>
          <w:b/>
          <w:bCs/>
          <w:szCs w:val="21"/>
        </w:rPr>
        <w:t>附：授权代表社保缴纳证明（2024年6月（含）以后任意一月）</w:t>
      </w:r>
    </w:p>
    <w:p w14:paraId="353FC278">
      <w:pPr>
        <w:rPr>
          <w:rFonts w:ascii="Times New Roman" w:hAnsi="Times New Roman" w:eastAsia="宋体" w:cs="Times New Roman"/>
          <w:szCs w:val="21"/>
        </w:rPr>
      </w:pPr>
    </w:p>
    <w:p w14:paraId="6A145520">
      <w:pPr>
        <w:adjustRightInd w:val="0"/>
        <w:snapToGrid w:val="0"/>
        <w:spacing w:line="288" w:lineRule="auto"/>
        <w:jc w:val="center"/>
        <w:rPr>
          <w:rFonts w:hint="eastAsia" w:ascii="宋体" w:hAnsi="宋体" w:eastAsia="宋体" w:cs="Times New Roman"/>
          <w:b/>
          <w:spacing w:val="-6"/>
          <w:szCs w:val="21"/>
        </w:rPr>
      </w:pPr>
      <w:r>
        <w:rPr>
          <w:rFonts w:ascii="宋体" w:hAnsi="宋体" w:eastAsia="宋体" w:cs="Times New Roman"/>
          <w:b/>
          <w:spacing w:val="-6"/>
          <w:szCs w:val="21"/>
        </w:rPr>
        <w:br w:type="page"/>
      </w:r>
    </w:p>
    <w:p w14:paraId="29129D2B">
      <w:pPr>
        <w:adjustRightInd w:val="0"/>
        <w:snapToGrid w:val="0"/>
        <w:spacing w:line="288" w:lineRule="auto"/>
        <w:jc w:val="center"/>
        <w:outlineLvl w:val="2"/>
        <w:rPr>
          <w:rFonts w:hint="eastAsia"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3</w:t>
      </w:r>
      <w:r>
        <w:rPr>
          <w:rFonts w:hint="eastAsia" w:ascii="宋体" w:hAnsi="宋体" w:eastAsia="宋体" w:cs="宋体"/>
          <w:b/>
          <w:spacing w:val="-6"/>
          <w:szCs w:val="21"/>
        </w:rPr>
        <w:t>）投标人同类合同一览表</w:t>
      </w:r>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0"/>
        <w:gridCol w:w="1133"/>
        <w:gridCol w:w="1441"/>
        <w:gridCol w:w="683"/>
        <w:gridCol w:w="1153"/>
        <w:gridCol w:w="829"/>
        <w:gridCol w:w="1556"/>
        <w:gridCol w:w="1983"/>
      </w:tblGrid>
      <w:tr w14:paraId="3FDFF3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4A244DB7">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序号</w:t>
            </w:r>
          </w:p>
        </w:tc>
        <w:tc>
          <w:tcPr>
            <w:tcW w:w="1133" w:type="dxa"/>
            <w:tcBorders>
              <w:top w:val="single" w:color="auto" w:sz="4" w:space="0"/>
              <w:left w:val="single" w:color="auto" w:sz="4" w:space="0"/>
              <w:bottom w:val="single" w:color="auto" w:sz="4" w:space="0"/>
              <w:right w:val="single" w:color="auto" w:sz="4" w:space="0"/>
            </w:tcBorders>
            <w:vAlign w:val="center"/>
          </w:tcPr>
          <w:p w14:paraId="6DC6502D">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采购人</w:t>
            </w:r>
          </w:p>
        </w:tc>
        <w:tc>
          <w:tcPr>
            <w:tcW w:w="1441" w:type="dxa"/>
            <w:tcBorders>
              <w:top w:val="single" w:color="auto" w:sz="4" w:space="0"/>
              <w:left w:val="single" w:color="auto" w:sz="4" w:space="0"/>
              <w:bottom w:val="single" w:color="auto" w:sz="4" w:space="0"/>
              <w:right w:val="single" w:color="auto" w:sz="4" w:space="0"/>
            </w:tcBorders>
            <w:vAlign w:val="center"/>
          </w:tcPr>
          <w:p w14:paraId="6BFEC15C">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项目名称</w:t>
            </w:r>
          </w:p>
        </w:tc>
        <w:tc>
          <w:tcPr>
            <w:tcW w:w="683" w:type="dxa"/>
            <w:tcBorders>
              <w:top w:val="single" w:color="auto" w:sz="4" w:space="0"/>
              <w:left w:val="single" w:color="auto" w:sz="4" w:space="0"/>
              <w:bottom w:val="single" w:color="auto" w:sz="4" w:space="0"/>
              <w:right w:val="single" w:color="auto" w:sz="4" w:space="0"/>
            </w:tcBorders>
            <w:vAlign w:val="center"/>
          </w:tcPr>
          <w:p w14:paraId="274CDFBC">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数量</w:t>
            </w:r>
          </w:p>
        </w:tc>
        <w:tc>
          <w:tcPr>
            <w:tcW w:w="1153" w:type="dxa"/>
            <w:tcBorders>
              <w:top w:val="single" w:color="auto" w:sz="4" w:space="0"/>
              <w:left w:val="single" w:color="auto" w:sz="4" w:space="0"/>
              <w:bottom w:val="single" w:color="auto" w:sz="4" w:space="0"/>
              <w:right w:val="single" w:color="auto" w:sz="4" w:space="0"/>
            </w:tcBorders>
            <w:vAlign w:val="center"/>
          </w:tcPr>
          <w:p w14:paraId="4B2FE5C5">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合同金额</w:t>
            </w:r>
          </w:p>
          <w:p w14:paraId="078E926F">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（万元）</w:t>
            </w:r>
          </w:p>
        </w:tc>
        <w:tc>
          <w:tcPr>
            <w:tcW w:w="829" w:type="dxa"/>
            <w:tcBorders>
              <w:top w:val="single" w:color="auto" w:sz="4" w:space="0"/>
              <w:left w:val="single" w:color="auto" w:sz="4" w:space="0"/>
              <w:bottom w:val="single" w:color="auto" w:sz="4" w:space="0"/>
              <w:right w:val="single" w:color="auto" w:sz="4" w:space="0"/>
            </w:tcBorders>
            <w:vAlign w:val="center"/>
          </w:tcPr>
          <w:p w14:paraId="039453F7">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附件页码</w:t>
            </w:r>
          </w:p>
        </w:tc>
        <w:tc>
          <w:tcPr>
            <w:tcW w:w="1556" w:type="dxa"/>
            <w:tcBorders>
              <w:top w:val="single" w:color="auto" w:sz="4" w:space="0"/>
              <w:left w:val="single" w:color="auto" w:sz="4" w:space="0"/>
              <w:bottom w:val="single" w:color="auto" w:sz="4" w:space="0"/>
              <w:right w:val="single" w:color="auto" w:sz="4" w:space="0"/>
            </w:tcBorders>
            <w:vAlign w:val="center"/>
          </w:tcPr>
          <w:p w14:paraId="6C65E193">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合同签订时间</w:t>
            </w:r>
          </w:p>
        </w:tc>
        <w:tc>
          <w:tcPr>
            <w:tcW w:w="1983" w:type="dxa"/>
            <w:tcBorders>
              <w:top w:val="single" w:color="auto" w:sz="4" w:space="0"/>
              <w:left w:val="single" w:color="auto" w:sz="4" w:space="0"/>
              <w:bottom w:val="single" w:color="auto" w:sz="4" w:space="0"/>
              <w:right w:val="single" w:color="auto" w:sz="4" w:space="0"/>
            </w:tcBorders>
            <w:vAlign w:val="center"/>
          </w:tcPr>
          <w:p w14:paraId="1B8BC31C">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采购人联系人</w:t>
            </w:r>
          </w:p>
          <w:p w14:paraId="5BC8C2A4">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联系方式</w:t>
            </w:r>
          </w:p>
        </w:tc>
      </w:tr>
      <w:tr w14:paraId="79A60D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0D925077">
            <w:pPr>
              <w:adjustRightInd w:val="0"/>
              <w:snapToGrid w:val="0"/>
              <w:spacing w:line="288" w:lineRule="auto"/>
              <w:rPr>
                <w:rFonts w:hint="eastAsia" w:ascii="宋体" w:hAnsi="宋体" w:eastAsia="宋体" w:cs="宋体"/>
                <w:b/>
                <w:bCs/>
                <w:szCs w:val="21"/>
              </w:rPr>
            </w:pPr>
          </w:p>
        </w:tc>
        <w:tc>
          <w:tcPr>
            <w:tcW w:w="1133" w:type="dxa"/>
            <w:tcBorders>
              <w:top w:val="single" w:color="auto" w:sz="4" w:space="0"/>
              <w:left w:val="single" w:color="auto" w:sz="4" w:space="0"/>
              <w:bottom w:val="single" w:color="auto" w:sz="4" w:space="0"/>
              <w:right w:val="single" w:color="auto" w:sz="4" w:space="0"/>
            </w:tcBorders>
            <w:vAlign w:val="center"/>
          </w:tcPr>
          <w:p w14:paraId="4125AB10">
            <w:pPr>
              <w:adjustRightInd w:val="0"/>
              <w:snapToGrid w:val="0"/>
              <w:spacing w:line="288" w:lineRule="auto"/>
              <w:rPr>
                <w:rFonts w:hint="eastAsia" w:ascii="宋体" w:hAnsi="宋体" w:eastAsia="宋体" w:cs="宋体"/>
                <w:b/>
                <w:bCs/>
                <w:szCs w:val="21"/>
              </w:rPr>
            </w:pPr>
          </w:p>
        </w:tc>
        <w:tc>
          <w:tcPr>
            <w:tcW w:w="1441" w:type="dxa"/>
            <w:tcBorders>
              <w:top w:val="single" w:color="auto" w:sz="4" w:space="0"/>
              <w:left w:val="single" w:color="auto" w:sz="4" w:space="0"/>
              <w:bottom w:val="single" w:color="auto" w:sz="4" w:space="0"/>
              <w:right w:val="single" w:color="auto" w:sz="4" w:space="0"/>
            </w:tcBorders>
            <w:vAlign w:val="center"/>
          </w:tcPr>
          <w:p w14:paraId="5D2069BD">
            <w:pPr>
              <w:adjustRightInd w:val="0"/>
              <w:snapToGrid w:val="0"/>
              <w:spacing w:line="288" w:lineRule="auto"/>
              <w:rPr>
                <w:rFonts w:hint="eastAsia" w:ascii="宋体" w:hAnsi="宋体" w:eastAsia="宋体" w:cs="宋体"/>
                <w:b/>
                <w:bCs/>
                <w:szCs w:val="21"/>
              </w:rPr>
            </w:pPr>
          </w:p>
        </w:tc>
        <w:tc>
          <w:tcPr>
            <w:tcW w:w="683" w:type="dxa"/>
            <w:tcBorders>
              <w:top w:val="single" w:color="auto" w:sz="4" w:space="0"/>
              <w:left w:val="single" w:color="auto" w:sz="4" w:space="0"/>
              <w:bottom w:val="single" w:color="auto" w:sz="4" w:space="0"/>
              <w:right w:val="single" w:color="auto" w:sz="4" w:space="0"/>
            </w:tcBorders>
            <w:vAlign w:val="center"/>
          </w:tcPr>
          <w:p w14:paraId="3F856B33">
            <w:pPr>
              <w:adjustRightInd w:val="0"/>
              <w:snapToGrid w:val="0"/>
              <w:spacing w:line="288" w:lineRule="auto"/>
              <w:rPr>
                <w:rFonts w:hint="eastAsia" w:ascii="宋体" w:hAnsi="宋体" w:eastAsia="宋体" w:cs="宋体"/>
                <w:b/>
                <w:bCs/>
                <w:szCs w:val="21"/>
              </w:rPr>
            </w:pPr>
          </w:p>
        </w:tc>
        <w:tc>
          <w:tcPr>
            <w:tcW w:w="1153" w:type="dxa"/>
            <w:tcBorders>
              <w:top w:val="single" w:color="auto" w:sz="4" w:space="0"/>
              <w:left w:val="single" w:color="auto" w:sz="4" w:space="0"/>
              <w:bottom w:val="single" w:color="auto" w:sz="4" w:space="0"/>
              <w:right w:val="single" w:color="auto" w:sz="4" w:space="0"/>
            </w:tcBorders>
            <w:vAlign w:val="center"/>
          </w:tcPr>
          <w:p w14:paraId="7C6E60CF">
            <w:pPr>
              <w:adjustRightInd w:val="0"/>
              <w:snapToGrid w:val="0"/>
              <w:spacing w:line="288" w:lineRule="auto"/>
              <w:rPr>
                <w:rFonts w:hint="eastAsia" w:ascii="宋体" w:hAnsi="宋体" w:eastAsia="宋体" w:cs="宋体"/>
                <w:b/>
                <w:bCs/>
                <w:szCs w:val="21"/>
              </w:rPr>
            </w:pPr>
          </w:p>
        </w:tc>
        <w:tc>
          <w:tcPr>
            <w:tcW w:w="829" w:type="dxa"/>
            <w:tcBorders>
              <w:top w:val="single" w:color="auto" w:sz="4" w:space="0"/>
              <w:left w:val="single" w:color="auto" w:sz="4" w:space="0"/>
              <w:bottom w:val="single" w:color="auto" w:sz="4" w:space="0"/>
              <w:right w:val="single" w:color="auto" w:sz="4" w:space="0"/>
            </w:tcBorders>
            <w:vAlign w:val="center"/>
          </w:tcPr>
          <w:p w14:paraId="3184EADF">
            <w:pPr>
              <w:adjustRightInd w:val="0"/>
              <w:snapToGrid w:val="0"/>
              <w:spacing w:line="288" w:lineRule="auto"/>
              <w:rPr>
                <w:rFonts w:hint="eastAsia" w:ascii="宋体" w:hAnsi="宋体" w:eastAsia="宋体" w:cs="宋体"/>
                <w:b/>
                <w:bCs/>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533348A6">
            <w:pPr>
              <w:adjustRightInd w:val="0"/>
              <w:snapToGrid w:val="0"/>
              <w:spacing w:line="288" w:lineRule="auto"/>
              <w:rPr>
                <w:rFonts w:hint="eastAsia" w:ascii="宋体" w:hAnsi="宋体" w:eastAsia="宋体" w:cs="宋体"/>
                <w:b/>
                <w:bCs/>
                <w:szCs w:val="21"/>
              </w:rPr>
            </w:pPr>
          </w:p>
        </w:tc>
        <w:tc>
          <w:tcPr>
            <w:tcW w:w="1983" w:type="dxa"/>
            <w:tcBorders>
              <w:top w:val="single" w:color="auto" w:sz="4" w:space="0"/>
              <w:left w:val="single" w:color="auto" w:sz="4" w:space="0"/>
              <w:bottom w:val="single" w:color="auto" w:sz="4" w:space="0"/>
              <w:right w:val="single" w:color="auto" w:sz="4" w:space="0"/>
            </w:tcBorders>
            <w:vAlign w:val="center"/>
          </w:tcPr>
          <w:p w14:paraId="7176E7C3">
            <w:pPr>
              <w:adjustRightInd w:val="0"/>
              <w:snapToGrid w:val="0"/>
              <w:spacing w:line="288" w:lineRule="auto"/>
              <w:rPr>
                <w:rFonts w:hint="eastAsia" w:ascii="宋体" w:hAnsi="宋体" w:eastAsia="宋体" w:cs="宋体"/>
                <w:b/>
                <w:bCs/>
                <w:szCs w:val="21"/>
              </w:rPr>
            </w:pPr>
          </w:p>
        </w:tc>
      </w:tr>
      <w:tr w14:paraId="55DFE1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725D72CC">
            <w:pPr>
              <w:adjustRightInd w:val="0"/>
              <w:snapToGrid w:val="0"/>
              <w:spacing w:line="288" w:lineRule="auto"/>
              <w:rPr>
                <w:rFonts w:hint="eastAsia" w:ascii="宋体" w:hAnsi="宋体" w:eastAsia="宋体" w:cs="宋体"/>
                <w:b/>
                <w:bCs/>
                <w:szCs w:val="21"/>
              </w:rPr>
            </w:pPr>
          </w:p>
        </w:tc>
        <w:tc>
          <w:tcPr>
            <w:tcW w:w="1133" w:type="dxa"/>
            <w:tcBorders>
              <w:top w:val="single" w:color="auto" w:sz="4" w:space="0"/>
              <w:left w:val="single" w:color="auto" w:sz="4" w:space="0"/>
              <w:bottom w:val="single" w:color="auto" w:sz="4" w:space="0"/>
              <w:right w:val="single" w:color="auto" w:sz="4" w:space="0"/>
            </w:tcBorders>
            <w:vAlign w:val="center"/>
          </w:tcPr>
          <w:p w14:paraId="0609ED7B">
            <w:pPr>
              <w:adjustRightInd w:val="0"/>
              <w:snapToGrid w:val="0"/>
              <w:spacing w:line="288" w:lineRule="auto"/>
              <w:rPr>
                <w:rFonts w:hint="eastAsia" w:ascii="宋体" w:hAnsi="宋体" w:eastAsia="宋体" w:cs="宋体"/>
                <w:b/>
                <w:bCs/>
                <w:szCs w:val="21"/>
              </w:rPr>
            </w:pPr>
          </w:p>
        </w:tc>
        <w:tc>
          <w:tcPr>
            <w:tcW w:w="1441" w:type="dxa"/>
            <w:tcBorders>
              <w:top w:val="single" w:color="auto" w:sz="4" w:space="0"/>
              <w:left w:val="single" w:color="auto" w:sz="4" w:space="0"/>
              <w:bottom w:val="single" w:color="auto" w:sz="4" w:space="0"/>
              <w:right w:val="single" w:color="auto" w:sz="4" w:space="0"/>
            </w:tcBorders>
            <w:vAlign w:val="center"/>
          </w:tcPr>
          <w:p w14:paraId="45E8346A">
            <w:pPr>
              <w:adjustRightInd w:val="0"/>
              <w:snapToGrid w:val="0"/>
              <w:spacing w:line="288" w:lineRule="auto"/>
              <w:rPr>
                <w:rFonts w:hint="eastAsia" w:ascii="宋体" w:hAnsi="宋体" w:eastAsia="宋体" w:cs="宋体"/>
                <w:b/>
                <w:bCs/>
                <w:szCs w:val="21"/>
              </w:rPr>
            </w:pPr>
          </w:p>
        </w:tc>
        <w:tc>
          <w:tcPr>
            <w:tcW w:w="683" w:type="dxa"/>
            <w:tcBorders>
              <w:top w:val="single" w:color="auto" w:sz="4" w:space="0"/>
              <w:left w:val="single" w:color="auto" w:sz="4" w:space="0"/>
              <w:bottom w:val="single" w:color="auto" w:sz="4" w:space="0"/>
              <w:right w:val="single" w:color="auto" w:sz="4" w:space="0"/>
            </w:tcBorders>
            <w:vAlign w:val="center"/>
          </w:tcPr>
          <w:p w14:paraId="782FB134">
            <w:pPr>
              <w:adjustRightInd w:val="0"/>
              <w:snapToGrid w:val="0"/>
              <w:spacing w:line="288" w:lineRule="auto"/>
              <w:rPr>
                <w:rFonts w:hint="eastAsia" w:ascii="宋体" w:hAnsi="宋体" w:eastAsia="宋体" w:cs="宋体"/>
                <w:b/>
                <w:bCs/>
                <w:szCs w:val="21"/>
              </w:rPr>
            </w:pPr>
          </w:p>
        </w:tc>
        <w:tc>
          <w:tcPr>
            <w:tcW w:w="1153" w:type="dxa"/>
            <w:tcBorders>
              <w:top w:val="single" w:color="auto" w:sz="4" w:space="0"/>
              <w:left w:val="single" w:color="auto" w:sz="4" w:space="0"/>
              <w:bottom w:val="single" w:color="auto" w:sz="4" w:space="0"/>
              <w:right w:val="single" w:color="auto" w:sz="4" w:space="0"/>
            </w:tcBorders>
            <w:vAlign w:val="center"/>
          </w:tcPr>
          <w:p w14:paraId="58AE0AE8">
            <w:pPr>
              <w:adjustRightInd w:val="0"/>
              <w:snapToGrid w:val="0"/>
              <w:spacing w:line="288" w:lineRule="auto"/>
              <w:rPr>
                <w:rFonts w:hint="eastAsia" w:ascii="宋体" w:hAnsi="宋体" w:eastAsia="宋体" w:cs="宋体"/>
                <w:b/>
                <w:bCs/>
                <w:szCs w:val="21"/>
              </w:rPr>
            </w:pPr>
          </w:p>
        </w:tc>
        <w:tc>
          <w:tcPr>
            <w:tcW w:w="829" w:type="dxa"/>
            <w:tcBorders>
              <w:top w:val="single" w:color="auto" w:sz="4" w:space="0"/>
              <w:left w:val="single" w:color="auto" w:sz="4" w:space="0"/>
              <w:bottom w:val="single" w:color="auto" w:sz="4" w:space="0"/>
              <w:right w:val="single" w:color="auto" w:sz="4" w:space="0"/>
            </w:tcBorders>
            <w:vAlign w:val="center"/>
          </w:tcPr>
          <w:p w14:paraId="27E5393B">
            <w:pPr>
              <w:adjustRightInd w:val="0"/>
              <w:snapToGrid w:val="0"/>
              <w:spacing w:line="288" w:lineRule="auto"/>
              <w:rPr>
                <w:rFonts w:hint="eastAsia" w:ascii="宋体" w:hAnsi="宋体" w:eastAsia="宋体" w:cs="宋体"/>
                <w:b/>
                <w:bCs/>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1FD142D5">
            <w:pPr>
              <w:adjustRightInd w:val="0"/>
              <w:snapToGrid w:val="0"/>
              <w:spacing w:line="288" w:lineRule="auto"/>
              <w:rPr>
                <w:rFonts w:hint="eastAsia" w:ascii="宋体" w:hAnsi="宋体" w:eastAsia="宋体" w:cs="宋体"/>
                <w:b/>
                <w:bCs/>
                <w:szCs w:val="21"/>
              </w:rPr>
            </w:pPr>
          </w:p>
        </w:tc>
        <w:tc>
          <w:tcPr>
            <w:tcW w:w="1983" w:type="dxa"/>
            <w:tcBorders>
              <w:top w:val="single" w:color="auto" w:sz="4" w:space="0"/>
              <w:left w:val="single" w:color="auto" w:sz="4" w:space="0"/>
              <w:bottom w:val="single" w:color="auto" w:sz="4" w:space="0"/>
              <w:right w:val="single" w:color="auto" w:sz="4" w:space="0"/>
            </w:tcBorders>
            <w:vAlign w:val="center"/>
          </w:tcPr>
          <w:p w14:paraId="39FDBA46">
            <w:pPr>
              <w:adjustRightInd w:val="0"/>
              <w:snapToGrid w:val="0"/>
              <w:spacing w:line="288" w:lineRule="auto"/>
              <w:rPr>
                <w:rFonts w:hint="eastAsia" w:ascii="宋体" w:hAnsi="宋体" w:eastAsia="宋体" w:cs="宋体"/>
                <w:b/>
                <w:bCs/>
                <w:szCs w:val="21"/>
              </w:rPr>
            </w:pPr>
          </w:p>
        </w:tc>
      </w:tr>
      <w:tr w14:paraId="7B883E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08DCBB10">
            <w:pPr>
              <w:adjustRightInd w:val="0"/>
              <w:snapToGrid w:val="0"/>
              <w:spacing w:line="288" w:lineRule="auto"/>
              <w:rPr>
                <w:rFonts w:hint="eastAsia" w:ascii="宋体" w:hAnsi="宋体" w:eastAsia="宋体" w:cs="宋体"/>
                <w:b/>
                <w:bCs/>
                <w:szCs w:val="21"/>
              </w:rPr>
            </w:pPr>
          </w:p>
        </w:tc>
        <w:tc>
          <w:tcPr>
            <w:tcW w:w="1133" w:type="dxa"/>
            <w:tcBorders>
              <w:top w:val="single" w:color="auto" w:sz="4" w:space="0"/>
              <w:left w:val="single" w:color="auto" w:sz="4" w:space="0"/>
              <w:bottom w:val="single" w:color="auto" w:sz="4" w:space="0"/>
              <w:right w:val="single" w:color="auto" w:sz="4" w:space="0"/>
            </w:tcBorders>
            <w:vAlign w:val="center"/>
          </w:tcPr>
          <w:p w14:paraId="17010A50">
            <w:pPr>
              <w:adjustRightInd w:val="0"/>
              <w:snapToGrid w:val="0"/>
              <w:spacing w:line="288" w:lineRule="auto"/>
              <w:rPr>
                <w:rFonts w:hint="eastAsia" w:ascii="宋体" w:hAnsi="宋体" w:eastAsia="宋体" w:cs="宋体"/>
                <w:b/>
                <w:bCs/>
                <w:szCs w:val="21"/>
              </w:rPr>
            </w:pPr>
          </w:p>
        </w:tc>
        <w:tc>
          <w:tcPr>
            <w:tcW w:w="1441" w:type="dxa"/>
            <w:tcBorders>
              <w:top w:val="single" w:color="auto" w:sz="4" w:space="0"/>
              <w:left w:val="single" w:color="auto" w:sz="4" w:space="0"/>
              <w:bottom w:val="single" w:color="auto" w:sz="4" w:space="0"/>
              <w:right w:val="single" w:color="auto" w:sz="4" w:space="0"/>
            </w:tcBorders>
            <w:vAlign w:val="center"/>
          </w:tcPr>
          <w:p w14:paraId="1DF56D11">
            <w:pPr>
              <w:adjustRightInd w:val="0"/>
              <w:snapToGrid w:val="0"/>
              <w:spacing w:line="288" w:lineRule="auto"/>
              <w:rPr>
                <w:rFonts w:hint="eastAsia" w:ascii="宋体" w:hAnsi="宋体" w:eastAsia="宋体" w:cs="宋体"/>
                <w:b/>
                <w:bCs/>
                <w:szCs w:val="21"/>
              </w:rPr>
            </w:pPr>
          </w:p>
        </w:tc>
        <w:tc>
          <w:tcPr>
            <w:tcW w:w="683" w:type="dxa"/>
            <w:tcBorders>
              <w:top w:val="single" w:color="auto" w:sz="4" w:space="0"/>
              <w:left w:val="single" w:color="auto" w:sz="4" w:space="0"/>
              <w:bottom w:val="single" w:color="auto" w:sz="4" w:space="0"/>
              <w:right w:val="single" w:color="auto" w:sz="4" w:space="0"/>
            </w:tcBorders>
            <w:vAlign w:val="center"/>
          </w:tcPr>
          <w:p w14:paraId="6B65DC05">
            <w:pPr>
              <w:adjustRightInd w:val="0"/>
              <w:snapToGrid w:val="0"/>
              <w:spacing w:line="288" w:lineRule="auto"/>
              <w:rPr>
                <w:rFonts w:hint="eastAsia" w:ascii="宋体" w:hAnsi="宋体" w:eastAsia="宋体" w:cs="宋体"/>
                <w:b/>
                <w:bCs/>
                <w:szCs w:val="21"/>
              </w:rPr>
            </w:pPr>
          </w:p>
        </w:tc>
        <w:tc>
          <w:tcPr>
            <w:tcW w:w="1153" w:type="dxa"/>
            <w:tcBorders>
              <w:top w:val="single" w:color="auto" w:sz="4" w:space="0"/>
              <w:left w:val="single" w:color="auto" w:sz="4" w:space="0"/>
              <w:bottom w:val="single" w:color="auto" w:sz="4" w:space="0"/>
              <w:right w:val="single" w:color="auto" w:sz="4" w:space="0"/>
            </w:tcBorders>
            <w:vAlign w:val="center"/>
          </w:tcPr>
          <w:p w14:paraId="3DB6AA85">
            <w:pPr>
              <w:adjustRightInd w:val="0"/>
              <w:snapToGrid w:val="0"/>
              <w:spacing w:line="288" w:lineRule="auto"/>
              <w:rPr>
                <w:rFonts w:hint="eastAsia" w:ascii="宋体" w:hAnsi="宋体" w:eastAsia="宋体" w:cs="宋体"/>
                <w:b/>
                <w:bCs/>
                <w:szCs w:val="21"/>
              </w:rPr>
            </w:pPr>
          </w:p>
        </w:tc>
        <w:tc>
          <w:tcPr>
            <w:tcW w:w="829" w:type="dxa"/>
            <w:tcBorders>
              <w:top w:val="single" w:color="auto" w:sz="4" w:space="0"/>
              <w:left w:val="single" w:color="auto" w:sz="4" w:space="0"/>
              <w:bottom w:val="single" w:color="auto" w:sz="4" w:space="0"/>
              <w:right w:val="single" w:color="auto" w:sz="4" w:space="0"/>
            </w:tcBorders>
            <w:vAlign w:val="center"/>
          </w:tcPr>
          <w:p w14:paraId="23B89027">
            <w:pPr>
              <w:adjustRightInd w:val="0"/>
              <w:snapToGrid w:val="0"/>
              <w:spacing w:line="288" w:lineRule="auto"/>
              <w:rPr>
                <w:rFonts w:hint="eastAsia" w:ascii="宋体" w:hAnsi="宋体" w:eastAsia="宋体" w:cs="宋体"/>
                <w:b/>
                <w:bCs/>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7A7EE7DB">
            <w:pPr>
              <w:adjustRightInd w:val="0"/>
              <w:snapToGrid w:val="0"/>
              <w:spacing w:line="288" w:lineRule="auto"/>
              <w:rPr>
                <w:rFonts w:hint="eastAsia" w:ascii="宋体" w:hAnsi="宋体" w:eastAsia="宋体" w:cs="宋体"/>
                <w:b/>
                <w:bCs/>
                <w:szCs w:val="21"/>
              </w:rPr>
            </w:pPr>
          </w:p>
        </w:tc>
        <w:tc>
          <w:tcPr>
            <w:tcW w:w="1983" w:type="dxa"/>
            <w:tcBorders>
              <w:top w:val="single" w:color="auto" w:sz="4" w:space="0"/>
              <w:left w:val="single" w:color="auto" w:sz="4" w:space="0"/>
              <w:bottom w:val="single" w:color="auto" w:sz="4" w:space="0"/>
              <w:right w:val="single" w:color="auto" w:sz="4" w:space="0"/>
            </w:tcBorders>
            <w:vAlign w:val="center"/>
          </w:tcPr>
          <w:p w14:paraId="7191A588">
            <w:pPr>
              <w:adjustRightInd w:val="0"/>
              <w:snapToGrid w:val="0"/>
              <w:spacing w:line="288" w:lineRule="auto"/>
              <w:rPr>
                <w:rFonts w:hint="eastAsia" w:ascii="宋体" w:hAnsi="宋体" w:eastAsia="宋体" w:cs="宋体"/>
                <w:b/>
                <w:bCs/>
                <w:szCs w:val="21"/>
              </w:rPr>
            </w:pPr>
          </w:p>
        </w:tc>
      </w:tr>
      <w:tr w14:paraId="4F7967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34D95ED2">
            <w:pPr>
              <w:adjustRightInd w:val="0"/>
              <w:snapToGrid w:val="0"/>
              <w:spacing w:line="288" w:lineRule="auto"/>
              <w:rPr>
                <w:rFonts w:hint="eastAsia" w:ascii="宋体" w:hAnsi="宋体" w:eastAsia="宋体" w:cs="宋体"/>
                <w:b/>
                <w:bCs/>
                <w:szCs w:val="21"/>
              </w:rPr>
            </w:pPr>
          </w:p>
        </w:tc>
        <w:tc>
          <w:tcPr>
            <w:tcW w:w="1133" w:type="dxa"/>
            <w:tcBorders>
              <w:top w:val="single" w:color="auto" w:sz="4" w:space="0"/>
              <w:left w:val="single" w:color="auto" w:sz="4" w:space="0"/>
              <w:bottom w:val="single" w:color="auto" w:sz="4" w:space="0"/>
              <w:right w:val="single" w:color="auto" w:sz="4" w:space="0"/>
            </w:tcBorders>
            <w:vAlign w:val="center"/>
          </w:tcPr>
          <w:p w14:paraId="12176E64">
            <w:pPr>
              <w:adjustRightInd w:val="0"/>
              <w:snapToGrid w:val="0"/>
              <w:spacing w:line="288" w:lineRule="auto"/>
              <w:rPr>
                <w:rFonts w:hint="eastAsia" w:ascii="宋体" w:hAnsi="宋体" w:eastAsia="宋体" w:cs="宋体"/>
                <w:b/>
                <w:bCs/>
                <w:szCs w:val="21"/>
              </w:rPr>
            </w:pPr>
          </w:p>
        </w:tc>
        <w:tc>
          <w:tcPr>
            <w:tcW w:w="1441" w:type="dxa"/>
            <w:tcBorders>
              <w:top w:val="single" w:color="auto" w:sz="4" w:space="0"/>
              <w:left w:val="single" w:color="auto" w:sz="4" w:space="0"/>
              <w:bottom w:val="single" w:color="auto" w:sz="4" w:space="0"/>
              <w:right w:val="single" w:color="auto" w:sz="4" w:space="0"/>
            </w:tcBorders>
            <w:vAlign w:val="center"/>
          </w:tcPr>
          <w:p w14:paraId="27F2AC79">
            <w:pPr>
              <w:adjustRightInd w:val="0"/>
              <w:snapToGrid w:val="0"/>
              <w:spacing w:line="288" w:lineRule="auto"/>
              <w:rPr>
                <w:rFonts w:hint="eastAsia" w:ascii="宋体" w:hAnsi="宋体" w:eastAsia="宋体" w:cs="宋体"/>
                <w:b/>
                <w:bCs/>
                <w:szCs w:val="21"/>
              </w:rPr>
            </w:pPr>
          </w:p>
        </w:tc>
        <w:tc>
          <w:tcPr>
            <w:tcW w:w="683" w:type="dxa"/>
            <w:tcBorders>
              <w:top w:val="single" w:color="auto" w:sz="4" w:space="0"/>
              <w:left w:val="single" w:color="auto" w:sz="4" w:space="0"/>
              <w:bottom w:val="single" w:color="auto" w:sz="4" w:space="0"/>
              <w:right w:val="single" w:color="auto" w:sz="4" w:space="0"/>
            </w:tcBorders>
            <w:vAlign w:val="center"/>
          </w:tcPr>
          <w:p w14:paraId="23CF7600">
            <w:pPr>
              <w:adjustRightInd w:val="0"/>
              <w:snapToGrid w:val="0"/>
              <w:spacing w:line="288" w:lineRule="auto"/>
              <w:rPr>
                <w:rFonts w:hint="eastAsia" w:ascii="宋体" w:hAnsi="宋体" w:eastAsia="宋体" w:cs="宋体"/>
                <w:b/>
                <w:bCs/>
                <w:szCs w:val="21"/>
              </w:rPr>
            </w:pPr>
          </w:p>
        </w:tc>
        <w:tc>
          <w:tcPr>
            <w:tcW w:w="1153" w:type="dxa"/>
            <w:tcBorders>
              <w:top w:val="single" w:color="auto" w:sz="4" w:space="0"/>
              <w:left w:val="single" w:color="auto" w:sz="4" w:space="0"/>
              <w:bottom w:val="single" w:color="auto" w:sz="4" w:space="0"/>
              <w:right w:val="single" w:color="auto" w:sz="4" w:space="0"/>
            </w:tcBorders>
            <w:vAlign w:val="center"/>
          </w:tcPr>
          <w:p w14:paraId="68EEA1E2">
            <w:pPr>
              <w:adjustRightInd w:val="0"/>
              <w:snapToGrid w:val="0"/>
              <w:spacing w:line="288" w:lineRule="auto"/>
              <w:rPr>
                <w:rFonts w:hint="eastAsia" w:ascii="宋体" w:hAnsi="宋体" w:eastAsia="宋体" w:cs="宋体"/>
                <w:b/>
                <w:bCs/>
                <w:szCs w:val="21"/>
              </w:rPr>
            </w:pPr>
          </w:p>
        </w:tc>
        <w:tc>
          <w:tcPr>
            <w:tcW w:w="829" w:type="dxa"/>
            <w:tcBorders>
              <w:top w:val="single" w:color="auto" w:sz="4" w:space="0"/>
              <w:left w:val="single" w:color="auto" w:sz="4" w:space="0"/>
              <w:bottom w:val="single" w:color="auto" w:sz="4" w:space="0"/>
              <w:right w:val="single" w:color="auto" w:sz="4" w:space="0"/>
            </w:tcBorders>
            <w:vAlign w:val="center"/>
          </w:tcPr>
          <w:p w14:paraId="25C54AAC">
            <w:pPr>
              <w:adjustRightInd w:val="0"/>
              <w:snapToGrid w:val="0"/>
              <w:spacing w:line="288" w:lineRule="auto"/>
              <w:rPr>
                <w:rFonts w:hint="eastAsia" w:ascii="宋体" w:hAnsi="宋体" w:eastAsia="宋体" w:cs="宋体"/>
                <w:b/>
                <w:bCs/>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1CCE6DB8">
            <w:pPr>
              <w:adjustRightInd w:val="0"/>
              <w:snapToGrid w:val="0"/>
              <w:spacing w:line="288" w:lineRule="auto"/>
              <w:rPr>
                <w:rFonts w:hint="eastAsia" w:ascii="宋体" w:hAnsi="宋体" w:eastAsia="宋体" w:cs="宋体"/>
                <w:b/>
                <w:bCs/>
                <w:szCs w:val="21"/>
              </w:rPr>
            </w:pPr>
          </w:p>
        </w:tc>
        <w:tc>
          <w:tcPr>
            <w:tcW w:w="1983" w:type="dxa"/>
            <w:tcBorders>
              <w:top w:val="single" w:color="auto" w:sz="4" w:space="0"/>
              <w:left w:val="single" w:color="auto" w:sz="4" w:space="0"/>
              <w:bottom w:val="single" w:color="auto" w:sz="4" w:space="0"/>
              <w:right w:val="single" w:color="auto" w:sz="4" w:space="0"/>
            </w:tcBorders>
            <w:vAlign w:val="center"/>
          </w:tcPr>
          <w:p w14:paraId="3653FF64">
            <w:pPr>
              <w:adjustRightInd w:val="0"/>
              <w:snapToGrid w:val="0"/>
              <w:spacing w:line="288" w:lineRule="auto"/>
              <w:rPr>
                <w:rFonts w:hint="eastAsia" w:ascii="宋体" w:hAnsi="宋体" w:eastAsia="宋体" w:cs="宋体"/>
                <w:b/>
                <w:bCs/>
                <w:szCs w:val="21"/>
              </w:rPr>
            </w:pPr>
          </w:p>
        </w:tc>
      </w:tr>
      <w:tr w14:paraId="02906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7F757775">
            <w:pPr>
              <w:adjustRightInd w:val="0"/>
              <w:snapToGrid w:val="0"/>
              <w:spacing w:line="288" w:lineRule="auto"/>
              <w:rPr>
                <w:rFonts w:hint="eastAsia" w:ascii="宋体" w:hAnsi="宋体" w:eastAsia="宋体" w:cs="宋体"/>
                <w:b/>
                <w:bCs/>
                <w:szCs w:val="21"/>
              </w:rPr>
            </w:pPr>
          </w:p>
        </w:tc>
        <w:tc>
          <w:tcPr>
            <w:tcW w:w="1133" w:type="dxa"/>
            <w:tcBorders>
              <w:top w:val="single" w:color="auto" w:sz="4" w:space="0"/>
              <w:left w:val="single" w:color="auto" w:sz="4" w:space="0"/>
              <w:bottom w:val="single" w:color="auto" w:sz="4" w:space="0"/>
              <w:right w:val="single" w:color="auto" w:sz="4" w:space="0"/>
            </w:tcBorders>
            <w:vAlign w:val="center"/>
          </w:tcPr>
          <w:p w14:paraId="5874BEFC">
            <w:pPr>
              <w:adjustRightInd w:val="0"/>
              <w:snapToGrid w:val="0"/>
              <w:spacing w:line="288" w:lineRule="auto"/>
              <w:rPr>
                <w:rFonts w:hint="eastAsia" w:ascii="宋体" w:hAnsi="宋体" w:eastAsia="宋体" w:cs="宋体"/>
                <w:b/>
                <w:bCs/>
                <w:szCs w:val="21"/>
              </w:rPr>
            </w:pPr>
          </w:p>
        </w:tc>
        <w:tc>
          <w:tcPr>
            <w:tcW w:w="1441" w:type="dxa"/>
            <w:tcBorders>
              <w:top w:val="single" w:color="auto" w:sz="4" w:space="0"/>
              <w:left w:val="single" w:color="auto" w:sz="4" w:space="0"/>
              <w:bottom w:val="single" w:color="auto" w:sz="4" w:space="0"/>
              <w:right w:val="single" w:color="auto" w:sz="4" w:space="0"/>
            </w:tcBorders>
            <w:vAlign w:val="center"/>
          </w:tcPr>
          <w:p w14:paraId="11CFB094">
            <w:pPr>
              <w:adjustRightInd w:val="0"/>
              <w:snapToGrid w:val="0"/>
              <w:spacing w:line="288" w:lineRule="auto"/>
              <w:rPr>
                <w:rFonts w:hint="eastAsia" w:ascii="宋体" w:hAnsi="宋体" w:eastAsia="宋体" w:cs="宋体"/>
                <w:b/>
                <w:bCs/>
                <w:szCs w:val="21"/>
              </w:rPr>
            </w:pPr>
          </w:p>
        </w:tc>
        <w:tc>
          <w:tcPr>
            <w:tcW w:w="683" w:type="dxa"/>
            <w:tcBorders>
              <w:top w:val="single" w:color="auto" w:sz="4" w:space="0"/>
              <w:left w:val="single" w:color="auto" w:sz="4" w:space="0"/>
              <w:bottom w:val="single" w:color="auto" w:sz="4" w:space="0"/>
              <w:right w:val="single" w:color="auto" w:sz="4" w:space="0"/>
            </w:tcBorders>
            <w:vAlign w:val="center"/>
          </w:tcPr>
          <w:p w14:paraId="67B5C7E0">
            <w:pPr>
              <w:adjustRightInd w:val="0"/>
              <w:snapToGrid w:val="0"/>
              <w:spacing w:line="288" w:lineRule="auto"/>
              <w:rPr>
                <w:rFonts w:hint="eastAsia" w:ascii="宋体" w:hAnsi="宋体" w:eastAsia="宋体" w:cs="宋体"/>
                <w:b/>
                <w:bCs/>
                <w:szCs w:val="21"/>
              </w:rPr>
            </w:pPr>
          </w:p>
        </w:tc>
        <w:tc>
          <w:tcPr>
            <w:tcW w:w="1153" w:type="dxa"/>
            <w:tcBorders>
              <w:top w:val="single" w:color="auto" w:sz="4" w:space="0"/>
              <w:left w:val="single" w:color="auto" w:sz="4" w:space="0"/>
              <w:bottom w:val="single" w:color="auto" w:sz="4" w:space="0"/>
              <w:right w:val="single" w:color="auto" w:sz="4" w:space="0"/>
            </w:tcBorders>
            <w:vAlign w:val="center"/>
          </w:tcPr>
          <w:p w14:paraId="43C1B95C">
            <w:pPr>
              <w:adjustRightInd w:val="0"/>
              <w:snapToGrid w:val="0"/>
              <w:spacing w:line="288" w:lineRule="auto"/>
              <w:rPr>
                <w:rFonts w:hint="eastAsia" w:ascii="宋体" w:hAnsi="宋体" w:eastAsia="宋体" w:cs="宋体"/>
                <w:b/>
                <w:bCs/>
                <w:szCs w:val="21"/>
              </w:rPr>
            </w:pPr>
          </w:p>
        </w:tc>
        <w:tc>
          <w:tcPr>
            <w:tcW w:w="829" w:type="dxa"/>
            <w:tcBorders>
              <w:top w:val="single" w:color="auto" w:sz="4" w:space="0"/>
              <w:left w:val="single" w:color="auto" w:sz="4" w:space="0"/>
              <w:bottom w:val="single" w:color="auto" w:sz="4" w:space="0"/>
              <w:right w:val="single" w:color="auto" w:sz="4" w:space="0"/>
            </w:tcBorders>
            <w:vAlign w:val="center"/>
          </w:tcPr>
          <w:p w14:paraId="79F0E838">
            <w:pPr>
              <w:adjustRightInd w:val="0"/>
              <w:snapToGrid w:val="0"/>
              <w:spacing w:line="288" w:lineRule="auto"/>
              <w:rPr>
                <w:rFonts w:hint="eastAsia" w:ascii="宋体" w:hAnsi="宋体" w:eastAsia="宋体" w:cs="宋体"/>
                <w:b/>
                <w:bCs/>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2A099878">
            <w:pPr>
              <w:adjustRightInd w:val="0"/>
              <w:snapToGrid w:val="0"/>
              <w:spacing w:line="288" w:lineRule="auto"/>
              <w:rPr>
                <w:rFonts w:hint="eastAsia" w:ascii="宋体" w:hAnsi="宋体" w:eastAsia="宋体" w:cs="宋体"/>
                <w:b/>
                <w:bCs/>
                <w:szCs w:val="21"/>
              </w:rPr>
            </w:pPr>
          </w:p>
        </w:tc>
        <w:tc>
          <w:tcPr>
            <w:tcW w:w="1983" w:type="dxa"/>
            <w:tcBorders>
              <w:top w:val="single" w:color="auto" w:sz="4" w:space="0"/>
              <w:left w:val="single" w:color="auto" w:sz="4" w:space="0"/>
              <w:bottom w:val="single" w:color="auto" w:sz="4" w:space="0"/>
              <w:right w:val="single" w:color="auto" w:sz="4" w:space="0"/>
            </w:tcBorders>
          </w:tcPr>
          <w:p w14:paraId="4D2AEB44">
            <w:pPr>
              <w:adjustRightInd w:val="0"/>
              <w:snapToGrid w:val="0"/>
              <w:spacing w:line="288" w:lineRule="auto"/>
              <w:rPr>
                <w:rFonts w:hint="eastAsia" w:ascii="宋体" w:hAnsi="宋体" w:eastAsia="宋体" w:cs="宋体"/>
                <w:b/>
                <w:bCs/>
                <w:szCs w:val="21"/>
              </w:rPr>
            </w:pPr>
          </w:p>
        </w:tc>
      </w:tr>
    </w:tbl>
    <w:p w14:paraId="78F16DE1">
      <w:pPr>
        <w:adjustRightInd w:val="0"/>
        <w:snapToGrid w:val="0"/>
        <w:spacing w:line="288" w:lineRule="auto"/>
        <w:rPr>
          <w:rFonts w:hint="eastAsia" w:ascii="宋体" w:hAnsi="宋体" w:eastAsia="宋体" w:cs="Times New Roman"/>
          <w:szCs w:val="21"/>
        </w:rPr>
      </w:pPr>
    </w:p>
    <w:p w14:paraId="61115A4F">
      <w:pPr>
        <w:adjustRightInd w:val="0"/>
        <w:snapToGrid w:val="0"/>
        <w:spacing w:line="288" w:lineRule="auto"/>
        <w:rPr>
          <w:rFonts w:hint="eastAsia" w:ascii="宋体" w:hAnsi="宋体" w:eastAsia="宋体" w:cs="Times New Roman"/>
          <w:b/>
          <w:spacing w:val="-6"/>
          <w:szCs w:val="21"/>
        </w:rPr>
      </w:pPr>
      <w:r>
        <w:rPr>
          <w:rFonts w:hint="eastAsia" w:ascii="宋体" w:hAnsi="宋体" w:eastAsia="宋体" w:cs="Times New Roman"/>
          <w:b/>
          <w:spacing w:val="-6"/>
          <w:szCs w:val="21"/>
        </w:rPr>
        <w:t>说明：</w:t>
      </w:r>
    </w:p>
    <w:p w14:paraId="71C26622">
      <w:pPr>
        <w:adjustRightInd w:val="0"/>
        <w:snapToGrid w:val="0"/>
        <w:spacing w:line="288" w:lineRule="auto"/>
        <w:rPr>
          <w:rFonts w:hint="eastAsia" w:ascii="宋体" w:hAnsi="宋体" w:eastAsia="宋体" w:cs="Times New Roman"/>
          <w:b/>
          <w:spacing w:val="-6"/>
          <w:szCs w:val="21"/>
        </w:rPr>
      </w:pPr>
      <w:r>
        <w:rPr>
          <w:rFonts w:hint="eastAsia" w:ascii="宋体" w:hAnsi="宋体" w:eastAsia="宋体" w:cs="Times New Roman"/>
          <w:b/>
          <w:spacing w:val="-6"/>
          <w:szCs w:val="21"/>
        </w:rPr>
        <w:t>1</w:t>
      </w:r>
      <w:r>
        <w:rPr>
          <w:rFonts w:ascii="宋体" w:hAnsi="宋体" w:eastAsia="宋体" w:cs="Times New Roman"/>
          <w:b/>
          <w:spacing w:val="-6"/>
          <w:szCs w:val="21"/>
        </w:rPr>
        <w:t>.</w:t>
      </w:r>
      <w:r>
        <w:rPr>
          <w:rFonts w:hint="eastAsia" w:ascii="宋体" w:hAnsi="宋体" w:eastAsia="宋体" w:cs="Times New Roman"/>
          <w:b/>
          <w:spacing w:val="-6"/>
          <w:szCs w:val="21"/>
        </w:rPr>
        <w:t>投标人须提供上述业绩合同扫描件；</w:t>
      </w:r>
    </w:p>
    <w:p w14:paraId="49D51399">
      <w:pPr>
        <w:adjustRightInd w:val="0"/>
        <w:snapToGrid w:val="0"/>
        <w:spacing w:line="288" w:lineRule="auto"/>
        <w:rPr>
          <w:rFonts w:hint="eastAsia" w:ascii="宋体" w:hAnsi="宋体" w:eastAsia="宋体" w:cs="Times New Roman"/>
          <w:b/>
          <w:spacing w:val="-6"/>
          <w:szCs w:val="21"/>
        </w:rPr>
      </w:pPr>
      <w:r>
        <w:rPr>
          <w:rFonts w:hint="eastAsia" w:ascii="宋体" w:hAnsi="宋体" w:eastAsia="宋体" w:cs="Times New Roman"/>
          <w:b/>
          <w:spacing w:val="-6"/>
          <w:szCs w:val="21"/>
        </w:rPr>
        <w:t>2</w:t>
      </w:r>
      <w:r>
        <w:rPr>
          <w:rFonts w:ascii="宋体" w:hAnsi="宋体" w:eastAsia="宋体" w:cs="Times New Roman"/>
          <w:b/>
          <w:spacing w:val="-6"/>
          <w:szCs w:val="21"/>
        </w:rPr>
        <w:t>.</w:t>
      </w:r>
      <w:r>
        <w:rPr>
          <w:rFonts w:hint="eastAsia" w:ascii="宋体" w:hAnsi="宋体" w:eastAsia="宋体" w:cs="Times New Roman"/>
          <w:b/>
          <w:spacing w:val="-6"/>
          <w:szCs w:val="21"/>
        </w:rPr>
        <w:t>所有合同扫描件应清晰，应能体现合同签订时间、双方签名盖章等内容；</w:t>
      </w:r>
    </w:p>
    <w:p w14:paraId="0E5DA821">
      <w:pPr>
        <w:adjustRightInd w:val="0"/>
        <w:snapToGrid w:val="0"/>
        <w:spacing w:line="288" w:lineRule="auto"/>
        <w:rPr>
          <w:rFonts w:hint="eastAsia" w:ascii="宋体" w:hAnsi="宋体" w:eastAsia="宋体" w:cs="Times New Roman"/>
          <w:b/>
          <w:spacing w:val="-6"/>
          <w:szCs w:val="21"/>
        </w:rPr>
      </w:pPr>
      <w:r>
        <w:rPr>
          <w:rFonts w:hint="eastAsia" w:ascii="宋体" w:hAnsi="宋体" w:eastAsia="宋体" w:cs="Times New Roman"/>
          <w:b/>
          <w:spacing w:val="-6"/>
          <w:szCs w:val="21"/>
        </w:rPr>
        <w:t>3</w:t>
      </w:r>
      <w:r>
        <w:rPr>
          <w:rFonts w:ascii="宋体" w:hAnsi="宋体" w:eastAsia="宋体" w:cs="Times New Roman"/>
          <w:b/>
          <w:spacing w:val="-6"/>
          <w:szCs w:val="21"/>
        </w:rPr>
        <w:t>.</w:t>
      </w:r>
      <w:r>
        <w:rPr>
          <w:rFonts w:hint="eastAsia" w:ascii="宋体" w:hAnsi="宋体" w:eastAsia="宋体" w:cs="Times New Roman"/>
          <w:b/>
          <w:spacing w:val="-6"/>
          <w:szCs w:val="21"/>
        </w:rPr>
        <w:t>投标人应在不涉及商业秘密的前提下尽可能提供详细的合同扫描件内容。</w:t>
      </w:r>
    </w:p>
    <w:p w14:paraId="3A07C1C5">
      <w:pPr>
        <w:adjustRightInd w:val="0"/>
        <w:snapToGrid w:val="0"/>
        <w:spacing w:line="288" w:lineRule="auto"/>
        <w:rPr>
          <w:rFonts w:hint="eastAsia" w:ascii="宋体" w:hAnsi="宋体" w:eastAsia="宋体" w:cs="Times New Roman"/>
          <w:spacing w:val="-6"/>
          <w:szCs w:val="21"/>
        </w:rPr>
      </w:pPr>
    </w:p>
    <w:p w14:paraId="56A17CDB">
      <w:pPr>
        <w:adjustRightInd w:val="0"/>
        <w:snapToGrid w:val="0"/>
        <w:spacing w:line="288" w:lineRule="auto"/>
        <w:rPr>
          <w:rFonts w:hint="eastAsia" w:ascii="宋体" w:hAnsi="宋体" w:eastAsia="宋体" w:cs="Times New Roman"/>
          <w:spacing w:val="-6"/>
          <w:szCs w:val="21"/>
        </w:rPr>
      </w:pPr>
    </w:p>
    <w:p w14:paraId="0C3FB2AE">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14:paraId="02B67DE1">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日期：     年   月   日</w:t>
      </w:r>
    </w:p>
    <w:p w14:paraId="2E07CAD9">
      <w:pPr>
        <w:adjustRightInd w:val="0"/>
        <w:snapToGrid w:val="0"/>
        <w:spacing w:line="288" w:lineRule="auto"/>
        <w:jc w:val="center"/>
        <w:rPr>
          <w:rFonts w:hint="eastAsia" w:ascii="宋体" w:hAnsi="宋体" w:eastAsia="宋体" w:cs="Times New Roman"/>
          <w:b/>
          <w:szCs w:val="21"/>
        </w:rPr>
      </w:pPr>
      <w:r>
        <w:rPr>
          <w:rFonts w:hint="eastAsia" w:ascii="宋体" w:hAnsi="宋体" w:eastAsia="宋体" w:cs="Times New Roman"/>
          <w:spacing w:val="-6"/>
          <w:szCs w:val="21"/>
        </w:rPr>
        <w:br w:type="page"/>
      </w:r>
    </w:p>
    <w:p w14:paraId="7BFDC3D1">
      <w:pPr>
        <w:adjustRightInd w:val="0"/>
        <w:snapToGrid w:val="0"/>
        <w:spacing w:line="288" w:lineRule="auto"/>
        <w:jc w:val="center"/>
        <w:outlineLvl w:val="2"/>
        <w:rPr>
          <w:rFonts w:hint="eastAsia"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4</w:t>
      </w:r>
      <w:r>
        <w:rPr>
          <w:rFonts w:hint="eastAsia" w:ascii="宋体" w:hAnsi="宋体" w:eastAsia="宋体" w:cs="宋体"/>
          <w:b/>
          <w:spacing w:val="-6"/>
          <w:szCs w:val="21"/>
        </w:rPr>
        <w:t>）采购需求偏离表</w:t>
      </w:r>
    </w:p>
    <w:p w14:paraId="514E29BA">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采 购 人：浙江工商大学</w:t>
      </w:r>
    </w:p>
    <w:p w14:paraId="3EA3A7B3">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项目名称：浙江工商大学未来营养健康与共同富裕计算设备更新-共同富裕计算设备（第一批）</w:t>
      </w:r>
    </w:p>
    <w:p w14:paraId="276563C8">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项目编号：QSZB-Z(H)-C24374(GK)LL</w:t>
      </w:r>
    </w:p>
    <w:tbl>
      <w:tblPr>
        <w:tblStyle w:val="2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4254"/>
        <w:gridCol w:w="2574"/>
        <w:gridCol w:w="2124"/>
      </w:tblGrid>
      <w:tr w14:paraId="511FC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77B1BCC1">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序号</w:t>
            </w:r>
          </w:p>
        </w:tc>
        <w:tc>
          <w:tcPr>
            <w:tcW w:w="4254" w:type="dxa"/>
            <w:tcBorders>
              <w:top w:val="single" w:color="auto" w:sz="4" w:space="0"/>
              <w:left w:val="single" w:color="auto" w:sz="4" w:space="0"/>
              <w:bottom w:val="single" w:color="auto" w:sz="4" w:space="0"/>
              <w:right w:val="single" w:color="auto" w:sz="4" w:space="0"/>
            </w:tcBorders>
            <w:vAlign w:val="center"/>
          </w:tcPr>
          <w:p w14:paraId="78A334CA">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招标文件要求</w:t>
            </w:r>
          </w:p>
        </w:tc>
        <w:tc>
          <w:tcPr>
            <w:tcW w:w="2574" w:type="dxa"/>
            <w:tcBorders>
              <w:top w:val="single" w:color="auto" w:sz="4" w:space="0"/>
              <w:left w:val="single" w:color="auto" w:sz="4" w:space="0"/>
              <w:bottom w:val="single" w:color="auto" w:sz="4" w:space="0"/>
              <w:right w:val="single" w:color="auto" w:sz="4" w:space="0"/>
            </w:tcBorders>
            <w:vAlign w:val="center"/>
          </w:tcPr>
          <w:p w14:paraId="282D332D">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响应规格</w:t>
            </w:r>
          </w:p>
        </w:tc>
        <w:tc>
          <w:tcPr>
            <w:tcW w:w="2124" w:type="dxa"/>
            <w:tcBorders>
              <w:top w:val="single" w:color="auto" w:sz="4" w:space="0"/>
              <w:left w:val="single" w:color="auto" w:sz="4" w:space="0"/>
              <w:bottom w:val="single" w:color="auto" w:sz="4" w:space="0"/>
              <w:right w:val="single" w:color="auto" w:sz="4" w:space="0"/>
            </w:tcBorders>
            <w:vAlign w:val="center"/>
          </w:tcPr>
          <w:p w14:paraId="691120AF">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是否偏离（提供说明）</w:t>
            </w:r>
          </w:p>
        </w:tc>
      </w:tr>
      <w:tr w14:paraId="7A66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14:paraId="4A9CBF60">
            <w:pPr>
              <w:adjustRightInd w:val="0"/>
              <w:snapToGrid w:val="0"/>
              <w:spacing w:line="288" w:lineRule="auto"/>
              <w:rPr>
                <w:rFonts w:hint="eastAsia" w:ascii="宋体" w:hAnsi="宋体" w:eastAsia="宋体" w:cs="宋体"/>
                <w:szCs w:val="21"/>
              </w:rPr>
            </w:pPr>
            <w:r>
              <w:rPr>
                <w:rFonts w:hint="eastAsia" w:ascii="宋体" w:hAnsi="宋体" w:eastAsia="宋体" w:cs="宋体"/>
                <w:b/>
                <w:bCs/>
                <w:szCs w:val="21"/>
              </w:rPr>
              <w:t>采购资金的支付方式、时间、条件</w:t>
            </w:r>
          </w:p>
        </w:tc>
      </w:tr>
      <w:tr w14:paraId="065E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4D6BE844">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1</w:t>
            </w:r>
          </w:p>
        </w:tc>
        <w:tc>
          <w:tcPr>
            <w:tcW w:w="4254" w:type="dxa"/>
            <w:vAlign w:val="center"/>
          </w:tcPr>
          <w:p w14:paraId="3FBA4EA5">
            <w:pPr>
              <w:adjustRightInd w:val="0"/>
              <w:snapToGrid w:val="0"/>
              <w:spacing w:line="288" w:lineRule="auto"/>
              <w:rPr>
                <w:rFonts w:hint="eastAsia" w:ascii="宋体" w:hAnsi="宋体" w:eastAsia="宋体" w:cs="宋体"/>
                <w:szCs w:val="21"/>
              </w:rPr>
            </w:pPr>
          </w:p>
        </w:tc>
        <w:tc>
          <w:tcPr>
            <w:tcW w:w="2574" w:type="dxa"/>
            <w:vAlign w:val="center"/>
          </w:tcPr>
          <w:p w14:paraId="6967F6E4">
            <w:pPr>
              <w:adjustRightInd w:val="0"/>
              <w:snapToGrid w:val="0"/>
              <w:spacing w:line="288" w:lineRule="auto"/>
              <w:rPr>
                <w:rFonts w:hint="eastAsia" w:ascii="宋体" w:hAnsi="宋体" w:eastAsia="宋体" w:cs="宋体"/>
                <w:szCs w:val="21"/>
              </w:rPr>
            </w:pPr>
          </w:p>
        </w:tc>
        <w:tc>
          <w:tcPr>
            <w:tcW w:w="2124" w:type="dxa"/>
            <w:vAlign w:val="center"/>
          </w:tcPr>
          <w:p w14:paraId="547778B2">
            <w:pPr>
              <w:adjustRightInd w:val="0"/>
              <w:snapToGrid w:val="0"/>
              <w:spacing w:line="288" w:lineRule="auto"/>
              <w:rPr>
                <w:rFonts w:hint="eastAsia" w:ascii="宋体" w:hAnsi="宋体" w:eastAsia="宋体" w:cs="宋体"/>
                <w:szCs w:val="21"/>
              </w:rPr>
            </w:pPr>
          </w:p>
        </w:tc>
      </w:tr>
      <w:tr w14:paraId="4C524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64DBDFFD">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2</w:t>
            </w:r>
          </w:p>
        </w:tc>
        <w:tc>
          <w:tcPr>
            <w:tcW w:w="4254" w:type="dxa"/>
            <w:vAlign w:val="center"/>
          </w:tcPr>
          <w:p w14:paraId="622CDC8D">
            <w:pPr>
              <w:adjustRightInd w:val="0"/>
              <w:snapToGrid w:val="0"/>
              <w:spacing w:line="288" w:lineRule="auto"/>
              <w:rPr>
                <w:rFonts w:hint="eastAsia" w:ascii="宋体" w:hAnsi="宋体" w:eastAsia="宋体" w:cs="宋体"/>
                <w:szCs w:val="21"/>
              </w:rPr>
            </w:pPr>
          </w:p>
        </w:tc>
        <w:tc>
          <w:tcPr>
            <w:tcW w:w="2574" w:type="dxa"/>
            <w:vAlign w:val="center"/>
          </w:tcPr>
          <w:p w14:paraId="6E15FFC9">
            <w:pPr>
              <w:adjustRightInd w:val="0"/>
              <w:snapToGrid w:val="0"/>
              <w:spacing w:line="288" w:lineRule="auto"/>
              <w:rPr>
                <w:rFonts w:hint="eastAsia" w:ascii="宋体" w:hAnsi="宋体" w:eastAsia="宋体" w:cs="宋体"/>
                <w:szCs w:val="21"/>
              </w:rPr>
            </w:pPr>
          </w:p>
        </w:tc>
        <w:tc>
          <w:tcPr>
            <w:tcW w:w="2124" w:type="dxa"/>
            <w:vAlign w:val="center"/>
          </w:tcPr>
          <w:p w14:paraId="5D02B7CE">
            <w:pPr>
              <w:adjustRightInd w:val="0"/>
              <w:snapToGrid w:val="0"/>
              <w:spacing w:line="288" w:lineRule="auto"/>
              <w:rPr>
                <w:rFonts w:hint="eastAsia" w:ascii="宋体" w:hAnsi="宋体" w:eastAsia="宋体" w:cs="宋体"/>
                <w:szCs w:val="21"/>
              </w:rPr>
            </w:pPr>
          </w:p>
        </w:tc>
      </w:tr>
      <w:tr w14:paraId="7E3EF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0BAEA1D4">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w:t>
            </w:r>
          </w:p>
        </w:tc>
        <w:tc>
          <w:tcPr>
            <w:tcW w:w="4254" w:type="dxa"/>
            <w:vAlign w:val="center"/>
          </w:tcPr>
          <w:p w14:paraId="45830287">
            <w:pPr>
              <w:adjustRightInd w:val="0"/>
              <w:snapToGrid w:val="0"/>
              <w:spacing w:line="288" w:lineRule="auto"/>
              <w:rPr>
                <w:rFonts w:hint="eastAsia" w:ascii="宋体" w:hAnsi="宋体" w:eastAsia="宋体" w:cs="宋体"/>
                <w:szCs w:val="21"/>
              </w:rPr>
            </w:pPr>
          </w:p>
        </w:tc>
        <w:tc>
          <w:tcPr>
            <w:tcW w:w="2574" w:type="dxa"/>
            <w:vAlign w:val="center"/>
          </w:tcPr>
          <w:p w14:paraId="4E04DDF1">
            <w:pPr>
              <w:adjustRightInd w:val="0"/>
              <w:snapToGrid w:val="0"/>
              <w:spacing w:line="288" w:lineRule="auto"/>
              <w:rPr>
                <w:rFonts w:hint="eastAsia" w:ascii="宋体" w:hAnsi="宋体" w:eastAsia="宋体" w:cs="宋体"/>
                <w:szCs w:val="21"/>
              </w:rPr>
            </w:pPr>
          </w:p>
        </w:tc>
        <w:tc>
          <w:tcPr>
            <w:tcW w:w="2124" w:type="dxa"/>
            <w:vAlign w:val="center"/>
          </w:tcPr>
          <w:p w14:paraId="2BC34BC8">
            <w:pPr>
              <w:adjustRightInd w:val="0"/>
              <w:snapToGrid w:val="0"/>
              <w:spacing w:line="288" w:lineRule="auto"/>
              <w:rPr>
                <w:rFonts w:hint="eastAsia" w:ascii="宋体" w:hAnsi="宋体" w:eastAsia="宋体" w:cs="宋体"/>
                <w:szCs w:val="21"/>
              </w:rPr>
            </w:pPr>
          </w:p>
        </w:tc>
      </w:tr>
      <w:tr w14:paraId="73073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14:paraId="5116CEC5">
            <w:pPr>
              <w:adjustRightInd w:val="0"/>
              <w:snapToGrid w:val="0"/>
              <w:spacing w:line="288" w:lineRule="auto"/>
              <w:rPr>
                <w:rFonts w:hint="eastAsia" w:ascii="宋体" w:hAnsi="宋体" w:eastAsia="宋体" w:cs="宋体"/>
                <w:szCs w:val="21"/>
              </w:rPr>
            </w:pPr>
            <w:r>
              <w:rPr>
                <w:rFonts w:hint="eastAsia" w:ascii="宋体" w:hAnsi="宋体" w:eastAsia="宋体" w:cs="宋体"/>
                <w:b/>
                <w:bCs/>
                <w:szCs w:val="21"/>
              </w:rPr>
              <w:t>服务要求</w:t>
            </w:r>
          </w:p>
        </w:tc>
      </w:tr>
      <w:tr w14:paraId="5EC3C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77A6DC4B">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1</w:t>
            </w:r>
          </w:p>
        </w:tc>
        <w:tc>
          <w:tcPr>
            <w:tcW w:w="4254" w:type="dxa"/>
            <w:vAlign w:val="center"/>
          </w:tcPr>
          <w:p w14:paraId="575E2540">
            <w:pPr>
              <w:adjustRightInd w:val="0"/>
              <w:snapToGrid w:val="0"/>
              <w:spacing w:line="288" w:lineRule="auto"/>
              <w:jc w:val="left"/>
              <w:rPr>
                <w:rFonts w:hint="eastAsia" w:ascii="宋体" w:hAnsi="宋体" w:eastAsia="宋体" w:cs="宋体"/>
                <w:szCs w:val="21"/>
              </w:rPr>
            </w:pPr>
          </w:p>
        </w:tc>
        <w:tc>
          <w:tcPr>
            <w:tcW w:w="2574" w:type="dxa"/>
            <w:vAlign w:val="center"/>
          </w:tcPr>
          <w:p w14:paraId="51C7F9C4">
            <w:pPr>
              <w:adjustRightInd w:val="0"/>
              <w:snapToGrid w:val="0"/>
              <w:spacing w:line="288" w:lineRule="auto"/>
              <w:jc w:val="left"/>
              <w:rPr>
                <w:rFonts w:hint="eastAsia" w:ascii="宋体" w:hAnsi="宋体" w:eastAsia="宋体" w:cs="宋体"/>
                <w:szCs w:val="21"/>
              </w:rPr>
            </w:pPr>
          </w:p>
        </w:tc>
        <w:tc>
          <w:tcPr>
            <w:tcW w:w="2124" w:type="dxa"/>
            <w:vAlign w:val="center"/>
          </w:tcPr>
          <w:p w14:paraId="7FC5B528">
            <w:pPr>
              <w:adjustRightInd w:val="0"/>
              <w:snapToGrid w:val="0"/>
              <w:spacing w:line="288" w:lineRule="auto"/>
              <w:jc w:val="left"/>
              <w:rPr>
                <w:rFonts w:hint="eastAsia" w:ascii="宋体" w:hAnsi="宋体" w:eastAsia="宋体" w:cs="宋体"/>
                <w:szCs w:val="21"/>
              </w:rPr>
            </w:pPr>
          </w:p>
        </w:tc>
      </w:tr>
      <w:tr w14:paraId="2697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16DE9E34">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2</w:t>
            </w:r>
          </w:p>
        </w:tc>
        <w:tc>
          <w:tcPr>
            <w:tcW w:w="4254" w:type="dxa"/>
            <w:vAlign w:val="center"/>
          </w:tcPr>
          <w:p w14:paraId="7567DCF2">
            <w:pPr>
              <w:adjustRightInd w:val="0"/>
              <w:snapToGrid w:val="0"/>
              <w:spacing w:line="288" w:lineRule="auto"/>
              <w:jc w:val="left"/>
              <w:rPr>
                <w:rFonts w:hint="eastAsia" w:ascii="宋体" w:hAnsi="宋体" w:eastAsia="宋体" w:cs="宋体"/>
                <w:szCs w:val="21"/>
              </w:rPr>
            </w:pPr>
          </w:p>
        </w:tc>
        <w:tc>
          <w:tcPr>
            <w:tcW w:w="2574" w:type="dxa"/>
            <w:vAlign w:val="center"/>
          </w:tcPr>
          <w:p w14:paraId="2C9428A0">
            <w:pPr>
              <w:adjustRightInd w:val="0"/>
              <w:snapToGrid w:val="0"/>
              <w:spacing w:line="288" w:lineRule="auto"/>
              <w:jc w:val="left"/>
              <w:rPr>
                <w:rFonts w:hint="eastAsia" w:ascii="宋体" w:hAnsi="宋体" w:eastAsia="宋体" w:cs="宋体"/>
                <w:szCs w:val="21"/>
              </w:rPr>
            </w:pPr>
          </w:p>
        </w:tc>
        <w:tc>
          <w:tcPr>
            <w:tcW w:w="2124" w:type="dxa"/>
            <w:vAlign w:val="center"/>
          </w:tcPr>
          <w:p w14:paraId="4AE74D94">
            <w:pPr>
              <w:adjustRightInd w:val="0"/>
              <w:snapToGrid w:val="0"/>
              <w:spacing w:line="288" w:lineRule="auto"/>
              <w:jc w:val="left"/>
              <w:rPr>
                <w:rFonts w:hint="eastAsia" w:ascii="宋体" w:hAnsi="宋体" w:eastAsia="宋体" w:cs="宋体"/>
                <w:szCs w:val="21"/>
              </w:rPr>
            </w:pPr>
          </w:p>
        </w:tc>
      </w:tr>
      <w:tr w14:paraId="42E97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2FDAB1CD">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w:t>
            </w:r>
          </w:p>
        </w:tc>
        <w:tc>
          <w:tcPr>
            <w:tcW w:w="4254" w:type="dxa"/>
            <w:vAlign w:val="center"/>
          </w:tcPr>
          <w:p w14:paraId="73E3D87E">
            <w:pPr>
              <w:adjustRightInd w:val="0"/>
              <w:snapToGrid w:val="0"/>
              <w:spacing w:line="288" w:lineRule="auto"/>
              <w:jc w:val="left"/>
              <w:rPr>
                <w:rFonts w:hint="eastAsia" w:ascii="宋体" w:hAnsi="宋体" w:eastAsia="宋体" w:cs="宋体"/>
                <w:szCs w:val="21"/>
              </w:rPr>
            </w:pPr>
          </w:p>
        </w:tc>
        <w:tc>
          <w:tcPr>
            <w:tcW w:w="2574" w:type="dxa"/>
            <w:vAlign w:val="center"/>
          </w:tcPr>
          <w:p w14:paraId="06F53D82">
            <w:pPr>
              <w:adjustRightInd w:val="0"/>
              <w:snapToGrid w:val="0"/>
              <w:spacing w:line="288" w:lineRule="auto"/>
              <w:jc w:val="left"/>
              <w:rPr>
                <w:rFonts w:hint="eastAsia" w:ascii="宋体" w:hAnsi="宋体" w:eastAsia="宋体" w:cs="宋体"/>
                <w:szCs w:val="21"/>
              </w:rPr>
            </w:pPr>
          </w:p>
        </w:tc>
        <w:tc>
          <w:tcPr>
            <w:tcW w:w="2124" w:type="dxa"/>
            <w:vAlign w:val="center"/>
          </w:tcPr>
          <w:p w14:paraId="09454EB7">
            <w:pPr>
              <w:adjustRightInd w:val="0"/>
              <w:snapToGrid w:val="0"/>
              <w:spacing w:line="288" w:lineRule="auto"/>
              <w:jc w:val="left"/>
              <w:rPr>
                <w:rFonts w:hint="eastAsia" w:ascii="宋体" w:hAnsi="宋体" w:eastAsia="宋体" w:cs="宋体"/>
                <w:szCs w:val="21"/>
              </w:rPr>
            </w:pPr>
          </w:p>
        </w:tc>
      </w:tr>
      <w:tr w14:paraId="5EA2F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14:paraId="1150AA53">
            <w:pPr>
              <w:adjustRightInd w:val="0"/>
              <w:snapToGrid w:val="0"/>
              <w:spacing w:line="288" w:lineRule="auto"/>
              <w:rPr>
                <w:rFonts w:hint="eastAsia" w:ascii="宋体" w:hAnsi="宋体" w:eastAsia="宋体" w:cs="宋体"/>
                <w:b/>
                <w:bCs/>
                <w:szCs w:val="21"/>
              </w:rPr>
            </w:pPr>
            <w:r>
              <w:rPr>
                <w:rFonts w:hint="eastAsia" w:ascii="宋体" w:hAnsi="宋体" w:eastAsia="宋体" w:cs="宋体"/>
                <w:b/>
                <w:bCs/>
                <w:szCs w:val="21"/>
              </w:rPr>
              <w:t>技术要求</w:t>
            </w:r>
          </w:p>
        </w:tc>
      </w:tr>
      <w:tr w14:paraId="22AF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2D55605F">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1</w:t>
            </w:r>
          </w:p>
        </w:tc>
        <w:tc>
          <w:tcPr>
            <w:tcW w:w="4254" w:type="dxa"/>
            <w:vAlign w:val="center"/>
          </w:tcPr>
          <w:p w14:paraId="3F5EF9DF">
            <w:pPr>
              <w:adjustRightInd w:val="0"/>
              <w:snapToGrid w:val="0"/>
              <w:spacing w:line="288" w:lineRule="auto"/>
              <w:rPr>
                <w:rFonts w:hint="eastAsia" w:ascii="宋体" w:hAnsi="宋体" w:eastAsia="宋体" w:cs="宋体"/>
                <w:szCs w:val="21"/>
              </w:rPr>
            </w:pPr>
          </w:p>
        </w:tc>
        <w:tc>
          <w:tcPr>
            <w:tcW w:w="2574" w:type="dxa"/>
            <w:vAlign w:val="center"/>
          </w:tcPr>
          <w:p w14:paraId="39A4C64A">
            <w:pPr>
              <w:adjustRightInd w:val="0"/>
              <w:snapToGrid w:val="0"/>
              <w:spacing w:line="288" w:lineRule="auto"/>
              <w:rPr>
                <w:rFonts w:hint="eastAsia" w:ascii="宋体" w:hAnsi="宋体" w:eastAsia="宋体" w:cs="宋体"/>
                <w:szCs w:val="21"/>
              </w:rPr>
            </w:pPr>
          </w:p>
        </w:tc>
        <w:tc>
          <w:tcPr>
            <w:tcW w:w="2124" w:type="dxa"/>
            <w:vAlign w:val="center"/>
          </w:tcPr>
          <w:p w14:paraId="0157DC67">
            <w:pPr>
              <w:adjustRightInd w:val="0"/>
              <w:snapToGrid w:val="0"/>
              <w:spacing w:line="288" w:lineRule="auto"/>
              <w:rPr>
                <w:rFonts w:hint="eastAsia" w:ascii="宋体" w:hAnsi="宋体" w:eastAsia="宋体" w:cs="宋体"/>
                <w:szCs w:val="21"/>
              </w:rPr>
            </w:pPr>
          </w:p>
        </w:tc>
      </w:tr>
      <w:tr w14:paraId="2738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31C12E85">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2</w:t>
            </w:r>
          </w:p>
        </w:tc>
        <w:tc>
          <w:tcPr>
            <w:tcW w:w="4254" w:type="dxa"/>
            <w:vAlign w:val="center"/>
          </w:tcPr>
          <w:p w14:paraId="5B22726E">
            <w:pPr>
              <w:adjustRightInd w:val="0"/>
              <w:snapToGrid w:val="0"/>
              <w:spacing w:line="288" w:lineRule="auto"/>
              <w:rPr>
                <w:rFonts w:hint="eastAsia" w:ascii="宋体" w:hAnsi="宋体" w:eastAsia="宋体" w:cs="宋体"/>
                <w:szCs w:val="21"/>
              </w:rPr>
            </w:pPr>
          </w:p>
        </w:tc>
        <w:tc>
          <w:tcPr>
            <w:tcW w:w="2574" w:type="dxa"/>
            <w:vAlign w:val="center"/>
          </w:tcPr>
          <w:p w14:paraId="538CBA71">
            <w:pPr>
              <w:adjustRightInd w:val="0"/>
              <w:snapToGrid w:val="0"/>
              <w:spacing w:line="288" w:lineRule="auto"/>
              <w:rPr>
                <w:rFonts w:hint="eastAsia" w:ascii="宋体" w:hAnsi="宋体" w:eastAsia="宋体" w:cs="宋体"/>
                <w:szCs w:val="21"/>
              </w:rPr>
            </w:pPr>
          </w:p>
        </w:tc>
        <w:tc>
          <w:tcPr>
            <w:tcW w:w="2124" w:type="dxa"/>
            <w:vAlign w:val="center"/>
          </w:tcPr>
          <w:p w14:paraId="58D9665A">
            <w:pPr>
              <w:adjustRightInd w:val="0"/>
              <w:snapToGrid w:val="0"/>
              <w:spacing w:line="288" w:lineRule="auto"/>
              <w:rPr>
                <w:rFonts w:hint="eastAsia" w:ascii="宋体" w:hAnsi="宋体" w:eastAsia="宋体" w:cs="宋体"/>
                <w:szCs w:val="21"/>
              </w:rPr>
            </w:pPr>
          </w:p>
        </w:tc>
      </w:tr>
      <w:tr w14:paraId="6AC10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3CC88729">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w:t>
            </w:r>
          </w:p>
        </w:tc>
        <w:tc>
          <w:tcPr>
            <w:tcW w:w="4254" w:type="dxa"/>
            <w:vAlign w:val="center"/>
          </w:tcPr>
          <w:p w14:paraId="73F61113">
            <w:pPr>
              <w:adjustRightInd w:val="0"/>
              <w:snapToGrid w:val="0"/>
              <w:spacing w:line="288" w:lineRule="auto"/>
              <w:rPr>
                <w:rFonts w:hint="eastAsia" w:ascii="宋体" w:hAnsi="宋体" w:eastAsia="宋体" w:cs="宋体"/>
                <w:szCs w:val="21"/>
              </w:rPr>
            </w:pPr>
          </w:p>
        </w:tc>
        <w:tc>
          <w:tcPr>
            <w:tcW w:w="2574" w:type="dxa"/>
            <w:vAlign w:val="center"/>
          </w:tcPr>
          <w:p w14:paraId="41F9F64C">
            <w:pPr>
              <w:adjustRightInd w:val="0"/>
              <w:snapToGrid w:val="0"/>
              <w:spacing w:line="288" w:lineRule="auto"/>
              <w:rPr>
                <w:rFonts w:hint="eastAsia" w:ascii="宋体" w:hAnsi="宋体" w:eastAsia="宋体" w:cs="宋体"/>
                <w:szCs w:val="21"/>
              </w:rPr>
            </w:pPr>
          </w:p>
        </w:tc>
        <w:tc>
          <w:tcPr>
            <w:tcW w:w="2124" w:type="dxa"/>
            <w:vAlign w:val="center"/>
          </w:tcPr>
          <w:p w14:paraId="2D6A86C5">
            <w:pPr>
              <w:adjustRightInd w:val="0"/>
              <w:snapToGrid w:val="0"/>
              <w:spacing w:line="288" w:lineRule="auto"/>
              <w:rPr>
                <w:rFonts w:hint="eastAsia" w:ascii="宋体" w:hAnsi="宋体" w:eastAsia="宋体" w:cs="宋体"/>
                <w:szCs w:val="21"/>
              </w:rPr>
            </w:pPr>
          </w:p>
        </w:tc>
      </w:tr>
    </w:tbl>
    <w:p w14:paraId="092F5759">
      <w:pPr>
        <w:adjustRightInd w:val="0"/>
        <w:snapToGrid w:val="0"/>
        <w:spacing w:line="288" w:lineRule="auto"/>
        <w:rPr>
          <w:rFonts w:hint="eastAsia" w:ascii="宋体" w:hAnsi="宋体" w:eastAsia="宋体" w:cs="Times New Roman"/>
          <w:b/>
          <w:bCs/>
          <w:spacing w:val="-6"/>
          <w:szCs w:val="21"/>
        </w:rPr>
      </w:pPr>
    </w:p>
    <w:p w14:paraId="7836A4E1">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说明：</w:t>
      </w:r>
    </w:p>
    <w:p w14:paraId="63604ABD">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1</w:t>
      </w:r>
      <w:r>
        <w:rPr>
          <w:rFonts w:ascii="宋体" w:hAnsi="宋体" w:eastAsia="宋体" w:cs="Times New Roman"/>
          <w:b/>
          <w:bCs/>
          <w:spacing w:val="-6"/>
          <w:szCs w:val="21"/>
        </w:rPr>
        <w:t>.</w:t>
      </w:r>
      <w:r>
        <w:rPr>
          <w:rFonts w:hint="eastAsia" w:ascii="宋体" w:hAnsi="宋体" w:eastAsia="宋体" w:cs="Times New Roman"/>
          <w:b/>
          <w:bCs/>
          <w:spacing w:val="-6"/>
          <w:szCs w:val="21"/>
        </w:rPr>
        <w:t>逐项按照招标文件要求填写响应规格；</w:t>
      </w:r>
    </w:p>
    <w:p w14:paraId="0020305F">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2</w:t>
      </w:r>
      <w:r>
        <w:rPr>
          <w:rFonts w:ascii="宋体" w:hAnsi="宋体" w:eastAsia="宋体" w:cs="Times New Roman"/>
          <w:b/>
          <w:bCs/>
          <w:spacing w:val="-6"/>
          <w:szCs w:val="21"/>
        </w:rPr>
        <w:t>.</w:t>
      </w:r>
      <w:r>
        <w:rPr>
          <w:rFonts w:hint="eastAsia" w:ascii="宋体" w:hAnsi="宋体" w:eastAsia="宋体" w:cs="Times New Roman"/>
          <w:b/>
          <w:bCs/>
          <w:spacing w:val="-6"/>
          <w:szCs w:val="21"/>
        </w:rPr>
        <w:t>偏离说明是指对招标文件要求存在不同之处的解释说明。偏离系指：正偏离（高于采购需求）、负偏离（低于采购需求）、无偏离（满足采购需求）；</w:t>
      </w:r>
    </w:p>
    <w:p w14:paraId="6DEC5BB7">
      <w:pPr>
        <w:adjustRightInd w:val="0"/>
        <w:snapToGrid w:val="0"/>
        <w:spacing w:line="288" w:lineRule="auto"/>
        <w:rPr>
          <w:rFonts w:hint="eastAsia" w:ascii="宋体" w:hAnsi="宋体" w:eastAsia="宋体" w:cs="Times New Roman"/>
          <w:b/>
          <w:spacing w:val="-6"/>
          <w:szCs w:val="21"/>
        </w:rPr>
      </w:pPr>
      <w:r>
        <w:rPr>
          <w:rFonts w:hint="eastAsia" w:ascii="宋体" w:hAnsi="宋体" w:eastAsia="宋体" w:cs="Times New Roman"/>
          <w:b/>
          <w:bCs/>
          <w:spacing w:val="-6"/>
          <w:szCs w:val="21"/>
        </w:rPr>
        <w:t>3</w:t>
      </w:r>
      <w:r>
        <w:rPr>
          <w:rFonts w:ascii="宋体" w:hAnsi="宋体" w:eastAsia="宋体" w:cs="Times New Roman"/>
          <w:b/>
          <w:bCs/>
          <w:spacing w:val="-6"/>
          <w:szCs w:val="21"/>
        </w:rPr>
        <w:t>.</w:t>
      </w:r>
      <w:r>
        <w:rPr>
          <w:rFonts w:hint="eastAsia" w:ascii="宋体" w:hAnsi="宋体" w:eastAsia="宋体" w:cs="Times New Roman"/>
          <w:b/>
          <w:bCs/>
          <w:spacing w:val="-6"/>
          <w:szCs w:val="21"/>
        </w:rPr>
        <w:t>如不填写或未如实填写</w:t>
      </w:r>
      <w:r>
        <w:rPr>
          <w:rFonts w:hint="eastAsia" w:ascii="宋体" w:hAnsi="宋体" w:eastAsia="宋体" w:cs="Times New Roman"/>
          <w:b/>
          <w:spacing w:val="-6"/>
          <w:szCs w:val="21"/>
        </w:rPr>
        <w:t>，自行承担投标风险。</w:t>
      </w:r>
    </w:p>
    <w:p w14:paraId="1F8765F5">
      <w:pPr>
        <w:adjustRightInd w:val="0"/>
        <w:snapToGrid w:val="0"/>
        <w:spacing w:line="288" w:lineRule="auto"/>
        <w:rPr>
          <w:rFonts w:hint="eastAsia" w:ascii="宋体" w:hAnsi="宋体" w:eastAsia="宋体" w:cs="Times New Roman"/>
          <w:spacing w:val="-6"/>
          <w:szCs w:val="21"/>
        </w:rPr>
      </w:pPr>
    </w:p>
    <w:p w14:paraId="285F2E37">
      <w:pPr>
        <w:adjustRightInd w:val="0"/>
        <w:snapToGrid w:val="0"/>
        <w:spacing w:line="288" w:lineRule="auto"/>
        <w:rPr>
          <w:rFonts w:hint="eastAsia" w:ascii="宋体" w:hAnsi="宋体" w:eastAsia="宋体" w:cs="Times New Roman"/>
          <w:spacing w:val="-6"/>
          <w:szCs w:val="21"/>
        </w:rPr>
      </w:pPr>
    </w:p>
    <w:p w14:paraId="667CAF06">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14:paraId="5853581D">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日期：     年   月   日</w:t>
      </w:r>
    </w:p>
    <w:p w14:paraId="10682FB3">
      <w:pPr>
        <w:adjustRightInd w:val="0"/>
        <w:snapToGrid w:val="0"/>
        <w:spacing w:line="288" w:lineRule="auto"/>
        <w:jc w:val="center"/>
        <w:outlineLvl w:val="2"/>
        <w:rPr>
          <w:rFonts w:hint="eastAsia" w:ascii="宋体" w:hAnsi="宋体" w:eastAsia="宋体" w:cs="宋体"/>
          <w:b/>
          <w:spacing w:val="-6"/>
          <w:szCs w:val="21"/>
        </w:rPr>
      </w:pPr>
      <w:r>
        <w:rPr>
          <w:rFonts w:hint="eastAsia" w:ascii="宋体" w:hAnsi="宋体" w:eastAsia="宋体" w:cs="Times New Roman"/>
          <w:spacing w:val="-6"/>
          <w:szCs w:val="21"/>
        </w:rPr>
        <w:br w:type="page"/>
      </w:r>
      <w:r>
        <w:rPr>
          <w:rFonts w:hint="eastAsia" w:ascii="宋体" w:hAnsi="宋体" w:eastAsia="宋体" w:cs="宋体"/>
          <w:b/>
          <w:spacing w:val="-6"/>
          <w:szCs w:val="21"/>
        </w:rPr>
        <w:t>（</w:t>
      </w:r>
      <w:r>
        <w:rPr>
          <w:rFonts w:ascii="宋体" w:hAnsi="宋体" w:eastAsia="宋体" w:cs="宋体"/>
          <w:b/>
          <w:spacing w:val="-6"/>
          <w:szCs w:val="21"/>
        </w:rPr>
        <w:t>5</w:t>
      </w:r>
      <w:r>
        <w:rPr>
          <w:rFonts w:hint="eastAsia" w:ascii="宋体" w:hAnsi="宋体" w:eastAsia="宋体" w:cs="宋体"/>
          <w:b/>
          <w:spacing w:val="-6"/>
          <w:szCs w:val="21"/>
        </w:rPr>
        <w:t>）标的配置清单</w:t>
      </w:r>
      <w:r>
        <w:rPr>
          <w:rFonts w:hint="eastAsia" w:ascii="宋体" w:hAnsi="宋体" w:eastAsia="宋体" w:cs="宋体"/>
          <w:spacing w:val="-6"/>
          <w:szCs w:val="21"/>
        </w:rPr>
        <w:t>（不含报价）</w:t>
      </w:r>
    </w:p>
    <w:tbl>
      <w:tblPr>
        <w:tblStyle w:val="23"/>
        <w:tblW w:w="97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
        <w:gridCol w:w="1841"/>
        <w:gridCol w:w="1742"/>
        <w:gridCol w:w="880"/>
        <w:gridCol w:w="953"/>
        <w:gridCol w:w="1194"/>
        <w:gridCol w:w="1012"/>
        <w:gridCol w:w="1446"/>
      </w:tblGrid>
      <w:tr w14:paraId="0F3B60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7FA8D5E">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序号</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320E107D">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标的名称</w:t>
            </w: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609B4DDF">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规格型号</w:t>
            </w:r>
          </w:p>
          <w:p w14:paraId="41074246">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或具体服务</w:t>
            </w: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4E863E3D">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数量</w:t>
            </w: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0F0E7697">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★品牌</w:t>
            </w: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38E83CD2">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★制造商</w:t>
            </w:r>
          </w:p>
        </w:tc>
        <w:tc>
          <w:tcPr>
            <w:tcW w:w="1012" w:type="dxa"/>
            <w:tcBorders>
              <w:top w:val="single" w:color="auto" w:sz="4" w:space="0"/>
              <w:left w:val="single" w:color="auto" w:sz="4" w:space="0"/>
              <w:bottom w:val="single" w:color="auto" w:sz="4" w:space="0"/>
              <w:right w:val="single" w:color="auto" w:sz="4" w:space="0"/>
            </w:tcBorders>
            <w:vAlign w:val="center"/>
          </w:tcPr>
          <w:p w14:paraId="40722672">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★产地</w:t>
            </w:r>
          </w:p>
        </w:tc>
        <w:tc>
          <w:tcPr>
            <w:tcW w:w="1446" w:type="dxa"/>
            <w:tcBorders>
              <w:top w:val="single" w:color="auto" w:sz="4" w:space="0"/>
              <w:left w:val="single" w:color="auto" w:sz="4" w:space="0"/>
              <w:bottom w:val="single" w:color="auto" w:sz="4" w:space="0"/>
              <w:right w:val="single" w:color="auto" w:sz="4" w:space="0"/>
            </w:tcBorders>
            <w:vAlign w:val="center"/>
          </w:tcPr>
          <w:p w14:paraId="7639BB4D">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备注</w:t>
            </w:r>
          </w:p>
          <w:p w14:paraId="1FD37BA6">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（可另附页）</w:t>
            </w:r>
          </w:p>
        </w:tc>
      </w:tr>
      <w:tr w14:paraId="456CDD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3FB9098">
            <w:pPr>
              <w:adjustRightInd w:val="0"/>
              <w:snapToGrid w:val="0"/>
              <w:spacing w:line="360" w:lineRule="auto"/>
              <w:jc w:val="center"/>
              <w:rPr>
                <w:rFonts w:hint="eastAsia" w:ascii="宋体" w:hAnsi="宋体" w:eastAsia="宋体" w:cs="宋体"/>
                <w:b/>
                <w:bCs/>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14E7182C">
            <w:pPr>
              <w:adjustRightInd w:val="0"/>
              <w:snapToGrid w:val="0"/>
              <w:spacing w:line="360" w:lineRule="auto"/>
              <w:jc w:val="center"/>
              <w:rPr>
                <w:rFonts w:hint="eastAsia" w:ascii="宋体" w:hAnsi="宋体" w:eastAsia="宋体" w:cs="宋体"/>
                <w:b/>
                <w:bCs/>
                <w:szCs w:val="21"/>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00971AB1">
            <w:pPr>
              <w:adjustRightInd w:val="0"/>
              <w:snapToGrid w:val="0"/>
              <w:spacing w:line="360" w:lineRule="auto"/>
              <w:jc w:val="center"/>
              <w:rPr>
                <w:rFonts w:hint="eastAsia" w:ascii="宋体" w:hAnsi="宋体" w:eastAsia="宋体" w:cs="宋体"/>
                <w:b/>
                <w:bCs/>
                <w:szCs w:val="21"/>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3FE7AF73">
            <w:pPr>
              <w:adjustRightInd w:val="0"/>
              <w:snapToGrid w:val="0"/>
              <w:spacing w:line="360" w:lineRule="auto"/>
              <w:jc w:val="center"/>
              <w:rPr>
                <w:rFonts w:hint="eastAsia" w:ascii="宋体" w:hAnsi="宋体" w:eastAsia="宋体" w:cs="宋体"/>
                <w:b/>
                <w:bCs/>
                <w:szCs w:val="21"/>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36429CA1">
            <w:pPr>
              <w:adjustRightInd w:val="0"/>
              <w:snapToGrid w:val="0"/>
              <w:spacing w:line="360" w:lineRule="auto"/>
              <w:jc w:val="center"/>
              <w:rPr>
                <w:rFonts w:hint="eastAsia" w:ascii="宋体" w:hAnsi="宋体" w:eastAsia="宋体" w:cs="宋体"/>
                <w:b/>
                <w:bCs/>
                <w:szCs w:val="21"/>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347FA73A">
            <w:pPr>
              <w:adjustRightInd w:val="0"/>
              <w:snapToGrid w:val="0"/>
              <w:spacing w:line="360" w:lineRule="auto"/>
              <w:jc w:val="center"/>
              <w:rPr>
                <w:rFonts w:hint="eastAsia" w:ascii="宋体" w:hAnsi="宋体" w:eastAsia="宋体" w:cs="宋体"/>
                <w:b/>
                <w:bCs/>
                <w:szCs w:val="21"/>
              </w:rPr>
            </w:pPr>
          </w:p>
        </w:tc>
        <w:tc>
          <w:tcPr>
            <w:tcW w:w="1012" w:type="dxa"/>
            <w:tcBorders>
              <w:top w:val="single" w:color="auto" w:sz="4" w:space="0"/>
              <w:left w:val="single" w:color="auto" w:sz="4" w:space="0"/>
              <w:bottom w:val="single" w:color="auto" w:sz="4" w:space="0"/>
              <w:right w:val="single" w:color="auto" w:sz="4" w:space="0"/>
            </w:tcBorders>
            <w:vAlign w:val="center"/>
          </w:tcPr>
          <w:p w14:paraId="203F34A3">
            <w:pPr>
              <w:adjustRightInd w:val="0"/>
              <w:snapToGrid w:val="0"/>
              <w:spacing w:line="360" w:lineRule="auto"/>
              <w:jc w:val="center"/>
              <w:rPr>
                <w:rFonts w:hint="eastAsia" w:ascii="宋体" w:hAnsi="宋体" w:eastAsia="宋体" w:cs="宋体"/>
                <w:b/>
                <w:bCs/>
                <w:szCs w:val="21"/>
              </w:rPr>
            </w:pPr>
          </w:p>
        </w:tc>
        <w:tc>
          <w:tcPr>
            <w:tcW w:w="1446" w:type="dxa"/>
            <w:tcBorders>
              <w:top w:val="single" w:color="auto" w:sz="4" w:space="0"/>
              <w:left w:val="single" w:color="auto" w:sz="4" w:space="0"/>
              <w:bottom w:val="single" w:color="auto" w:sz="4" w:space="0"/>
              <w:right w:val="single" w:color="auto" w:sz="4" w:space="0"/>
            </w:tcBorders>
            <w:vAlign w:val="center"/>
          </w:tcPr>
          <w:p w14:paraId="33D31F84">
            <w:pPr>
              <w:adjustRightInd w:val="0"/>
              <w:snapToGrid w:val="0"/>
              <w:spacing w:line="360" w:lineRule="auto"/>
              <w:jc w:val="center"/>
              <w:rPr>
                <w:rFonts w:hint="eastAsia" w:ascii="宋体" w:hAnsi="宋体" w:eastAsia="宋体" w:cs="宋体"/>
                <w:b/>
                <w:bCs/>
                <w:szCs w:val="21"/>
              </w:rPr>
            </w:pPr>
          </w:p>
        </w:tc>
      </w:tr>
      <w:tr w14:paraId="4C1A75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C80FDB3">
            <w:pPr>
              <w:adjustRightInd w:val="0"/>
              <w:snapToGrid w:val="0"/>
              <w:spacing w:line="360" w:lineRule="auto"/>
              <w:jc w:val="center"/>
              <w:rPr>
                <w:rFonts w:hint="eastAsia" w:ascii="宋体" w:hAnsi="宋体" w:eastAsia="宋体" w:cs="宋体"/>
                <w:b/>
                <w:bCs/>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7B91C3A5">
            <w:pPr>
              <w:adjustRightInd w:val="0"/>
              <w:snapToGrid w:val="0"/>
              <w:spacing w:line="360" w:lineRule="auto"/>
              <w:jc w:val="center"/>
              <w:rPr>
                <w:rFonts w:hint="eastAsia" w:ascii="宋体" w:hAnsi="宋体" w:eastAsia="宋体" w:cs="宋体"/>
                <w:b/>
                <w:bCs/>
                <w:szCs w:val="21"/>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220B8874">
            <w:pPr>
              <w:adjustRightInd w:val="0"/>
              <w:snapToGrid w:val="0"/>
              <w:spacing w:line="360" w:lineRule="auto"/>
              <w:jc w:val="center"/>
              <w:rPr>
                <w:rFonts w:hint="eastAsia" w:ascii="宋体" w:hAnsi="宋体" w:eastAsia="宋体" w:cs="宋体"/>
                <w:b/>
                <w:bCs/>
                <w:szCs w:val="21"/>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2F7E9931">
            <w:pPr>
              <w:adjustRightInd w:val="0"/>
              <w:snapToGrid w:val="0"/>
              <w:spacing w:line="360" w:lineRule="auto"/>
              <w:jc w:val="center"/>
              <w:rPr>
                <w:rFonts w:hint="eastAsia" w:ascii="宋体" w:hAnsi="宋体" w:eastAsia="宋体" w:cs="宋体"/>
                <w:b/>
                <w:bCs/>
                <w:szCs w:val="21"/>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26C7B87B">
            <w:pPr>
              <w:adjustRightInd w:val="0"/>
              <w:snapToGrid w:val="0"/>
              <w:spacing w:line="360" w:lineRule="auto"/>
              <w:jc w:val="center"/>
              <w:rPr>
                <w:rFonts w:hint="eastAsia" w:ascii="宋体" w:hAnsi="宋体" w:eastAsia="宋体" w:cs="宋体"/>
                <w:b/>
                <w:bCs/>
                <w:szCs w:val="21"/>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56FD0BB1">
            <w:pPr>
              <w:adjustRightInd w:val="0"/>
              <w:snapToGrid w:val="0"/>
              <w:spacing w:line="360" w:lineRule="auto"/>
              <w:jc w:val="center"/>
              <w:rPr>
                <w:rFonts w:hint="eastAsia" w:ascii="宋体" w:hAnsi="宋体" w:eastAsia="宋体" w:cs="宋体"/>
                <w:b/>
                <w:bCs/>
                <w:szCs w:val="21"/>
              </w:rPr>
            </w:pPr>
          </w:p>
        </w:tc>
        <w:tc>
          <w:tcPr>
            <w:tcW w:w="1012" w:type="dxa"/>
            <w:tcBorders>
              <w:top w:val="single" w:color="auto" w:sz="4" w:space="0"/>
              <w:left w:val="single" w:color="auto" w:sz="4" w:space="0"/>
              <w:bottom w:val="single" w:color="auto" w:sz="4" w:space="0"/>
              <w:right w:val="single" w:color="auto" w:sz="4" w:space="0"/>
            </w:tcBorders>
            <w:vAlign w:val="center"/>
          </w:tcPr>
          <w:p w14:paraId="44B66A4E">
            <w:pPr>
              <w:adjustRightInd w:val="0"/>
              <w:snapToGrid w:val="0"/>
              <w:spacing w:line="360" w:lineRule="auto"/>
              <w:jc w:val="center"/>
              <w:rPr>
                <w:rFonts w:hint="eastAsia" w:ascii="宋体" w:hAnsi="宋体" w:eastAsia="宋体" w:cs="宋体"/>
                <w:b/>
                <w:bCs/>
                <w:szCs w:val="21"/>
              </w:rPr>
            </w:pPr>
          </w:p>
        </w:tc>
        <w:tc>
          <w:tcPr>
            <w:tcW w:w="1446" w:type="dxa"/>
            <w:tcBorders>
              <w:top w:val="single" w:color="auto" w:sz="4" w:space="0"/>
              <w:left w:val="single" w:color="auto" w:sz="4" w:space="0"/>
              <w:bottom w:val="single" w:color="auto" w:sz="4" w:space="0"/>
              <w:right w:val="single" w:color="auto" w:sz="4" w:space="0"/>
            </w:tcBorders>
            <w:vAlign w:val="center"/>
          </w:tcPr>
          <w:p w14:paraId="2519067B">
            <w:pPr>
              <w:adjustRightInd w:val="0"/>
              <w:snapToGrid w:val="0"/>
              <w:spacing w:line="360" w:lineRule="auto"/>
              <w:jc w:val="center"/>
              <w:rPr>
                <w:rFonts w:hint="eastAsia" w:ascii="宋体" w:hAnsi="宋体" w:eastAsia="宋体" w:cs="宋体"/>
                <w:b/>
                <w:bCs/>
                <w:szCs w:val="21"/>
              </w:rPr>
            </w:pPr>
          </w:p>
        </w:tc>
      </w:tr>
      <w:tr w14:paraId="1CF193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E27E584">
            <w:pPr>
              <w:adjustRightInd w:val="0"/>
              <w:snapToGrid w:val="0"/>
              <w:spacing w:line="360" w:lineRule="auto"/>
              <w:jc w:val="center"/>
              <w:rPr>
                <w:rFonts w:hint="eastAsia" w:ascii="宋体" w:hAnsi="宋体" w:eastAsia="宋体" w:cs="宋体"/>
                <w:b/>
                <w:bCs/>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4B9CD112">
            <w:pPr>
              <w:adjustRightInd w:val="0"/>
              <w:snapToGrid w:val="0"/>
              <w:spacing w:line="360" w:lineRule="auto"/>
              <w:jc w:val="center"/>
              <w:rPr>
                <w:rFonts w:hint="eastAsia" w:ascii="宋体" w:hAnsi="宋体" w:eastAsia="宋体" w:cs="宋体"/>
                <w:b/>
                <w:bCs/>
                <w:szCs w:val="21"/>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5A0D6A64">
            <w:pPr>
              <w:adjustRightInd w:val="0"/>
              <w:snapToGrid w:val="0"/>
              <w:spacing w:line="360" w:lineRule="auto"/>
              <w:jc w:val="center"/>
              <w:rPr>
                <w:rFonts w:hint="eastAsia" w:ascii="宋体" w:hAnsi="宋体" w:eastAsia="宋体" w:cs="宋体"/>
                <w:b/>
                <w:bCs/>
                <w:szCs w:val="21"/>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4FB769C6">
            <w:pPr>
              <w:adjustRightInd w:val="0"/>
              <w:snapToGrid w:val="0"/>
              <w:spacing w:line="360" w:lineRule="auto"/>
              <w:jc w:val="center"/>
              <w:rPr>
                <w:rFonts w:hint="eastAsia" w:ascii="宋体" w:hAnsi="宋体" w:eastAsia="宋体" w:cs="宋体"/>
                <w:b/>
                <w:bCs/>
                <w:szCs w:val="21"/>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4A61BCE7">
            <w:pPr>
              <w:adjustRightInd w:val="0"/>
              <w:snapToGrid w:val="0"/>
              <w:spacing w:line="360" w:lineRule="auto"/>
              <w:jc w:val="center"/>
              <w:rPr>
                <w:rFonts w:hint="eastAsia" w:ascii="宋体" w:hAnsi="宋体" w:eastAsia="宋体" w:cs="宋体"/>
                <w:b/>
                <w:bCs/>
                <w:szCs w:val="21"/>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2298B9F2">
            <w:pPr>
              <w:adjustRightInd w:val="0"/>
              <w:snapToGrid w:val="0"/>
              <w:spacing w:line="360" w:lineRule="auto"/>
              <w:jc w:val="center"/>
              <w:rPr>
                <w:rFonts w:hint="eastAsia" w:ascii="宋体" w:hAnsi="宋体" w:eastAsia="宋体" w:cs="宋体"/>
                <w:b/>
                <w:bCs/>
                <w:szCs w:val="21"/>
              </w:rPr>
            </w:pPr>
          </w:p>
        </w:tc>
        <w:tc>
          <w:tcPr>
            <w:tcW w:w="1012" w:type="dxa"/>
            <w:tcBorders>
              <w:top w:val="single" w:color="auto" w:sz="4" w:space="0"/>
              <w:left w:val="single" w:color="auto" w:sz="4" w:space="0"/>
              <w:bottom w:val="single" w:color="auto" w:sz="4" w:space="0"/>
              <w:right w:val="single" w:color="auto" w:sz="4" w:space="0"/>
            </w:tcBorders>
            <w:vAlign w:val="center"/>
          </w:tcPr>
          <w:p w14:paraId="58222C17">
            <w:pPr>
              <w:adjustRightInd w:val="0"/>
              <w:snapToGrid w:val="0"/>
              <w:spacing w:line="360" w:lineRule="auto"/>
              <w:jc w:val="center"/>
              <w:rPr>
                <w:rFonts w:hint="eastAsia" w:ascii="宋体" w:hAnsi="宋体" w:eastAsia="宋体" w:cs="宋体"/>
                <w:b/>
                <w:bCs/>
                <w:szCs w:val="21"/>
              </w:rPr>
            </w:pPr>
          </w:p>
        </w:tc>
        <w:tc>
          <w:tcPr>
            <w:tcW w:w="1446" w:type="dxa"/>
            <w:tcBorders>
              <w:top w:val="single" w:color="auto" w:sz="4" w:space="0"/>
              <w:left w:val="single" w:color="auto" w:sz="4" w:space="0"/>
              <w:bottom w:val="single" w:color="auto" w:sz="4" w:space="0"/>
              <w:right w:val="single" w:color="auto" w:sz="4" w:space="0"/>
            </w:tcBorders>
            <w:vAlign w:val="center"/>
          </w:tcPr>
          <w:p w14:paraId="32024A85">
            <w:pPr>
              <w:adjustRightInd w:val="0"/>
              <w:snapToGrid w:val="0"/>
              <w:spacing w:line="360" w:lineRule="auto"/>
              <w:jc w:val="center"/>
              <w:rPr>
                <w:rFonts w:hint="eastAsia" w:ascii="宋体" w:hAnsi="宋体" w:eastAsia="宋体" w:cs="宋体"/>
                <w:b/>
                <w:bCs/>
                <w:szCs w:val="21"/>
              </w:rPr>
            </w:pPr>
          </w:p>
        </w:tc>
      </w:tr>
      <w:tr w14:paraId="58136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7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7AC0F8BD">
            <w:pPr>
              <w:adjustRightInd w:val="0"/>
              <w:snapToGrid w:val="0"/>
              <w:spacing w:line="360" w:lineRule="auto"/>
              <w:jc w:val="left"/>
              <w:rPr>
                <w:rFonts w:hint="eastAsia" w:ascii="宋体" w:hAnsi="宋体" w:eastAsia="宋体" w:cs="宋体"/>
                <w:b/>
                <w:bCs/>
                <w:szCs w:val="21"/>
              </w:rPr>
            </w:pPr>
            <w:r>
              <w:rPr>
                <w:rFonts w:hint="eastAsia" w:ascii="宋体" w:hAnsi="宋体" w:eastAsia="宋体" w:cs="宋体"/>
                <w:b/>
                <w:bCs/>
                <w:szCs w:val="21"/>
              </w:rPr>
              <w:t>★以下（联合体其他成员）承担的部分：</w:t>
            </w:r>
          </w:p>
        </w:tc>
      </w:tr>
      <w:tr w14:paraId="37D500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BF77207">
            <w:pPr>
              <w:adjustRightInd w:val="0"/>
              <w:snapToGrid w:val="0"/>
              <w:spacing w:line="360" w:lineRule="auto"/>
              <w:jc w:val="center"/>
              <w:rPr>
                <w:rFonts w:hint="eastAsia" w:ascii="宋体" w:hAnsi="宋体" w:eastAsia="宋体" w:cs="宋体"/>
                <w:b/>
                <w:bCs/>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5EDE7D43">
            <w:pPr>
              <w:adjustRightInd w:val="0"/>
              <w:snapToGrid w:val="0"/>
              <w:spacing w:line="360" w:lineRule="auto"/>
              <w:jc w:val="center"/>
              <w:rPr>
                <w:rFonts w:hint="eastAsia" w:ascii="宋体" w:hAnsi="宋体" w:eastAsia="宋体" w:cs="宋体"/>
                <w:b/>
                <w:bCs/>
                <w:szCs w:val="21"/>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187863F6">
            <w:pPr>
              <w:adjustRightInd w:val="0"/>
              <w:snapToGrid w:val="0"/>
              <w:spacing w:line="360" w:lineRule="auto"/>
              <w:jc w:val="center"/>
              <w:rPr>
                <w:rFonts w:hint="eastAsia" w:ascii="宋体" w:hAnsi="宋体" w:eastAsia="宋体" w:cs="宋体"/>
                <w:b/>
                <w:bCs/>
                <w:szCs w:val="21"/>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5D9F8811">
            <w:pPr>
              <w:adjustRightInd w:val="0"/>
              <w:snapToGrid w:val="0"/>
              <w:spacing w:line="360" w:lineRule="auto"/>
              <w:jc w:val="center"/>
              <w:rPr>
                <w:rFonts w:hint="eastAsia" w:ascii="宋体" w:hAnsi="宋体" w:eastAsia="宋体" w:cs="宋体"/>
                <w:b/>
                <w:bCs/>
                <w:szCs w:val="21"/>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4C33DAC1">
            <w:pPr>
              <w:adjustRightInd w:val="0"/>
              <w:snapToGrid w:val="0"/>
              <w:spacing w:line="360" w:lineRule="auto"/>
              <w:jc w:val="center"/>
              <w:rPr>
                <w:rFonts w:hint="eastAsia" w:ascii="宋体" w:hAnsi="宋体" w:eastAsia="宋体" w:cs="宋体"/>
                <w:b/>
                <w:bCs/>
                <w:szCs w:val="21"/>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7C5BEB23">
            <w:pPr>
              <w:adjustRightInd w:val="0"/>
              <w:snapToGrid w:val="0"/>
              <w:spacing w:line="360" w:lineRule="auto"/>
              <w:jc w:val="center"/>
              <w:rPr>
                <w:rFonts w:hint="eastAsia" w:ascii="宋体" w:hAnsi="宋体" w:eastAsia="宋体" w:cs="宋体"/>
                <w:b/>
                <w:bCs/>
                <w:szCs w:val="21"/>
              </w:rPr>
            </w:pPr>
          </w:p>
        </w:tc>
        <w:tc>
          <w:tcPr>
            <w:tcW w:w="1012" w:type="dxa"/>
            <w:tcBorders>
              <w:top w:val="single" w:color="auto" w:sz="4" w:space="0"/>
              <w:left w:val="single" w:color="auto" w:sz="4" w:space="0"/>
              <w:bottom w:val="single" w:color="auto" w:sz="4" w:space="0"/>
              <w:right w:val="single" w:color="auto" w:sz="4" w:space="0"/>
            </w:tcBorders>
            <w:vAlign w:val="center"/>
          </w:tcPr>
          <w:p w14:paraId="6D58936D">
            <w:pPr>
              <w:adjustRightInd w:val="0"/>
              <w:snapToGrid w:val="0"/>
              <w:spacing w:line="360" w:lineRule="auto"/>
              <w:jc w:val="center"/>
              <w:rPr>
                <w:rFonts w:hint="eastAsia" w:ascii="宋体" w:hAnsi="宋体" w:eastAsia="宋体" w:cs="宋体"/>
                <w:b/>
                <w:bCs/>
                <w:szCs w:val="21"/>
              </w:rPr>
            </w:pPr>
          </w:p>
        </w:tc>
        <w:tc>
          <w:tcPr>
            <w:tcW w:w="1446" w:type="dxa"/>
            <w:tcBorders>
              <w:top w:val="single" w:color="auto" w:sz="4" w:space="0"/>
              <w:left w:val="single" w:color="auto" w:sz="4" w:space="0"/>
              <w:bottom w:val="single" w:color="auto" w:sz="4" w:space="0"/>
              <w:right w:val="single" w:color="auto" w:sz="4" w:space="0"/>
            </w:tcBorders>
            <w:vAlign w:val="center"/>
          </w:tcPr>
          <w:p w14:paraId="7A1CA438">
            <w:pPr>
              <w:adjustRightInd w:val="0"/>
              <w:snapToGrid w:val="0"/>
              <w:spacing w:line="360" w:lineRule="auto"/>
              <w:jc w:val="center"/>
              <w:rPr>
                <w:rFonts w:hint="eastAsia" w:ascii="宋体" w:hAnsi="宋体" w:eastAsia="宋体" w:cs="宋体"/>
                <w:b/>
                <w:bCs/>
                <w:szCs w:val="21"/>
              </w:rPr>
            </w:pPr>
          </w:p>
        </w:tc>
      </w:tr>
      <w:tr w14:paraId="19B69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7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018656A5">
            <w:pPr>
              <w:adjustRightInd w:val="0"/>
              <w:snapToGrid w:val="0"/>
              <w:spacing w:line="360" w:lineRule="auto"/>
              <w:jc w:val="left"/>
              <w:rPr>
                <w:rFonts w:hint="eastAsia" w:ascii="宋体" w:hAnsi="宋体" w:eastAsia="宋体" w:cs="宋体"/>
                <w:b/>
                <w:bCs/>
                <w:szCs w:val="21"/>
              </w:rPr>
            </w:pPr>
            <w:r>
              <w:rPr>
                <w:rFonts w:hint="eastAsia" w:ascii="宋体" w:hAnsi="宋体" w:eastAsia="宋体" w:cs="宋体"/>
                <w:b/>
                <w:bCs/>
                <w:szCs w:val="21"/>
              </w:rPr>
              <w:t>★以下（分包单位）承担的部分：</w:t>
            </w:r>
          </w:p>
        </w:tc>
      </w:tr>
      <w:tr w14:paraId="6BBE9D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D5FB621">
            <w:pPr>
              <w:adjustRightInd w:val="0"/>
              <w:snapToGrid w:val="0"/>
              <w:spacing w:line="360" w:lineRule="auto"/>
              <w:jc w:val="center"/>
              <w:rPr>
                <w:rFonts w:hint="eastAsia" w:ascii="宋体" w:hAnsi="宋体" w:eastAsia="宋体" w:cs="宋体"/>
                <w:b/>
                <w:bCs/>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2BDAC48D">
            <w:pPr>
              <w:adjustRightInd w:val="0"/>
              <w:snapToGrid w:val="0"/>
              <w:spacing w:line="360" w:lineRule="auto"/>
              <w:jc w:val="center"/>
              <w:rPr>
                <w:rFonts w:hint="eastAsia" w:ascii="宋体" w:hAnsi="宋体" w:eastAsia="宋体" w:cs="宋体"/>
                <w:b/>
                <w:bCs/>
                <w:szCs w:val="21"/>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02B32C08">
            <w:pPr>
              <w:adjustRightInd w:val="0"/>
              <w:snapToGrid w:val="0"/>
              <w:spacing w:line="360" w:lineRule="auto"/>
              <w:jc w:val="center"/>
              <w:rPr>
                <w:rFonts w:hint="eastAsia" w:ascii="宋体" w:hAnsi="宋体" w:eastAsia="宋体" w:cs="宋体"/>
                <w:b/>
                <w:bCs/>
                <w:szCs w:val="21"/>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2EACDFB9">
            <w:pPr>
              <w:adjustRightInd w:val="0"/>
              <w:snapToGrid w:val="0"/>
              <w:spacing w:line="360" w:lineRule="auto"/>
              <w:jc w:val="center"/>
              <w:rPr>
                <w:rFonts w:hint="eastAsia" w:ascii="宋体" w:hAnsi="宋体" w:eastAsia="宋体" w:cs="宋体"/>
                <w:b/>
                <w:bCs/>
                <w:szCs w:val="21"/>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390F8FDE">
            <w:pPr>
              <w:adjustRightInd w:val="0"/>
              <w:snapToGrid w:val="0"/>
              <w:spacing w:line="360" w:lineRule="auto"/>
              <w:jc w:val="center"/>
              <w:rPr>
                <w:rFonts w:hint="eastAsia" w:ascii="宋体" w:hAnsi="宋体" w:eastAsia="宋体" w:cs="宋体"/>
                <w:b/>
                <w:bCs/>
                <w:szCs w:val="21"/>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250F0DB5">
            <w:pPr>
              <w:adjustRightInd w:val="0"/>
              <w:snapToGrid w:val="0"/>
              <w:spacing w:line="360" w:lineRule="auto"/>
              <w:jc w:val="center"/>
              <w:rPr>
                <w:rFonts w:hint="eastAsia" w:ascii="宋体" w:hAnsi="宋体" w:eastAsia="宋体" w:cs="宋体"/>
                <w:b/>
                <w:bCs/>
                <w:szCs w:val="21"/>
              </w:rPr>
            </w:pPr>
          </w:p>
        </w:tc>
        <w:tc>
          <w:tcPr>
            <w:tcW w:w="1012" w:type="dxa"/>
            <w:tcBorders>
              <w:top w:val="single" w:color="auto" w:sz="4" w:space="0"/>
              <w:left w:val="single" w:color="auto" w:sz="4" w:space="0"/>
              <w:bottom w:val="single" w:color="auto" w:sz="4" w:space="0"/>
              <w:right w:val="single" w:color="auto" w:sz="4" w:space="0"/>
            </w:tcBorders>
            <w:vAlign w:val="center"/>
          </w:tcPr>
          <w:p w14:paraId="4D8D90A6">
            <w:pPr>
              <w:adjustRightInd w:val="0"/>
              <w:snapToGrid w:val="0"/>
              <w:spacing w:line="360" w:lineRule="auto"/>
              <w:jc w:val="center"/>
              <w:rPr>
                <w:rFonts w:hint="eastAsia" w:ascii="宋体" w:hAnsi="宋体" w:eastAsia="宋体" w:cs="宋体"/>
                <w:b/>
                <w:bCs/>
                <w:szCs w:val="21"/>
              </w:rPr>
            </w:pPr>
          </w:p>
        </w:tc>
        <w:tc>
          <w:tcPr>
            <w:tcW w:w="1446" w:type="dxa"/>
            <w:tcBorders>
              <w:top w:val="single" w:color="auto" w:sz="4" w:space="0"/>
              <w:left w:val="single" w:color="auto" w:sz="4" w:space="0"/>
              <w:bottom w:val="single" w:color="auto" w:sz="4" w:space="0"/>
              <w:right w:val="single" w:color="auto" w:sz="4" w:space="0"/>
            </w:tcBorders>
            <w:vAlign w:val="center"/>
          </w:tcPr>
          <w:p w14:paraId="4AF31D7A">
            <w:pPr>
              <w:adjustRightInd w:val="0"/>
              <w:snapToGrid w:val="0"/>
              <w:spacing w:line="360" w:lineRule="auto"/>
              <w:jc w:val="center"/>
              <w:rPr>
                <w:rFonts w:hint="eastAsia" w:ascii="宋体" w:hAnsi="宋体" w:eastAsia="宋体" w:cs="宋体"/>
                <w:b/>
                <w:bCs/>
                <w:szCs w:val="21"/>
              </w:rPr>
            </w:pPr>
          </w:p>
        </w:tc>
      </w:tr>
    </w:tbl>
    <w:p w14:paraId="0AB68CB8">
      <w:pPr>
        <w:adjustRightInd w:val="0"/>
        <w:snapToGrid w:val="0"/>
        <w:spacing w:line="288" w:lineRule="auto"/>
        <w:rPr>
          <w:rFonts w:hint="eastAsia" w:ascii="宋体" w:hAnsi="宋体" w:eastAsia="宋体" w:cs="宋体"/>
          <w:spacing w:val="-6"/>
          <w:szCs w:val="21"/>
        </w:rPr>
      </w:pPr>
    </w:p>
    <w:p w14:paraId="18412AB7">
      <w:pPr>
        <w:adjustRightInd w:val="0"/>
        <w:snapToGrid w:val="0"/>
        <w:spacing w:line="360" w:lineRule="auto"/>
        <w:rPr>
          <w:rFonts w:hint="eastAsia" w:ascii="宋体" w:hAnsi="宋体" w:eastAsia="宋体" w:cs="宋体"/>
          <w:bCs/>
          <w:spacing w:val="-6"/>
          <w:szCs w:val="21"/>
        </w:rPr>
      </w:pPr>
      <w:r>
        <w:rPr>
          <w:rFonts w:hint="eastAsia" w:ascii="宋体" w:hAnsi="宋体" w:eastAsia="宋体" w:cs="宋体"/>
          <w:bCs/>
          <w:spacing w:val="-6"/>
          <w:szCs w:val="21"/>
        </w:rPr>
        <w:t>注：</w:t>
      </w:r>
    </w:p>
    <w:p w14:paraId="171066FB">
      <w:pPr>
        <w:adjustRightInd w:val="0"/>
        <w:snapToGrid w:val="0"/>
        <w:spacing w:line="288" w:lineRule="auto"/>
        <w:rPr>
          <w:rFonts w:hint="eastAsia" w:ascii="宋体" w:hAnsi="宋体" w:eastAsia="宋体" w:cs="宋体"/>
          <w:bCs/>
          <w:spacing w:val="-6"/>
          <w:szCs w:val="21"/>
        </w:rPr>
      </w:pPr>
      <w:r>
        <w:rPr>
          <w:rFonts w:hint="eastAsia" w:ascii="宋体" w:hAnsi="宋体" w:eastAsia="宋体" w:cs="宋体"/>
          <w:bCs/>
          <w:spacing w:val="-6"/>
          <w:szCs w:val="21"/>
        </w:rPr>
        <w:t>1.供应商应按照招标文件明确的标的清单填写此表；</w:t>
      </w:r>
    </w:p>
    <w:p w14:paraId="6B4B5D02">
      <w:pPr>
        <w:adjustRightInd w:val="0"/>
        <w:snapToGrid w:val="0"/>
        <w:spacing w:line="288" w:lineRule="auto"/>
        <w:rPr>
          <w:rFonts w:hint="eastAsia" w:ascii="宋体" w:hAnsi="宋体" w:eastAsia="宋体" w:cs="宋体"/>
          <w:bCs/>
          <w:spacing w:val="-6"/>
          <w:szCs w:val="21"/>
        </w:rPr>
      </w:pPr>
      <w:r>
        <w:rPr>
          <w:rFonts w:hint="eastAsia" w:ascii="宋体" w:hAnsi="宋体" w:eastAsia="宋体" w:cs="宋体"/>
          <w:bCs/>
          <w:spacing w:val="-6"/>
          <w:szCs w:val="21"/>
        </w:rPr>
        <w:t>★2.服务项目不涉及提供货物的，规格型号、品牌、制造商、产地的可不填写；</w:t>
      </w:r>
    </w:p>
    <w:p w14:paraId="453C0DE9">
      <w:pPr>
        <w:adjustRightInd w:val="0"/>
        <w:snapToGrid w:val="0"/>
        <w:spacing w:line="288" w:lineRule="auto"/>
        <w:rPr>
          <w:rFonts w:hint="eastAsia" w:ascii="宋体" w:hAnsi="宋体" w:eastAsia="宋体" w:cs="宋体"/>
          <w:spacing w:val="-6"/>
          <w:szCs w:val="21"/>
        </w:rPr>
      </w:pPr>
      <w:r>
        <w:rPr>
          <w:rFonts w:hint="eastAsia" w:ascii="宋体" w:hAnsi="宋体" w:eastAsia="宋体" w:cs="宋体"/>
          <w:bCs/>
          <w:spacing w:val="-6"/>
          <w:szCs w:val="21"/>
        </w:rPr>
        <w:t>★3.联合体其他成员承担的部分、分包单位承担的部分，应在表中列明。</w:t>
      </w:r>
    </w:p>
    <w:p w14:paraId="2BEE8AF9">
      <w:pPr>
        <w:adjustRightInd w:val="0"/>
        <w:snapToGrid w:val="0"/>
        <w:spacing w:line="288" w:lineRule="auto"/>
        <w:rPr>
          <w:rFonts w:hint="eastAsia" w:ascii="宋体" w:hAnsi="宋体" w:eastAsia="宋体" w:cs="Times New Roman"/>
          <w:b/>
          <w:bCs/>
          <w:spacing w:val="-6"/>
          <w:szCs w:val="21"/>
        </w:rPr>
      </w:pPr>
    </w:p>
    <w:p w14:paraId="79563870">
      <w:pPr>
        <w:adjustRightInd w:val="0"/>
        <w:snapToGrid w:val="0"/>
        <w:spacing w:line="288" w:lineRule="auto"/>
        <w:rPr>
          <w:rFonts w:hint="eastAsia" w:ascii="宋体" w:hAnsi="宋体" w:eastAsia="宋体" w:cs="Times New Roman"/>
          <w:b/>
          <w:bCs/>
          <w:spacing w:val="-6"/>
          <w:szCs w:val="21"/>
        </w:rPr>
      </w:pPr>
    </w:p>
    <w:p w14:paraId="7BC0138D">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14:paraId="12BAF399">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日期：     年   月   日</w:t>
      </w:r>
    </w:p>
    <w:p w14:paraId="291FF34C">
      <w:pPr>
        <w:autoSpaceDE w:val="0"/>
        <w:autoSpaceDN w:val="0"/>
        <w:adjustRightInd w:val="0"/>
        <w:snapToGrid w:val="0"/>
        <w:spacing w:line="288" w:lineRule="auto"/>
        <w:jc w:val="left"/>
        <w:rPr>
          <w:rFonts w:hint="eastAsia" w:ascii="宋体" w:hAnsi="宋体" w:eastAsia="宋体" w:cs="宋体"/>
          <w:spacing w:val="-6"/>
          <w:kern w:val="0"/>
          <w:szCs w:val="21"/>
        </w:rPr>
      </w:pPr>
    </w:p>
    <w:p w14:paraId="49C585B9">
      <w:pPr>
        <w:adjustRightInd w:val="0"/>
        <w:snapToGrid w:val="0"/>
        <w:spacing w:line="288" w:lineRule="auto"/>
        <w:rPr>
          <w:rFonts w:hint="eastAsia" w:ascii="宋体" w:hAnsi="宋体" w:eastAsia="宋体" w:cs="宋体"/>
          <w:szCs w:val="21"/>
        </w:rPr>
      </w:pPr>
    </w:p>
    <w:p w14:paraId="39A7DF40">
      <w:pPr>
        <w:adjustRightInd w:val="0"/>
        <w:snapToGrid w:val="0"/>
        <w:spacing w:line="288" w:lineRule="auto"/>
        <w:rPr>
          <w:rFonts w:hint="eastAsia" w:ascii="宋体" w:hAnsi="宋体" w:eastAsia="宋体" w:cs="宋体"/>
          <w:b/>
          <w:spacing w:val="-6"/>
          <w:szCs w:val="21"/>
        </w:rPr>
      </w:pPr>
      <w:r>
        <w:rPr>
          <w:rFonts w:hint="eastAsia" w:ascii="宋体" w:hAnsi="宋体" w:eastAsia="宋体" w:cs="宋体"/>
          <w:b/>
          <w:spacing w:val="-6"/>
          <w:szCs w:val="21"/>
        </w:rPr>
        <w:t>附：产品技术支持材料</w:t>
      </w:r>
    </w:p>
    <w:p w14:paraId="782C7A4E">
      <w:pPr>
        <w:adjustRightInd w:val="0"/>
        <w:snapToGrid w:val="0"/>
        <w:spacing w:line="288" w:lineRule="auto"/>
        <w:jc w:val="center"/>
        <w:rPr>
          <w:rFonts w:hint="eastAsia" w:ascii="宋体" w:hAnsi="宋体" w:eastAsia="宋体" w:cs="宋体"/>
          <w:b/>
          <w:spacing w:val="-6"/>
          <w:szCs w:val="21"/>
        </w:rPr>
      </w:pPr>
      <w:r>
        <w:rPr>
          <w:rFonts w:hint="eastAsia" w:ascii="宋体" w:hAnsi="宋体" w:eastAsia="宋体" w:cs="宋体"/>
          <w:b/>
          <w:spacing w:val="-6"/>
          <w:szCs w:val="21"/>
        </w:rPr>
        <w:br w:type="page"/>
      </w:r>
    </w:p>
    <w:p w14:paraId="5D5CFD4B">
      <w:pPr>
        <w:adjustRightInd w:val="0"/>
        <w:snapToGrid w:val="0"/>
        <w:spacing w:line="288" w:lineRule="auto"/>
        <w:jc w:val="left"/>
        <w:outlineLvl w:val="2"/>
        <w:rPr>
          <w:rFonts w:hint="eastAsia"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6</w:t>
      </w:r>
      <w:r>
        <w:rPr>
          <w:rFonts w:hint="eastAsia" w:ascii="宋体" w:hAnsi="宋体" w:eastAsia="宋体" w:cs="宋体"/>
          <w:b/>
          <w:spacing w:val="-6"/>
          <w:szCs w:val="21"/>
        </w:rPr>
        <w:t>）技术方案</w:t>
      </w:r>
    </w:p>
    <w:p w14:paraId="536E02EE">
      <w:pPr>
        <w:adjustRightInd w:val="0"/>
        <w:snapToGrid w:val="0"/>
        <w:spacing w:line="288" w:lineRule="auto"/>
        <w:rPr>
          <w:rFonts w:hint="eastAsia" w:ascii="宋体" w:hAnsi="宋体" w:eastAsia="宋体" w:cs="宋体"/>
          <w:b/>
          <w:spacing w:val="-6"/>
          <w:szCs w:val="21"/>
        </w:rPr>
      </w:pPr>
    </w:p>
    <w:p w14:paraId="3E7358C0">
      <w:pPr>
        <w:adjustRightInd w:val="0"/>
        <w:snapToGrid w:val="0"/>
        <w:spacing w:line="288" w:lineRule="auto"/>
        <w:rPr>
          <w:rFonts w:hint="eastAsia" w:ascii="宋体" w:hAnsi="宋体" w:eastAsia="宋体" w:cs="宋体"/>
          <w:b/>
          <w:spacing w:val="-6"/>
          <w:szCs w:val="21"/>
        </w:rPr>
      </w:pPr>
    </w:p>
    <w:p w14:paraId="6A2093FD">
      <w:pPr>
        <w:adjustRightInd w:val="0"/>
        <w:snapToGrid w:val="0"/>
        <w:spacing w:line="288" w:lineRule="auto"/>
        <w:outlineLvl w:val="2"/>
        <w:rPr>
          <w:rFonts w:hint="eastAsia"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7</w:t>
      </w:r>
      <w:r>
        <w:rPr>
          <w:rFonts w:hint="eastAsia" w:ascii="宋体" w:hAnsi="宋体" w:eastAsia="宋体" w:cs="宋体"/>
          <w:b/>
          <w:spacing w:val="-6"/>
          <w:szCs w:val="21"/>
        </w:rPr>
        <w:t>）节能环保产品证明材料</w:t>
      </w:r>
    </w:p>
    <w:p w14:paraId="7EDA53BB">
      <w:pPr>
        <w:adjustRightInd w:val="0"/>
        <w:snapToGrid w:val="0"/>
        <w:jc w:val="left"/>
        <w:rPr>
          <w:rFonts w:hint="eastAsia" w:ascii="宋体" w:hAnsi="宋体" w:eastAsia="宋体" w:cs="宋体"/>
          <w:b/>
          <w:bCs/>
          <w:szCs w:val="21"/>
          <w:lang w:bidi="ar"/>
        </w:rPr>
      </w:pPr>
      <w:r>
        <w:rPr>
          <w:rFonts w:hint="eastAsia" w:ascii="宋体" w:hAnsi="宋体" w:eastAsia="宋体" w:cs="Times New Roman"/>
          <w:b/>
          <w:spacing w:val="-6"/>
          <w:szCs w:val="21"/>
        </w:rPr>
        <w:t>▲</w:t>
      </w:r>
      <w:r>
        <w:rPr>
          <w:rFonts w:hint="eastAsia" w:ascii="宋体" w:hAnsi="宋体" w:eastAsia="宋体" w:cs="宋体"/>
          <w:b/>
          <w:bCs/>
          <w:szCs w:val="21"/>
          <w:lang w:bidi="ar"/>
        </w:rPr>
        <w:t>本项目采购需求中：</w:t>
      </w:r>
    </w:p>
    <w:p w14:paraId="18CB32AF">
      <w:pPr>
        <w:adjustRightInd w:val="0"/>
        <w:snapToGrid w:val="0"/>
        <w:jc w:val="left"/>
        <w:rPr>
          <w:rFonts w:hint="eastAsia" w:ascii="宋体" w:hAnsi="宋体" w:eastAsia="宋体" w:cs="宋体"/>
          <w:b/>
          <w:bCs/>
          <w:szCs w:val="21"/>
          <w:lang w:bidi="ar"/>
        </w:rPr>
      </w:pPr>
      <w:r>
        <w:rPr>
          <w:rFonts w:hint="eastAsia" w:ascii="宋体" w:hAnsi="宋体" w:eastAsia="宋体" w:cs="宋体"/>
          <w:b/>
          <w:bCs/>
          <w:szCs w:val="21"/>
          <w:lang w:bidi="ar"/>
        </w:rPr>
        <w:t>超模态行为洞察平台中“专用数据分析主机”</w:t>
      </w:r>
    </w:p>
    <w:p w14:paraId="46641FE4">
      <w:pPr>
        <w:adjustRightInd w:val="0"/>
        <w:snapToGrid w:val="0"/>
        <w:jc w:val="left"/>
        <w:rPr>
          <w:rFonts w:hint="eastAsia" w:ascii="宋体" w:hAnsi="宋体" w:eastAsia="宋体" w:cs="宋体"/>
          <w:b/>
          <w:bCs/>
          <w:szCs w:val="21"/>
          <w:lang w:bidi="ar"/>
        </w:rPr>
      </w:pPr>
      <w:r>
        <w:rPr>
          <w:rFonts w:hint="eastAsia" w:ascii="宋体" w:hAnsi="宋体" w:eastAsia="宋体" w:cs="宋体"/>
          <w:b/>
          <w:bCs/>
          <w:szCs w:val="21"/>
          <w:lang w:bidi="ar"/>
        </w:rPr>
        <w:t>超模态行为洞察平台中“专用采集分析主机”</w:t>
      </w:r>
    </w:p>
    <w:p w14:paraId="0A285023">
      <w:pPr>
        <w:adjustRightInd w:val="0"/>
        <w:snapToGrid w:val="0"/>
        <w:jc w:val="left"/>
        <w:rPr>
          <w:rFonts w:hint="eastAsia" w:ascii="宋体" w:hAnsi="宋体" w:eastAsia="宋体" w:cs="宋体"/>
          <w:b/>
          <w:bCs/>
          <w:szCs w:val="21"/>
          <w:lang w:bidi="ar"/>
        </w:rPr>
      </w:pPr>
      <w:r>
        <w:rPr>
          <w:rFonts w:hint="eastAsia" w:ascii="宋体" w:hAnsi="宋体" w:eastAsia="宋体" w:cs="宋体"/>
          <w:b/>
          <w:bCs/>
          <w:szCs w:val="21"/>
          <w:lang w:bidi="ar"/>
        </w:rPr>
        <w:t>便携式行为观察记录分析系统中“便携式专用主机”</w:t>
      </w:r>
    </w:p>
    <w:p w14:paraId="47970E2E">
      <w:pPr>
        <w:adjustRightInd w:val="0"/>
        <w:snapToGrid w:val="0"/>
        <w:jc w:val="left"/>
        <w:rPr>
          <w:rFonts w:hint="eastAsia" w:ascii="宋体" w:hAnsi="宋体" w:eastAsia="宋体" w:cs="宋体"/>
          <w:b/>
          <w:bCs/>
          <w:szCs w:val="21"/>
          <w:lang w:bidi="ar"/>
        </w:rPr>
      </w:pPr>
      <w:r>
        <w:rPr>
          <w:rFonts w:hint="eastAsia" w:ascii="宋体" w:hAnsi="宋体" w:eastAsia="宋体" w:cs="宋体"/>
          <w:b/>
          <w:bCs/>
          <w:szCs w:val="21"/>
          <w:lang w:bidi="ar"/>
        </w:rPr>
        <w:t>视觉动态追踪系统中“便携式专用主机”</w:t>
      </w:r>
    </w:p>
    <w:p w14:paraId="0907CEC9">
      <w:pPr>
        <w:adjustRightInd w:val="0"/>
        <w:snapToGrid w:val="0"/>
        <w:jc w:val="left"/>
        <w:rPr>
          <w:rFonts w:hint="eastAsia" w:ascii="宋体" w:hAnsi="宋体" w:eastAsia="宋体" w:cs="宋体"/>
          <w:b/>
          <w:bCs/>
          <w:szCs w:val="21"/>
          <w:lang w:bidi="ar"/>
        </w:rPr>
      </w:pPr>
      <w:r>
        <w:rPr>
          <w:rFonts w:hint="eastAsia" w:ascii="宋体" w:hAnsi="宋体" w:eastAsia="宋体" w:cs="宋体"/>
          <w:b/>
          <w:bCs/>
          <w:szCs w:val="21"/>
          <w:lang w:bidi="ar"/>
        </w:rPr>
        <w:t>遥测式生理信号采集分析系统中“专用采集分析主机”</w:t>
      </w:r>
    </w:p>
    <w:p w14:paraId="0B94A0DB">
      <w:pPr>
        <w:adjustRightInd w:val="0"/>
        <w:snapToGrid w:val="0"/>
        <w:jc w:val="left"/>
        <w:rPr>
          <w:rFonts w:hint="eastAsia" w:ascii="宋体" w:hAnsi="宋体" w:eastAsia="宋体" w:cs="Times New Roman"/>
          <w:spacing w:val="-6"/>
          <w:szCs w:val="21"/>
        </w:rPr>
      </w:pPr>
      <w:r>
        <w:rPr>
          <w:rFonts w:hint="eastAsia" w:ascii="宋体" w:hAnsi="宋体" w:eastAsia="宋体" w:cs="宋体"/>
          <w:szCs w:val="21"/>
          <w:lang w:bidi="ar"/>
        </w:rPr>
        <w:t>属于</w:t>
      </w:r>
      <w:r>
        <w:rPr>
          <w:rFonts w:ascii="宋体" w:hAnsi="宋体" w:eastAsia="宋体" w:cs="Times New Roman"/>
          <w:spacing w:val="-6"/>
          <w:szCs w:val="21"/>
        </w:rPr>
        <w:t>政府强制采购的节能产品品目清单范围，</w:t>
      </w:r>
      <w:r>
        <w:rPr>
          <w:rFonts w:hint="eastAsia" w:ascii="宋体" w:hAnsi="宋体" w:eastAsia="宋体" w:cs="Times New Roman"/>
          <w:spacing w:val="-6"/>
          <w:szCs w:val="21"/>
        </w:rPr>
        <w:t>清单详见“附件：节能产品政府采购品目清单”，</w:t>
      </w:r>
      <w:r>
        <w:rPr>
          <w:rFonts w:ascii="宋体" w:hAnsi="宋体" w:eastAsia="宋体" w:cs="Times New Roman"/>
          <w:spacing w:val="-6"/>
          <w:szCs w:val="21"/>
        </w:rPr>
        <w:t>如有冲突，以节能产品政府采购品目清单为准。</w:t>
      </w:r>
    </w:p>
    <w:p w14:paraId="5FEBAF00">
      <w:pPr>
        <w:adjustRightInd w:val="0"/>
        <w:snapToGrid w:val="0"/>
        <w:spacing w:line="288" w:lineRule="auto"/>
        <w:rPr>
          <w:rFonts w:hint="eastAsia" w:ascii="宋体" w:hAnsi="宋体" w:eastAsia="宋体" w:cs="Times New Roman"/>
          <w:b/>
          <w:szCs w:val="21"/>
        </w:rPr>
      </w:pPr>
      <w:r>
        <w:rPr>
          <w:rFonts w:ascii="宋体" w:hAnsi="宋体" w:eastAsia="宋体" w:cs="Times New Roman"/>
          <w:spacing w:val="-6"/>
          <w:szCs w:val="21"/>
        </w:rPr>
        <w:t>投标人</w:t>
      </w:r>
      <w:r>
        <w:rPr>
          <w:rFonts w:hint="eastAsia" w:ascii="宋体" w:hAnsi="宋体" w:eastAsia="宋体" w:cs="Times New Roman"/>
          <w:spacing w:val="-6"/>
          <w:szCs w:val="21"/>
        </w:rPr>
        <w:t>应</w:t>
      </w:r>
      <w:r>
        <w:rPr>
          <w:rFonts w:ascii="宋体" w:hAnsi="宋体" w:eastAsia="宋体" w:cs="Times New Roman"/>
          <w:spacing w:val="-6"/>
          <w:szCs w:val="21"/>
        </w:rPr>
        <w:t>按招标文件要求提供国家确定的认证机构出具的、有效的节能产品认证证书的。</w:t>
      </w:r>
    </w:p>
    <w:p w14:paraId="6FA56ABD">
      <w:pPr>
        <w:adjustRightInd w:val="0"/>
        <w:snapToGrid w:val="0"/>
        <w:spacing w:line="288" w:lineRule="auto"/>
        <w:ind w:left="420" w:leftChars="200"/>
        <w:rPr>
          <w:rFonts w:hint="eastAsia" w:ascii="宋体" w:hAnsi="宋体" w:eastAsia="宋体" w:cs="Times New Roman"/>
          <w:b/>
          <w:szCs w:val="21"/>
        </w:rPr>
      </w:pPr>
    </w:p>
    <w:p w14:paraId="37FCC966">
      <w:pPr>
        <w:adjustRightInd w:val="0"/>
        <w:snapToGrid w:val="0"/>
        <w:spacing w:line="288" w:lineRule="auto"/>
        <w:ind w:left="420" w:leftChars="200"/>
        <w:rPr>
          <w:rFonts w:hint="eastAsia" w:ascii="宋体" w:hAnsi="宋体" w:eastAsia="宋体" w:cs="Times New Roman"/>
          <w:b/>
          <w:szCs w:val="21"/>
        </w:rPr>
      </w:pPr>
      <w:r>
        <w:rPr>
          <w:rFonts w:hint="eastAsia" w:ascii="宋体" w:hAnsi="宋体" w:eastAsia="宋体" w:cs="Times New Roman"/>
          <w:b/>
          <w:szCs w:val="21"/>
        </w:rPr>
        <w:t>1）有效的政府强制采购节能产品的节能产品认证证书【请逐项列明产品的品牌型号及对应的节能产品认证证书】</w:t>
      </w:r>
    </w:p>
    <w:p w14:paraId="77C727E4">
      <w:pPr>
        <w:adjustRightInd w:val="0"/>
        <w:snapToGrid w:val="0"/>
        <w:spacing w:line="288" w:lineRule="auto"/>
        <w:ind w:left="420" w:leftChars="200"/>
        <w:rPr>
          <w:rFonts w:hint="eastAsia" w:ascii="宋体" w:hAnsi="宋体" w:eastAsia="宋体" w:cs="Times New Roman"/>
          <w:b/>
          <w:szCs w:val="21"/>
        </w:rPr>
      </w:pPr>
    </w:p>
    <w:p w14:paraId="2E524DDD">
      <w:pPr>
        <w:adjustRightInd w:val="0"/>
        <w:snapToGrid w:val="0"/>
        <w:spacing w:line="288" w:lineRule="auto"/>
        <w:ind w:left="420" w:leftChars="200"/>
        <w:rPr>
          <w:rFonts w:hint="eastAsia" w:ascii="宋体" w:hAnsi="宋体" w:eastAsia="宋体" w:cs="Times New Roman"/>
          <w:b/>
          <w:szCs w:val="21"/>
        </w:rPr>
      </w:pPr>
    </w:p>
    <w:p w14:paraId="2681F0D4">
      <w:pPr>
        <w:adjustRightInd w:val="0"/>
        <w:snapToGrid w:val="0"/>
        <w:spacing w:line="288" w:lineRule="auto"/>
        <w:ind w:left="420" w:leftChars="200"/>
        <w:rPr>
          <w:rFonts w:hint="eastAsia" w:ascii="宋体" w:hAnsi="宋体" w:eastAsia="宋体" w:cs="Times New Roman"/>
          <w:b/>
          <w:szCs w:val="21"/>
        </w:rPr>
      </w:pPr>
      <w:r>
        <w:rPr>
          <w:rFonts w:hint="eastAsia" w:ascii="宋体" w:hAnsi="宋体" w:eastAsia="宋体" w:cs="Times New Roman"/>
          <w:b/>
          <w:szCs w:val="21"/>
        </w:rPr>
        <w:t>2）有效的节能产品认证证书（</w:t>
      </w:r>
      <w:r>
        <w:rPr>
          <w:rFonts w:hint="eastAsia" w:ascii="宋体" w:hAnsi="宋体" w:eastAsia="宋体" w:cs="宋体"/>
          <w:b/>
          <w:bCs/>
          <w:szCs w:val="21"/>
        </w:rPr>
        <w:t>政府强制采购的节能产品的除外</w:t>
      </w:r>
      <w:r>
        <w:rPr>
          <w:rFonts w:hint="eastAsia" w:ascii="宋体" w:hAnsi="宋体" w:eastAsia="宋体" w:cs="Times New Roman"/>
          <w:b/>
          <w:szCs w:val="21"/>
        </w:rPr>
        <w:t>）</w:t>
      </w:r>
    </w:p>
    <w:p w14:paraId="6200AAD0">
      <w:pPr>
        <w:adjustRightInd w:val="0"/>
        <w:snapToGrid w:val="0"/>
        <w:spacing w:line="288" w:lineRule="auto"/>
        <w:ind w:left="420" w:leftChars="200"/>
        <w:rPr>
          <w:rFonts w:hint="eastAsia" w:ascii="宋体" w:hAnsi="宋体" w:eastAsia="宋体" w:cs="Times New Roman"/>
          <w:b/>
          <w:szCs w:val="21"/>
        </w:rPr>
      </w:pPr>
    </w:p>
    <w:p w14:paraId="4EA5D770">
      <w:pPr>
        <w:adjustRightInd w:val="0"/>
        <w:snapToGrid w:val="0"/>
        <w:spacing w:line="288" w:lineRule="auto"/>
        <w:ind w:left="420" w:leftChars="200"/>
        <w:rPr>
          <w:rFonts w:hint="eastAsia" w:ascii="宋体" w:hAnsi="宋体" w:eastAsia="宋体" w:cs="Times New Roman"/>
          <w:b/>
          <w:szCs w:val="21"/>
        </w:rPr>
      </w:pPr>
    </w:p>
    <w:p w14:paraId="4B46B06A">
      <w:pPr>
        <w:adjustRightInd w:val="0"/>
        <w:snapToGrid w:val="0"/>
        <w:spacing w:line="288" w:lineRule="auto"/>
        <w:ind w:left="420" w:leftChars="200"/>
        <w:rPr>
          <w:rFonts w:hint="eastAsia" w:ascii="宋体" w:hAnsi="宋体" w:eastAsia="宋体" w:cs="Times New Roman"/>
          <w:b/>
          <w:szCs w:val="21"/>
        </w:rPr>
      </w:pPr>
    </w:p>
    <w:p w14:paraId="71EAAC58">
      <w:pPr>
        <w:adjustRightInd w:val="0"/>
        <w:snapToGrid w:val="0"/>
        <w:spacing w:line="288" w:lineRule="auto"/>
        <w:ind w:left="420" w:leftChars="200"/>
        <w:rPr>
          <w:rFonts w:hint="eastAsia" w:ascii="宋体" w:hAnsi="宋体" w:eastAsia="宋体" w:cs="Times New Roman"/>
          <w:b/>
          <w:szCs w:val="21"/>
        </w:rPr>
      </w:pPr>
      <w:r>
        <w:rPr>
          <w:rFonts w:hint="eastAsia" w:ascii="宋体" w:hAnsi="宋体" w:eastAsia="宋体" w:cs="Times New Roman"/>
          <w:b/>
          <w:szCs w:val="21"/>
        </w:rPr>
        <w:t>3）有效的环境标志产品认证证书</w:t>
      </w:r>
    </w:p>
    <w:p w14:paraId="52E2A401">
      <w:pPr>
        <w:adjustRightInd w:val="0"/>
        <w:snapToGrid w:val="0"/>
        <w:spacing w:line="288" w:lineRule="auto"/>
        <w:rPr>
          <w:rFonts w:hint="eastAsia" w:ascii="宋体" w:hAnsi="宋体" w:eastAsia="宋体" w:cs="Times New Roman"/>
          <w:b/>
          <w:szCs w:val="21"/>
        </w:rPr>
      </w:pPr>
    </w:p>
    <w:p w14:paraId="5BBA93E7">
      <w:pPr>
        <w:adjustRightInd w:val="0"/>
        <w:snapToGrid w:val="0"/>
        <w:spacing w:line="288" w:lineRule="auto"/>
        <w:rPr>
          <w:rFonts w:hint="eastAsia" w:ascii="宋体" w:hAnsi="宋体" w:eastAsia="宋体" w:cs="Times New Roman"/>
          <w:b/>
          <w:szCs w:val="21"/>
        </w:rPr>
      </w:pPr>
    </w:p>
    <w:p w14:paraId="1FC8E115">
      <w:pPr>
        <w:adjustRightInd w:val="0"/>
        <w:snapToGrid w:val="0"/>
        <w:spacing w:line="288" w:lineRule="auto"/>
        <w:rPr>
          <w:rFonts w:hint="eastAsia" w:ascii="宋体" w:hAnsi="宋体" w:eastAsia="宋体" w:cs="Times New Roman"/>
          <w:b/>
          <w:szCs w:val="21"/>
        </w:rPr>
      </w:pPr>
    </w:p>
    <w:p w14:paraId="786FA623">
      <w:pPr>
        <w:adjustRightInd w:val="0"/>
        <w:snapToGrid w:val="0"/>
        <w:spacing w:line="288" w:lineRule="auto"/>
        <w:rPr>
          <w:rFonts w:hint="eastAsia" w:ascii="宋体" w:hAnsi="宋体" w:eastAsia="宋体" w:cs="Times New Roman"/>
          <w:b/>
          <w:szCs w:val="21"/>
        </w:rPr>
      </w:pPr>
      <w:r>
        <w:rPr>
          <w:rFonts w:hint="eastAsia" w:ascii="宋体" w:hAnsi="宋体" w:eastAsia="宋体" w:cs="Times New Roman"/>
          <w:b/>
          <w:szCs w:val="21"/>
        </w:rPr>
        <w:t>说明：投标产品属于品目清单范围且提供国家确定的认证机构出具的有效的节能产品、环境标志产品认证证书（扫描件）。</w:t>
      </w:r>
    </w:p>
    <w:p w14:paraId="6E457FCD">
      <w:pPr>
        <w:adjustRightInd w:val="0"/>
        <w:snapToGrid w:val="0"/>
        <w:spacing w:line="288" w:lineRule="auto"/>
        <w:ind w:firstLine="396" w:firstLineChars="200"/>
        <w:jc w:val="left"/>
        <w:rPr>
          <w:rFonts w:hint="eastAsia" w:ascii="宋体" w:hAnsi="宋体" w:eastAsia="宋体" w:cs="Times New Roman"/>
          <w:spacing w:val="-6"/>
          <w:szCs w:val="21"/>
        </w:rPr>
      </w:pPr>
      <w:r>
        <w:rPr>
          <w:rFonts w:ascii="宋体" w:hAnsi="宋体" w:eastAsia="宋体" w:cs="Times New Roman"/>
          <w:spacing w:val="-6"/>
          <w:szCs w:val="21"/>
        </w:rPr>
        <w:t>采购人拟采购的产品属于品目清单范围的，采购人及其委托的采购代理机构将依据国家确定的认证机构出具的、有效的节能产品、环境标志产品认证证书，对获得证书的产品实施政府优先采购或强制采购。投标人须按招标文件要求提供相关产品认证证书。</w:t>
      </w:r>
    </w:p>
    <w:p w14:paraId="7B44DBAC">
      <w:pPr>
        <w:adjustRightInd w:val="0"/>
        <w:snapToGrid w:val="0"/>
        <w:spacing w:line="288" w:lineRule="auto"/>
        <w:ind w:firstLine="398" w:firstLineChars="200"/>
        <w:jc w:val="left"/>
        <w:rPr>
          <w:rFonts w:hint="eastAsia" w:ascii="宋体" w:hAnsi="宋体" w:eastAsia="宋体" w:cs="Times New Roman"/>
          <w:b/>
          <w:bCs/>
          <w:spacing w:val="-6"/>
          <w:szCs w:val="21"/>
        </w:rPr>
      </w:pPr>
      <w:r>
        <w:rPr>
          <w:rFonts w:ascii="宋体" w:hAnsi="宋体" w:eastAsia="宋体" w:cs="Times New Roman"/>
          <w:b/>
          <w:bCs/>
          <w:spacing w:val="-6"/>
          <w:szCs w:val="21"/>
        </w:rPr>
        <w:t>▲采购人拟采购的产品属于政府强制采购的节能产品品目清单范围的，投标人未按招标文件要求提供国家确定的认证机构出具的、有效的节能产品认证证书的，投标无效。</w:t>
      </w:r>
    </w:p>
    <w:p w14:paraId="1BAC4D99">
      <w:pPr>
        <w:adjustRightInd w:val="0"/>
        <w:snapToGrid w:val="0"/>
        <w:spacing w:line="288" w:lineRule="auto"/>
        <w:rPr>
          <w:rFonts w:hint="eastAsia" w:ascii="宋体" w:hAnsi="宋体" w:eastAsia="宋体" w:cs="Times New Roman"/>
          <w:b/>
          <w:szCs w:val="21"/>
        </w:rPr>
      </w:pPr>
    </w:p>
    <w:p w14:paraId="3C29A0A7">
      <w:pPr>
        <w:rPr>
          <w:rFonts w:hint="eastAsia" w:ascii="黑体" w:hAnsi="黑体" w:eastAsia="黑体" w:cs="黑体"/>
          <w:szCs w:val="21"/>
        </w:rPr>
      </w:pPr>
      <w:r>
        <w:rPr>
          <w:rFonts w:hint="eastAsia" w:ascii="黑体" w:hAnsi="黑体" w:eastAsia="黑体" w:cs="黑体"/>
          <w:szCs w:val="21"/>
        </w:rPr>
        <w:br w:type="page"/>
      </w:r>
    </w:p>
    <w:p w14:paraId="2404F7BE">
      <w:pPr>
        <w:keepNext/>
        <w:widowControl/>
        <w:rPr>
          <w:rFonts w:hint="eastAsia" w:ascii="黑体" w:hAnsi="黑体" w:eastAsia="黑体" w:cs="黑体"/>
          <w:szCs w:val="21"/>
        </w:rPr>
      </w:pPr>
      <w:r>
        <w:rPr>
          <w:rFonts w:hint="eastAsia" w:ascii="黑体" w:hAnsi="黑体" w:eastAsia="黑体" w:cs="黑体"/>
          <w:szCs w:val="21"/>
        </w:rPr>
        <w:t>附件：节能产品政府采购品目清单</w:t>
      </w:r>
    </w:p>
    <w:tbl>
      <w:tblPr>
        <w:tblStyle w:val="23"/>
        <w:tblW w:w="4999" w:type="pct"/>
        <w:jc w:val="center"/>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Layout w:type="autofit"/>
        <w:tblCellMar>
          <w:top w:w="0" w:type="dxa"/>
          <w:left w:w="108" w:type="dxa"/>
          <w:bottom w:w="0" w:type="dxa"/>
          <w:right w:w="108" w:type="dxa"/>
        </w:tblCellMar>
      </w:tblPr>
      <w:tblGrid>
        <w:gridCol w:w="666"/>
        <w:gridCol w:w="1872"/>
        <w:gridCol w:w="2138"/>
        <w:gridCol w:w="1753"/>
        <w:gridCol w:w="3197"/>
      </w:tblGrid>
      <w:tr w14:paraId="055B98A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PrEx>
        <w:trPr>
          <w:trHeight w:val="567" w:hRule="atLeast"/>
          <w:tblHeader/>
          <w:jc w:val="center"/>
        </w:trPr>
        <w:tc>
          <w:tcPr>
            <w:tcW w:w="346" w:type="pct"/>
            <w:tcBorders>
              <w:top w:val="single" w:color="70AD47" w:sz="4" w:space="0"/>
              <w:left w:val="single" w:color="70AD47" w:sz="4" w:space="0"/>
              <w:bottom w:val="single" w:color="70AD47" w:sz="4" w:space="0"/>
              <w:right w:val="single" w:color="70AD47" w:sz="4" w:space="0"/>
              <w:tl2br w:val="nil"/>
            </w:tcBorders>
            <w:shd w:val="clear" w:color="auto" w:fill="AAD18D"/>
            <w:vAlign w:val="center"/>
          </w:tcPr>
          <w:p w14:paraId="6DA0FC07">
            <w:pPr>
              <w:jc w:val="center"/>
              <w:rPr>
                <w:rFonts w:hint="eastAsia" w:ascii="黑体" w:hAnsi="黑体" w:eastAsia="黑体" w:cs="黑体"/>
                <w:b/>
                <w:w w:val="90"/>
                <w:szCs w:val="21"/>
              </w:rPr>
            </w:pPr>
            <w:r>
              <w:rPr>
                <w:rFonts w:hint="eastAsia" w:ascii="黑体" w:hAnsi="黑体" w:eastAsia="黑体" w:cs="黑体"/>
                <w:b/>
                <w:w w:val="90"/>
                <w:szCs w:val="21"/>
              </w:rPr>
              <w:t>品目序号</w:t>
            </w:r>
          </w:p>
        </w:tc>
        <w:tc>
          <w:tcPr>
            <w:tcW w:w="2992" w:type="pct"/>
            <w:gridSpan w:val="3"/>
            <w:tcBorders>
              <w:top w:val="single" w:color="70AD47" w:sz="4" w:space="0"/>
              <w:left w:val="single" w:color="70AD47" w:sz="4" w:space="0"/>
              <w:bottom w:val="single" w:color="70AD47" w:sz="4" w:space="0"/>
              <w:right w:val="single" w:color="70AD47" w:sz="4" w:space="0"/>
            </w:tcBorders>
            <w:shd w:val="clear" w:color="auto" w:fill="AAD18D"/>
            <w:vAlign w:val="center"/>
          </w:tcPr>
          <w:p w14:paraId="53F187BC">
            <w:pPr>
              <w:jc w:val="center"/>
              <w:rPr>
                <w:rFonts w:hint="eastAsia" w:ascii="黑体" w:hAnsi="黑体" w:eastAsia="黑体" w:cs="黑体"/>
                <w:b/>
                <w:w w:val="90"/>
                <w:szCs w:val="21"/>
              </w:rPr>
            </w:pPr>
            <w:r>
              <w:rPr>
                <w:rFonts w:hint="eastAsia" w:ascii="黑体" w:hAnsi="黑体" w:eastAsia="黑体" w:cs="黑体"/>
                <w:b/>
                <w:w w:val="90"/>
                <w:szCs w:val="21"/>
              </w:rPr>
              <w:t>名称</w:t>
            </w:r>
          </w:p>
        </w:tc>
        <w:tc>
          <w:tcPr>
            <w:tcW w:w="1660" w:type="pct"/>
            <w:tcBorders>
              <w:top w:val="single" w:color="70AD47" w:sz="4" w:space="0"/>
              <w:left w:val="single" w:color="70AD47" w:sz="4" w:space="0"/>
              <w:bottom w:val="single" w:color="70AD47" w:sz="4" w:space="0"/>
              <w:right w:val="single" w:color="70AD47" w:sz="4" w:space="0"/>
            </w:tcBorders>
            <w:shd w:val="clear" w:color="auto" w:fill="AAD18D"/>
            <w:vAlign w:val="center"/>
          </w:tcPr>
          <w:p w14:paraId="73F1266A">
            <w:pPr>
              <w:jc w:val="center"/>
              <w:rPr>
                <w:rFonts w:hint="eastAsia" w:ascii="黑体" w:hAnsi="黑体" w:eastAsia="黑体" w:cs="黑体"/>
                <w:b/>
                <w:w w:val="90"/>
                <w:szCs w:val="21"/>
              </w:rPr>
            </w:pPr>
            <w:r>
              <w:rPr>
                <w:rFonts w:hint="eastAsia" w:ascii="黑体" w:hAnsi="黑体" w:eastAsia="黑体" w:cs="黑体"/>
                <w:b/>
                <w:w w:val="90"/>
                <w:szCs w:val="21"/>
              </w:rPr>
              <w:t>依据的标准</w:t>
            </w:r>
          </w:p>
        </w:tc>
      </w:tr>
      <w:tr w14:paraId="43B0BE4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25FC5174">
            <w:pPr>
              <w:jc w:val="center"/>
              <w:rPr>
                <w:rFonts w:hint="eastAsia" w:ascii="黑体" w:hAnsi="黑体" w:eastAsia="黑体" w:cs="黑体"/>
                <w:w w:val="90"/>
                <w:szCs w:val="21"/>
              </w:rPr>
            </w:pPr>
            <w:r>
              <w:rPr>
                <w:rFonts w:hint="eastAsia" w:ascii="黑体" w:hAnsi="黑体" w:eastAsia="黑体" w:cs="黑体"/>
                <w:w w:val="90"/>
                <w:szCs w:val="21"/>
              </w:rPr>
              <w:t>1</w:t>
            </w:r>
          </w:p>
        </w:tc>
        <w:tc>
          <w:tcPr>
            <w:tcW w:w="972"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5BCDA29C">
            <w:pPr>
              <w:jc w:val="left"/>
              <w:rPr>
                <w:rFonts w:hint="eastAsia" w:ascii="黑体" w:hAnsi="黑体" w:eastAsia="黑体" w:cs="黑体"/>
                <w:w w:val="90"/>
                <w:szCs w:val="21"/>
              </w:rPr>
            </w:pPr>
            <w:r>
              <w:rPr>
                <w:rFonts w:hint="eastAsia" w:ascii="黑体" w:hAnsi="黑体" w:eastAsia="黑体" w:cs="黑体"/>
                <w:w w:val="90"/>
                <w:szCs w:val="21"/>
              </w:rPr>
              <w:t>A020101计算机设备</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AE421D8">
            <w:pPr>
              <w:jc w:val="left"/>
              <w:rPr>
                <w:rFonts w:hint="eastAsia" w:ascii="黑体" w:hAnsi="黑体" w:eastAsia="黑体" w:cs="黑体"/>
                <w:w w:val="90"/>
                <w:szCs w:val="21"/>
              </w:rPr>
            </w:pPr>
            <w:r>
              <w:rPr>
                <w:rFonts w:hint="eastAsia" w:ascii="黑体" w:hAnsi="黑体" w:eastAsia="黑体" w:cs="黑体"/>
                <w:w w:val="90"/>
                <w:szCs w:val="21"/>
              </w:rPr>
              <w:t>★A02010104台式计算机</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CF3603F">
            <w:pPr>
              <w:jc w:val="center"/>
              <w:rPr>
                <w:rFonts w:hint="eastAsia" w:ascii="黑体" w:hAnsi="黑体" w:eastAsia="黑体" w:cs="黑体"/>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FBFFF45">
            <w:pPr>
              <w:jc w:val="left"/>
              <w:rPr>
                <w:rFonts w:hint="eastAsia" w:ascii="黑体" w:hAnsi="黑体" w:eastAsia="黑体" w:cs="黑体"/>
                <w:w w:val="90"/>
                <w:szCs w:val="21"/>
              </w:rPr>
            </w:pPr>
            <w:r>
              <w:rPr>
                <w:rFonts w:hint="eastAsia" w:ascii="黑体" w:hAnsi="黑体" w:eastAsia="黑体" w:cs="黑体"/>
                <w:w w:val="90"/>
                <w:szCs w:val="21"/>
              </w:rPr>
              <w:t>《微型计算机能效限定值及能效等级》（GB 28380）</w:t>
            </w:r>
          </w:p>
        </w:tc>
      </w:tr>
      <w:tr w14:paraId="795F4D4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E7F8253">
            <w:pPr>
              <w:jc w:val="center"/>
              <w:rPr>
                <w:rFonts w:hint="eastAsia" w:ascii="黑体" w:hAnsi="黑体" w:eastAsia="黑体" w:cs="黑体"/>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CB7ABA1">
            <w:pPr>
              <w:jc w:val="left"/>
              <w:rPr>
                <w:rFonts w:hint="eastAsia" w:ascii="黑体" w:hAnsi="黑体" w:eastAsia="黑体" w:cs="黑体"/>
                <w:w w:val="90"/>
                <w:szCs w:val="21"/>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D401489">
            <w:pPr>
              <w:jc w:val="left"/>
              <w:rPr>
                <w:rFonts w:hint="eastAsia" w:ascii="黑体" w:hAnsi="黑体" w:eastAsia="黑体" w:cs="黑体"/>
                <w:w w:val="90"/>
                <w:szCs w:val="21"/>
              </w:rPr>
            </w:pPr>
            <w:r>
              <w:rPr>
                <w:rFonts w:hint="eastAsia" w:ascii="黑体" w:hAnsi="黑体" w:eastAsia="黑体" w:cs="黑体"/>
                <w:w w:val="90"/>
                <w:szCs w:val="21"/>
              </w:rPr>
              <w:t>★A02010105便携式计算</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E608577">
            <w:pPr>
              <w:jc w:val="center"/>
              <w:rPr>
                <w:rFonts w:hint="eastAsia" w:ascii="黑体" w:hAnsi="黑体" w:eastAsia="黑体" w:cs="黑体"/>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7ECFAD4">
            <w:pPr>
              <w:jc w:val="left"/>
              <w:rPr>
                <w:rFonts w:hint="eastAsia" w:ascii="黑体" w:hAnsi="黑体" w:eastAsia="黑体" w:cs="黑体"/>
                <w:w w:val="90"/>
                <w:szCs w:val="21"/>
              </w:rPr>
            </w:pPr>
            <w:r>
              <w:rPr>
                <w:rFonts w:hint="eastAsia" w:ascii="黑体" w:hAnsi="黑体" w:eastAsia="黑体" w:cs="黑体"/>
                <w:w w:val="90"/>
                <w:szCs w:val="21"/>
              </w:rPr>
              <w:t>《微型计算机能效限定值及能效等级》（GB 28380）</w:t>
            </w:r>
          </w:p>
        </w:tc>
      </w:tr>
      <w:tr w14:paraId="3B4DFF4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823F0A9">
            <w:pPr>
              <w:jc w:val="center"/>
              <w:rPr>
                <w:rFonts w:hint="eastAsia" w:ascii="黑体" w:hAnsi="黑体" w:eastAsia="黑体" w:cs="黑体"/>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5D45DD4">
            <w:pPr>
              <w:jc w:val="left"/>
              <w:rPr>
                <w:rFonts w:hint="eastAsia" w:ascii="黑体" w:hAnsi="黑体" w:eastAsia="黑体" w:cs="黑体"/>
                <w:w w:val="90"/>
                <w:szCs w:val="21"/>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F20976E">
            <w:pPr>
              <w:jc w:val="left"/>
              <w:rPr>
                <w:rFonts w:hint="eastAsia" w:ascii="黑体" w:hAnsi="黑体" w:eastAsia="黑体" w:cs="黑体"/>
                <w:w w:val="90"/>
                <w:szCs w:val="21"/>
              </w:rPr>
            </w:pPr>
            <w:r>
              <w:rPr>
                <w:rFonts w:hint="eastAsia" w:ascii="黑体" w:hAnsi="黑体" w:eastAsia="黑体" w:cs="黑体"/>
                <w:w w:val="90"/>
                <w:szCs w:val="21"/>
              </w:rPr>
              <w:t>★A02010107平板式微型计算机</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05E5C42">
            <w:pPr>
              <w:jc w:val="center"/>
              <w:rPr>
                <w:rFonts w:hint="eastAsia" w:ascii="黑体" w:hAnsi="黑体" w:eastAsia="黑体" w:cs="黑体"/>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F062F36">
            <w:pPr>
              <w:jc w:val="left"/>
              <w:rPr>
                <w:rFonts w:hint="eastAsia" w:ascii="黑体" w:hAnsi="黑体" w:eastAsia="黑体" w:cs="黑体"/>
                <w:w w:val="90"/>
                <w:szCs w:val="21"/>
              </w:rPr>
            </w:pPr>
            <w:r>
              <w:rPr>
                <w:rFonts w:hint="eastAsia" w:ascii="黑体" w:hAnsi="黑体" w:eastAsia="黑体" w:cs="黑体"/>
                <w:w w:val="90"/>
                <w:szCs w:val="21"/>
              </w:rPr>
              <w:t>《微型计算机能效限定值及能效等级》（GB 28380）</w:t>
            </w:r>
          </w:p>
        </w:tc>
      </w:tr>
      <w:tr w14:paraId="3A41BD0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3A47771A">
            <w:pPr>
              <w:jc w:val="center"/>
              <w:rPr>
                <w:rFonts w:hint="eastAsia" w:ascii="黑体" w:hAnsi="黑体" w:eastAsia="黑体" w:cs="黑体"/>
                <w:w w:val="90"/>
                <w:szCs w:val="21"/>
              </w:rPr>
            </w:pPr>
            <w:r>
              <w:rPr>
                <w:rFonts w:hint="eastAsia" w:ascii="黑体" w:hAnsi="黑体" w:eastAsia="黑体" w:cs="黑体"/>
                <w:w w:val="90"/>
                <w:szCs w:val="21"/>
              </w:rPr>
              <w:t>2</w:t>
            </w:r>
          </w:p>
        </w:tc>
        <w:tc>
          <w:tcPr>
            <w:tcW w:w="972"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62B0E348">
            <w:pPr>
              <w:jc w:val="left"/>
              <w:rPr>
                <w:rFonts w:hint="eastAsia" w:ascii="黑体" w:hAnsi="黑体" w:eastAsia="黑体" w:cs="黑体"/>
                <w:w w:val="90"/>
                <w:szCs w:val="21"/>
              </w:rPr>
            </w:pPr>
            <w:r>
              <w:rPr>
                <w:rFonts w:hint="eastAsia" w:ascii="黑体" w:hAnsi="黑体" w:eastAsia="黑体" w:cs="黑体"/>
                <w:w w:val="90"/>
                <w:szCs w:val="21"/>
              </w:rPr>
              <w:t>A020106输入输出设备</w:t>
            </w:r>
          </w:p>
        </w:tc>
        <w:tc>
          <w:tcPr>
            <w:tcW w:w="1110"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370C1BE5">
            <w:pPr>
              <w:jc w:val="left"/>
              <w:rPr>
                <w:rFonts w:hint="eastAsia" w:ascii="黑体" w:hAnsi="黑体" w:eastAsia="黑体" w:cs="黑体"/>
                <w:w w:val="90"/>
                <w:szCs w:val="21"/>
              </w:rPr>
            </w:pPr>
            <w:r>
              <w:rPr>
                <w:rFonts w:hint="eastAsia" w:ascii="黑体" w:hAnsi="黑体" w:eastAsia="黑体" w:cs="黑体"/>
                <w:w w:val="90"/>
                <w:szCs w:val="21"/>
              </w:rPr>
              <w:t>A02010601打印设备</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696F8C1">
            <w:pPr>
              <w:jc w:val="left"/>
              <w:rPr>
                <w:rFonts w:hint="eastAsia" w:ascii="黑体" w:hAnsi="黑体" w:eastAsia="黑体" w:cs="黑体"/>
                <w:w w:val="90"/>
                <w:szCs w:val="21"/>
              </w:rPr>
            </w:pPr>
            <w:r>
              <w:rPr>
                <w:rFonts w:hint="eastAsia" w:ascii="黑体" w:hAnsi="黑体" w:eastAsia="黑体" w:cs="黑体"/>
                <w:bCs/>
                <w:w w:val="90"/>
                <w:szCs w:val="21"/>
              </w:rPr>
              <w:t>A0201060101喷墨打印机</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8D1F8C7">
            <w:pPr>
              <w:jc w:val="left"/>
              <w:rPr>
                <w:rFonts w:hint="eastAsia" w:ascii="黑体" w:hAnsi="黑体" w:eastAsia="黑体" w:cs="黑体"/>
                <w:w w:val="90"/>
                <w:szCs w:val="21"/>
              </w:rPr>
            </w:pPr>
            <w:r>
              <w:rPr>
                <w:rFonts w:hint="eastAsia" w:ascii="黑体" w:hAnsi="黑体" w:eastAsia="黑体" w:cs="黑体"/>
                <w:w w:val="90"/>
                <w:szCs w:val="21"/>
              </w:rPr>
              <w:t>《复印机、打印机和传真机能效限定值及能效等级》（GB 21521）</w:t>
            </w:r>
          </w:p>
        </w:tc>
      </w:tr>
      <w:tr w14:paraId="1C9180F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6FD0A50">
            <w:pPr>
              <w:jc w:val="center"/>
              <w:rPr>
                <w:rFonts w:hint="eastAsia" w:ascii="黑体" w:hAnsi="黑体" w:eastAsia="黑体" w:cs="黑体"/>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48159F5">
            <w:pPr>
              <w:jc w:val="left"/>
              <w:rPr>
                <w:rFonts w:hint="eastAsia" w:ascii="黑体" w:hAnsi="黑体" w:eastAsia="黑体" w:cs="黑体"/>
                <w:w w:val="90"/>
                <w:szCs w:val="21"/>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164DD00">
            <w:pPr>
              <w:jc w:val="left"/>
              <w:rPr>
                <w:rFonts w:hint="eastAsia" w:ascii="黑体" w:hAnsi="黑体" w:eastAsia="黑体" w:cs="黑体"/>
                <w:w w:val="90"/>
                <w:szCs w:val="21"/>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57F3066">
            <w:pPr>
              <w:jc w:val="left"/>
              <w:rPr>
                <w:rFonts w:hint="eastAsia" w:ascii="黑体" w:hAnsi="黑体" w:eastAsia="黑体" w:cs="黑体"/>
                <w:w w:val="90"/>
                <w:szCs w:val="21"/>
              </w:rPr>
            </w:pPr>
            <w:r>
              <w:rPr>
                <w:rFonts w:hint="eastAsia" w:ascii="黑体" w:hAnsi="黑体" w:eastAsia="黑体" w:cs="黑体"/>
                <w:w w:val="90"/>
                <w:szCs w:val="21"/>
              </w:rPr>
              <w:t>★A0201060102激光打印机</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B70AC5F">
            <w:pPr>
              <w:jc w:val="left"/>
              <w:rPr>
                <w:rFonts w:hint="eastAsia" w:ascii="黑体" w:hAnsi="黑体" w:eastAsia="黑体" w:cs="黑体"/>
                <w:w w:val="90"/>
                <w:szCs w:val="21"/>
              </w:rPr>
            </w:pPr>
            <w:r>
              <w:rPr>
                <w:rFonts w:hint="eastAsia" w:ascii="黑体" w:hAnsi="黑体" w:eastAsia="黑体" w:cs="黑体"/>
                <w:w w:val="90"/>
                <w:szCs w:val="21"/>
              </w:rPr>
              <w:t>《复印机、打印机和传真机能效限定值及能效等级》（GB 21521）</w:t>
            </w:r>
          </w:p>
        </w:tc>
      </w:tr>
      <w:tr w14:paraId="72EA2F2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50D7660">
            <w:pPr>
              <w:jc w:val="center"/>
              <w:rPr>
                <w:rFonts w:hint="eastAsia" w:ascii="黑体" w:hAnsi="黑体" w:eastAsia="黑体" w:cs="黑体"/>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082F0E8">
            <w:pPr>
              <w:jc w:val="left"/>
              <w:rPr>
                <w:rFonts w:hint="eastAsia" w:ascii="黑体" w:hAnsi="黑体" w:eastAsia="黑体" w:cs="黑体"/>
                <w:w w:val="90"/>
                <w:szCs w:val="21"/>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A60B850">
            <w:pPr>
              <w:jc w:val="left"/>
              <w:rPr>
                <w:rFonts w:hint="eastAsia" w:ascii="黑体" w:hAnsi="黑体" w:eastAsia="黑体" w:cs="黑体"/>
                <w:w w:val="90"/>
                <w:szCs w:val="21"/>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B8BD291">
            <w:pPr>
              <w:jc w:val="left"/>
              <w:rPr>
                <w:rFonts w:hint="eastAsia" w:ascii="黑体" w:hAnsi="黑体" w:eastAsia="黑体" w:cs="黑体"/>
                <w:w w:val="90"/>
                <w:szCs w:val="21"/>
              </w:rPr>
            </w:pPr>
            <w:r>
              <w:rPr>
                <w:rFonts w:hint="eastAsia" w:ascii="黑体" w:hAnsi="黑体" w:eastAsia="黑体" w:cs="黑体"/>
                <w:w w:val="90"/>
                <w:szCs w:val="21"/>
              </w:rPr>
              <w:t>★A0201060104针式打印机</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E19E81A">
            <w:pPr>
              <w:jc w:val="left"/>
              <w:rPr>
                <w:rFonts w:hint="eastAsia" w:ascii="黑体" w:hAnsi="黑体" w:eastAsia="黑体" w:cs="黑体"/>
                <w:w w:val="90"/>
                <w:szCs w:val="21"/>
              </w:rPr>
            </w:pPr>
            <w:r>
              <w:rPr>
                <w:rFonts w:hint="eastAsia" w:ascii="黑体" w:hAnsi="黑体" w:eastAsia="黑体" w:cs="黑体"/>
                <w:w w:val="90"/>
                <w:szCs w:val="21"/>
              </w:rPr>
              <w:t>《复印机、打印机和传真机能效限定值及能效等级》（GB 21521）</w:t>
            </w:r>
          </w:p>
        </w:tc>
      </w:tr>
      <w:tr w14:paraId="15AC7AD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D1F8878">
            <w:pPr>
              <w:jc w:val="center"/>
              <w:rPr>
                <w:rFonts w:hint="eastAsia" w:ascii="黑体" w:hAnsi="黑体" w:eastAsia="黑体" w:cs="黑体"/>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DC317F8">
            <w:pPr>
              <w:jc w:val="left"/>
              <w:rPr>
                <w:rFonts w:hint="eastAsia" w:ascii="黑体" w:hAnsi="黑体" w:eastAsia="黑体" w:cs="黑体"/>
                <w:w w:val="90"/>
                <w:szCs w:val="21"/>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07B5DA9">
            <w:pPr>
              <w:jc w:val="left"/>
              <w:rPr>
                <w:rFonts w:hint="eastAsia" w:ascii="黑体" w:hAnsi="黑体" w:eastAsia="黑体" w:cs="黑体"/>
                <w:w w:val="90"/>
                <w:szCs w:val="21"/>
              </w:rPr>
            </w:pPr>
            <w:r>
              <w:rPr>
                <w:rFonts w:hint="eastAsia" w:ascii="黑体" w:hAnsi="黑体" w:eastAsia="黑体" w:cs="黑体"/>
                <w:w w:val="90"/>
                <w:szCs w:val="21"/>
              </w:rPr>
              <w:t>A02010604显示设备</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7C4EAB2">
            <w:pPr>
              <w:jc w:val="left"/>
              <w:rPr>
                <w:rFonts w:hint="eastAsia" w:ascii="黑体" w:hAnsi="黑体" w:eastAsia="黑体" w:cs="黑体"/>
                <w:w w:val="90"/>
                <w:szCs w:val="21"/>
              </w:rPr>
            </w:pPr>
            <w:r>
              <w:rPr>
                <w:rFonts w:hint="eastAsia" w:ascii="黑体" w:hAnsi="黑体" w:eastAsia="黑体" w:cs="黑体"/>
                <w:w w:val="90"/>
                <w:szCs w:val="21"/>
              </w:rPr>
              <w:t>★A0201060401液晶显示器</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86C8163">
            <w:pPr>
              <w:jc w:val="left"/>
              <w:rPr>
                <w:rFonts w:hint="eastAsia" w:ascii="黑体" w:hAnsi="黑体" w:eastAsia="黑体" w:cs="黑体"/>
                <w:w w:val="90"/>
                <w:szCs w:val="21"/>
              </w:rPr>
            </w:pPr>
            <w:r>
              <w:rPr>
                <w:rFonts w:hint="eastAsia" w:ascii="黑体" w:hAnsi="黑体" w:eastAsia="黑体" w:cs="黑体"/>
                <w:w w:val="90"/>
                <w:szCs w:val="21"/>
              </w:rPr>
              <w:t>《计算机显示器能效限定值及能效等级》（GB 21520）</w:t>
            </w:r>
          </w:p>
        </w:tc>
      </w:tr>
      <w:tr w14:paraId="67A6034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4F0AB8D">
            <w:pPr>
              <w:jc w:val="center"/>
              <w:rPr>
                <w:rFonts w:hint="eastAsia" w:ascii="黑体" w:hAnsi="黑体" w:eastAsia="黑体" w:cs="黑体"/>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FF1EADB">
            <w:pPr>
              <w:jc w:val="left"/>
              <w:rPr>
                <w:rFonts w:hint="eastAsia" w:ascii="黑体" w:hAnsi="黑体" w:eastAsia="黑体" w:cs="黑体"/>
                <w:w w:val="90"/>
                <w:szCs w:val="21"/>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ECBBAF6">
            <w:pPr>
              <w:jc w:val="left"/>
              <w:rPr>
                <w:rFonts w:hint="eastAsia" w:ascii="黑体" w:hAnsi="黑体" w:eastAsia="黑体" w:cs="黑体"/>
                <w:w w:val="90"/>
                <w:szCs w:val="21"/>
              </w:rPr>
            </w:pPr>
            <w:r>
              <w:rPr>
                <w:rFonts w:hint="eastAsia" w:ascii="黑体" w:hAnsi="黑体" w:eastAsia="黑体" w:cs="黑体"/>
                <w:w w:val="90"/>
                <w:szCs w:val="21"/>
              </w:rPr>
              <w:t>A02010609图形图像输入设备</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8D03C51">
            <w:pPr>
              <w:jc w:val="left"/>
              <w:rPr>
                <w:rFonts w:hint="eastAsia" w:ascii="黑体" w:hAnsi="黑体" w:eastAsia="黑体" w:cs="黑体"/>
                <w:w w:val="90"/>
                <w:szCs w:val="21"/>
              </w:rPr>
            </w:pPr>
            <w:r>
              <w:rPr>
                <w:rFonts w:hint="eastAsia" w:ascii="黑体" w:hAnsi="黑体" w:eastAsia="黑体" w:cs="黑体"/>
                <w:w w:val="90"/>
                <w:szCs w:val="21"/>
              </w:rPr>
              <w:t>A0201060901扫描仪</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7A6DE2B">
            <w:pPr>
              <w:jc w:val="left"/>
              <w:rPr>
                <w:rFonts w:hint="eastAsia" w:ascii="黑体" w:hAnsi="黑体" w:eastAsia="黑体" w:cs="黑体"/>
                <w:w w:val="90"/>
                <w:szCs w:val="21"/>
              </w:rPr>
            </w:pPr>
            <w:r>
              <w:rPr>
                <w:rFonts w:hint="eastAsia" w:ascii="黑体" w:hAnsi="黑体" w:eastAsia="黑体" w:cs="黑体"/>
                <w:w w:val="90"/>
                <w:szCs w:val="21"/>
              </w:rPr>
              <w:t>参照《复印机、打印机和传真机能效限定值及能效等级》（GB 21521中打印速度为 15 页/分的针式打印机相关要求</w:t>
            </w:r>
          </w:p>
        </w:tc>
      </w:tr>
      <w:tr w14:paraId="06D0218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6D92EC2">
            <w:pPr>
              <w:jc w:val="center"/>
              <w:rPr>
                <w:rFonts w:hint="eastAsia" w:ascii="黑体" w:hAnsi="黑体" w:eastAsia="黑体" w:cs="黑体"/>
                <w:w w:val="90"/>
                <w:szCs w:val="21"/>
              </w:rPr>
            </w:pPr>
            <w:r>
              <w:rPr>
                <w:rFonts w:hint="eastAsia" w:ascii="黑体" w:hAnsi="黑体" w:eastAsia="黑体" w:cs="黑体"/>
                <w:w w:val="90"/>
                <w:szCs w:val="21"/>
              </w:rPr>
              <w:t>3</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4E3B280">
            <w:pPr>
              <w:jc w:val="left"/>
              <w:rPr>
                <w:rFonts w:hint="eastAsia" w:ascii="黑体" w:hAnsi="黑体" w:eastAsia="黑体" w:cs="黑体"/>
                <w:w w:val="90"/>
                <w:szCs w:val="21"/>
              </w:rPr>
            </w:pPr>
            <w:r>
              <w:rPr>
                <w:rFonts w:hint="eastAsia" w:ascii="黑体" w:hAnsi="黑体" w:eastAsia="黑体" w:cs="黑体"/>
                <w:w w:val="90"/>
                <w:szCs w:val="21"/>
              </w:rPr>
              <w:t>A020202投影仪</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E43B32A">
            <w:pPr>
              <w:jc w:val="left"/>
              <w:rPr>
                <w:rFonts w:hint="eastAsia" w:ascii="黑体" w:hAnsi="黑体" w:eastAsia="黑体" w:cs="黑体"/>
                <w:w w:val="90"/>
                <w:szCs w:val="21"/>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63D23DB">
            <w:pPr>
              <w:jc w:val="center"/>
              <w:rPr>
                <w:rFonts w:hint="eastAsia" w:ascii="黑体" w:hAnsi="黑体" w:eastAsia="黑体" w:cs="黑体"/>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2955AFC">
            <w:pPr>
              <w:jc w:val="left"/>
              <w:rPr>
                <w:rFonts w:hint="eastAsia" w:ascii="黑体" w:hAnsi="黑体" w:eastAsia="黑体" w:cs="黑体"/>
                <w:w w:val="90"/>
                <w:szCs w:val="21"/>
              </w:rPr>
            </w:pPr>
            <w:r>
              <w:rPr>
                <w:rFonts w:hint="eastAsia" w:ascii="黑体" w:hAnsi="黑体" w:eastAsia="黑体" w:cs="黑体"/>
                <w:w w:val="90"/>
                <w:szCs w:val="21"/>
              </w:rPr>
              <w:t>《投影机能效限定值及能效等级（GB 32028）</w:t>
            </w:r>
          </w:p>
        </w:tc>
      </w:tr>
      <w:tr w14:paraId="7ECB2A9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9A329C8">
            <w:pPr>
              <w:jc w:val="center"/>
              <w:rPr>
                <w:rFonts w:hint="eastAsia" w:ascii="黑体" w:hAnsi="黑体" w:eastAsia="黑体" w:cs="黑体"/>
                <w:w w:val="90"/>
                <w:szCs w:val="21"/>
              </w:rPr>
            </w:pPr>
            <w:r>
              <w:rPr>
                <w:rFonts w:hint="eastAsia" w:ascii="黑体" w:hAnsi="黑体" w:eastAsia="黑体" w:cs="黑体"/>
                <w:w w:val="90"/>
                <w:szCs w:val="21"/>
              </w:rPr>
              <w:t>4</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386D386">
            <w:pPr>
              <w:jc w:val="left"/>
              <w:rPr>
                <w:rFonts w:hint="eastAsia" w:ascii="黑体" w:hAnsi="黑体" w:eastAsia="黑体" w:cs="黑体"/>
                <w:w w:val="90"/>
                <w:szCs w:val="21"/>
              </w:rPr>
            </w:pPr>
            <w:r>
              <w:rPr>
                <w:rFonts w:hint="eastAsia" w:ascii="黑体" w:hAnsi="黑体" w:eastAsia="黑体" w:cs="黑体"/>
                <w:w w:val="90"/>
                <w:szCs w:val="21"/>
              </w:rPr>
              <w:t>A020204352多功能一体机</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66D6483">
            <w:pPr>
              <w:jc w:val="left"/>
              <w:rPr>
                <w:rFonts w:hint="eastAsia" w:ascii="黑体" w:hAnsi="黑体" w:eastAsia="黑体" w:cs="黑体"/>
                <w:w w:val="90"/>
                <w:szCs w:val="21"/>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DB5F592">
            <w:pPr>
              <w:jc w:val="center"/>
              <w:rPr>
                <w:rFonts w:hint="eastAsia" w:ascii="黑体" w:hAnsi="黑体" w:eastAsia="黑体" w:cs="黑体"/>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89A9ECF">
            <w:pPr>
              <w:jc w:val="left"/>
              <w:rPr>
                <w:rFonts w:hint="eastAsia" w:ascii="黑体" w:hAnsi="黑体" w:eastAsia="黑体" w:cs="黑体"/>
                <w:w w:val="90"/>
                <w:szCs w:val="21"/>
              </w:rPr>
            </w:pPr>
            <w:r>
              <w:rPr>
                <w:rFonts w:hint="eastAsia" w:ascii="黑体" w:hAnsi="黑体" w:eastAsia="黑体" w:cs="黑体"/>
                <w:w w:val="90"/>
                <w:szCs w:val="21"/>
              </w:rPr>
              <w:t>《复印机、打印机和传真机能效限定值及能效等级》（GB 21521）</w:t>
            </w:r>
          </w:p>
        </w:tc>
      </w:tr>
      <w:tr w14:paraId="5AFDA6F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32DAFF5">
            <w:pPr>
              <w:jc w:val="center"/>
              <w:rPr>
                <w:rFonts w:hint="eastAsia" w:ascii="黑体" w:hAnsi="黑体" w:eastAsia="黑体" w:cs="黑体"/>
                <w:w w:val="90"/>
                <w:szCs w:val="21"/>
              </w:rPr>
            </w:pPr>
            <w:r>
              <w:rPr>
                <w:rFonts w:hint="eastAsia" w:ascii="黑体" w:hAnsi="黑体" w:eastAsia="黑体" w:cs="黑体"/>
                <w:w w:val="90"/>
                <w:szCs w:val="21"/>
              </w:rPr>
              <w:t>5</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AC42066">
            <w:pPr>
              <w:jc w:val="left"/>
              <w:rPr>
                <w:rFonts w:hint="eastAsia" w:ascii="黑体" w:hAnsi="黑体" w:eastAsia="黑体" w:cs="黑体"/>
                <w:w w:val="90"/>
                <w:szCs w:val="21"/>
              </w:rPr>
            </w:pPr>
            <w:r>
              <w:rPr>
                <w:rFonts w:hint="eastAsia" w:ascii="黑体" w:hAnsi="黑体" w:eastAsia="黑体" w:cs="黑体"/>
                <w:w w:val="90"/>
                <w:szCs w:val="21"/>
              </w:rPr>
              <w:t>A020519泵</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11BAD16">
            <w:pPr>
              <w:jc w:val="left"/>
              <w:rPr>
                <w:rFonts w:hint="eastAsia" w:ascii="黑体" w:hAnsi="黑体" w:eastAsia="黑体" w:cs="黑体"/>
                <w:w w:val="90"/>
                <w:szCs w:val="21"/>
              </w:rPr>
            </w:pPr>
            <w:r>
              <w:rPr>
                <w:rFonts w:hint="eastAsia" w:ascii="黑体" w:hAnsi="黑体" w:eastAsia="黑体" w:cs="黑体"/>
                <w:w w:val="90"/>
                <w:szCs w:val="21"/>
              </w:rPr>
              <w:t>A02051901离心泵</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DCC227F">
            <w:pPr>
              <w:jc w:val="center"/>
              <w:rPr>
                <w:rFonts w:hint="eastAsia" w:ascii="黑体" w:hAnsi="黑体" w:eastAsia="黑体" w:cs="黑体"/>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B544591">
            <w:pPr>
              <w:jc w:val="left"/>
              <w:rPr>
                <w:rFonts w:hint="eastAsia" w:ascii="黑体" w:hAnsi="黑体" w:eastAsia="黑体" w:cs="黑体"/>
                <w:w w:val="90"/>
                <w:szCs w:val="21"/>
              </w:rPr>
            </w:pPr>
            <w:r>
              <w:rPr>
                <w:rFonts w:hint="eastAsia" w:ascii="黑体" w:hAnsi="黑体" w:eastAsia="黑体" w:cs="黑体"/>
                <w:w w:val="90"/>
                <w:szCs w:val="21"/>
              </w:rPr>
              <w:t>《清水离心泵能效限定值及节能评价值》（GB 19762）</w:t>
            </w:r>
          </w:p>
        </w:tc>
      </w:tr>
      <w:tr w14:paraId="7531B51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4FFA282B">
            <w:pPr>
              <w:jc w:val="center"/>
              <w:rPr>
                <w:rFonts w:hint="eastAsia" w:ascii="黑体" w:hAnsi="黑体" w:eastAsia="黑体" w:cs="黑体"/>
                <w:w w:val="90"/>
                <w:szCs w:val="21"/>
              </w:rPr>
            </w:pPr>
            <w:r>
              <w:rPr>
                <w:rFonts w:hint="eastAsia" w:ascii="黑体" w:hAnsi="黑体" w:eastAsia="黑体" w:cs="黑体"/>
                <w:w w:val="90"/>
                <w:szCs w:val="21"/>
              </w:rPr>
              <w:t>6</w:t>
            </w:r>
          </w:p>
        </w:tc>
        <w:tc>
          <w:tcPr>
            <w:tcW w:w="972"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4AE3D170">
            <w:pPr>
              <w:jc w:val="left"/>
              <w:rPr>
                <w:rFonts w:hint="eastAsia" w:ascii="黑体" w:hAnsi="黑体" w:eastAsia="黑体" w:cs="黑体"/>
                <w:w w:val="90"/>
                <w:szCs w:val="21"/>
              </w:rPr>
            </w:pPr>
            <w:r>
              <w:rPr>
                <w:rFonts w:hint="eastAsia" w:ascii="黑体" w:hAnsi="黑体" w:eastAsia="黑体" w:cs="黑体"/>
                <w:w w:val="90"/>
                <w:szCs w:val="21"/>
              </w:rPr>
              <w:t>A020523制冷空调设备</w:t>
            </w:r>
          </w:p>
        </w:tc>
        <w:tc>
          <w:tcPr>
            <w:tcW w:w="1110"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20E68B08">
            <w:pPr>
              <w:jc w:val="left"/>
              <w:rPr>
                <w:rFonts w:hint="eastAsia" w:ascii="黑体" w:hAnsi="黑体" w:eastAsia="黑体" w:cs="黑体"/>
                <w:w w:val="90"/>
                <w:szCs w:val="21"/>
              </w:rPr>
            </w:pPr>
            <w:r>
              <w:rPr>
                <w:rFonts w:hint="eastAsia" w:ascii="黑体" w:hAnsi="黑体" w:eastAsia="黑体" w:cs="黑体"/>
                <w:w w:val="90"/>
                <w:szCs w:val="21"/>
              </w:rPr>
              <w:t>★A02052301制冷压缩机</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7708779">
            <w:pPr>
              <w:jc w:val="left"/>
              <w:rPr>
                <w:rFonts w:hint="eastAsia" w:ascii="黑体" w:hAnsi="黑体" w:eastAsia="黑体" w:cs="黑体"/>
                <w:w w:val="90"/>
                <w:szCs w:val="21"/>
              </w:rPr>
            </w:pPr>
            <w:r>
              <w:rPr>
                <w:rFonts w:hint="eastAsia" w:ascii="黑体" w:hAnsi="黑体" w:eastAsia="黑体" w:cs="黑体"/>
                <w:w w:val="90"/>
                <w:szCs w:val="21"/>
              </w:rPr>
              <w:t>冷水机组</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30A176E">
            <w:pPr>
              <w:jc w:val="left"/>
              <w:rPr>
                <w:rFonts w:hint="eastAsia" w:ascii="黑体" w:hAnsi="黑体" w:eastAsia="黑体" w:cs="黑体"/>
                <w:w w:val="90"/>
                <w:szCs w:val="21"/>
              </w:rPr>
            </w:pPr>
            <w:r>
              <w:rPr>
                <w:rFonts w:hint="eastAsia" w:ascii="黑体" w:hAnsi="黑体" w:eastAsia="黑体" w:cs="黑体"/>
                <w:w w:val="90"/>
                <w:szCs w:val="21"/>
              </w:rPr>
              <w:t>《冷水机组能效限定值及能效等级》（GB 19577），《低环境温度空气源热泵（冷水）机组能效限定值及能效等级》（GB 37480）</w:t>
            </w:r>
          </w:p>
        </w:tc>
      </w:tr>
      <w:tr w14:paraId="23CDA1B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EFC52C7">
            <w:pPr>
              <w:jc w:val="center"/>
              <w:rPr>
                <w:rFonts w:hint="eastAsia" w:ascii="黑体" w:hAnsi="黑体" w:eastAsia="黑体" w:cs="黑体"/>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1004AAE">
            <w:pPr>
              <w:jc w:val="left"/>
              <w:rPr>
                <w:rFonts w:hint="eastAsia" w:ascii="黑体" w:hAnsi="黑体" w:eastAsia="黑体" w:cs="黑体"/>
                <w:w w:val="90"/>
                <w:szCs w:val="21"/>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33D9309">
            <w:pPr>
              <w:jc w:val="left"/>
              <w:rPr>
                <w:rFonts w:hint="eastAsia" w:ascii="黑体" w:hAnsi="黑体" w:eastAsia="黑体" w:cs="黑体"/>
                <w:w w:val="90"/>
                <w:szCs w:val="21"/>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C3E7EFC">
            <w:pPr>
              <w:jc w:val="left"/>
              <w:rPr>
                <w:rFonts w:hint="eastAsia" w:ascii="黑体" w:hAnsi="黑体" w:eastAsia="黑体" w:cs="黑体"/>
                <w:w w:val="90"/>
                <w:szCs w:val="21"/>
              </w:rPr>
            </w:pPr>
            <w:r>
              <w:rPr>
                <w:rFonts w:hint="eastAsia" w:ascii="黑体" w:hAnsi="黑体" w:eastAsia="黑体" w:cs="黑体"/>
                <w:w w:val="90"/>
                <w:szCs w:val="21"/>
              </w:rPr>
              <w:t>水源热泵机组</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49A7029">
            <w:pPr>
              <w:jc w:val="left"/>
              <w:rPr>
                <w:rFonts w:hint="eastAsia" w:ascii="黑体" w:hAnsi="黑体" w:eastAsia="黑体" w:cs="黑体"/>
                <w:w w:val="90"/>
                <w:szCs w:val="21"/>
              </w:rPr>
            </w:pPr>
            <w:r>
              <w:rPr>
                <w:rFonts w:hint="eastAsia" w:ascii="黑体" w:hAnsi="黑体" w:eastAsia="黑体" w:cs="黑体"/>
                <w:w w:val="90"/>
                <w:szCs w:val="21"/>
              </w:rPr>
              <w:t>《水（地）源热泵机组能效限定值及能效等级》（GB 30721）</w:t>
            </w:r>
          </w:p>
        </w:tc>
      </w:tr>
      <w:tr w14:paraId="38733DB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2C10A79">
            <w:pPr>
              <w:jc w:val="center"/>
              <w:rPr>
                <w:rFonts w:hint="eastAsia" w:ascii="黑体" w:hAnsi="黑体" w:eastAsia="黑体" w:cs="黑体"/>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2BB9182">
            <w:pPr>
              <w:jc w:val="left"/>
              <w:rPr>
                <w:rFonts w:hint="eastAsia" w:ascii="黑体" w:hAnsi="黑体" w:eastAsia="黑体" w:cs="黑体"/>
                <w:w w:val="90"/>
                <w:szCs w:val="21"/>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0CA01FD">
            <w:pPr>
              <w:jc w:val="left"/>
              <w:rPr>
                <w:rFonts w:hint="eastAsia" w:ascii="黑体" w:hAnsi="黑体" w:eastAsia="黑体" w:cs="黑体"/>
                <w:w w:val="90"/>
                <w:szCs w:val="21"/>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0BB37F9">
            <w:pPr>
              <w:jc w:val="left"/>
              <w:rPr>
                <w:rFonts w:hint="eastAsia" w:ascii="黑体" w:hAnsi="黑体" w:eastAsia="黑体" w:cs="黑体"/>
                <w:w w:val="90"/>
                <w:szCs w:val="21"/>
              </w:rPr>
            </w:pPr>
            <w:r>
              <w:rPr>
                <w:rFonts w:hint="eastAsia" w:ascii="黑体" w:hAnsi="黑体" w:eastAsia="黑体" w:cs="黑体"/>
                <w:w w:val="90"/>
                <w:szCs w:val="21"/>
              </w:rPr>
              <w:t>溴化锂吸收式冷水机组</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95F4F54">
            <w:pPr>
              <w:jc w:val="left"/>
              <w:rPr>
                <w:rFonts w:hint="eastAsia" w:ascii="黑体" w:hAnsi="黑体" w:eastAsia="黑体" w:cs="黑体"/>
                <w:w w:val="90"/>
                <w:szCs w:val="21"/>
              </w:rPr>
            </w:pPr>
            <w:r>
              <w:rPr>
                <w:rFonts w:hint="eastAsia" w:ascii="黑体" w:hAnsi="黑体" w:eastAsia="黑体" w:cs="黑体"/>
                <w:w w:val="90"/>
                <w:szCs w:val="21"/>
              </w:rPr>
              <w:t>《溴化锂吸收式冷水机组能效限定值及能效等级》（GB 29540）</w:t>
            </w:r>
          </w:p>
        </w:tc>
      </w:tr>
      <w:tr w14:paraId="5A9AA28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813FE35">
            <w:pPr>
              <w:jc w:val="center"/>
              <w:rPr>
                <w:rFonts w:hint="eastAsia" w:ascii="黑体" w:hAnsi="黑体" w:eastAsia="黑体" w:cs="黑体"/>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20C17D5">
            <w:pPr>
              <w:jc w:val="left"/>
              <w:rPr>
                <w:rFonts w:hint="eastAsia" w:ascii="黑体" w:hAnsi="黑体" w:eastAsia="黑体" w:cs="黑体"/>
                <w:w w:val="90"/>
                <w:szCs w:val="21"/>
              </w:rPr>
            </w:pPr>
          </w:p>
        </w:tc>
        <w:tc>
          <w:tcPr>
            <w:tcW w:w="1110"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54FB4BC0">
            <w:pPr>
              <w:jc w:val="left"/>
              <w:rPr>
                <w:rFonts w:hint="eastAsia" w:ascii="黑体" w:hAnsi="黑体" w:eastAsia="黑体" w:cs="黑体"/>
                <w:w w:val="90"/>
                <w:szCs w:val="21"/>
              </w:rPr>
            </w:pPr>
            <w:r>
              <w:rPr>
                <w:rFonts w:hint="eastAsia" w:ascii="黑体" w:hAnsi="黑体" w:eastAsia="黑体" w:cs="黑体"/>
                <w:w w:val="90"/>
                <w:szCs w:val="21"/>
              </w:rPr>
              <w:t>★A02052305空调机组</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795EAE1">
            <w:pPr>
              <w:jc w:val="left"/>
              <w:rPr>
                <w:rFonts w:hint="eastAsia" w:ascii="黑体" w:hAnsi="黑体" w:eastAsia="黑体" w:cs="黑体"/>
                <w:w w:val="90"/>
                <w:szCs w:val="21"/>
              </w:rPr>
            </w:pPr>
            <w:r>
              <w:rPr>
                <w:rFonts w:hint="eastAsia" w:ascii="黑体" w:hAnsi="黑体" w:eastAsia="黑体" w:cs="黑体"/>
                <w:w w:val="90"/>
                <w:szCs w:val="21"/>
              </w:rPr>
              <w:t>多联式空调（热泵）机组(制冷量&gt;14000W)</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D608351">
            <w:pPr>
              <w:jc w:val="left"/>
              <w:rPr>
                <w:rFonts w:hint="eastAsia" w:ascii="黑体" w:hAnsi="黑体" w:eastAsia="黑体" w:cs="黑体"/>
                <w:w w:val="90"/>
                <w:szCs w:val="21"/>
              </w:rPr>
            </w:pPr>
            <w:r>
              <w:rPr>
                <w:rFonts w:hint="eastAsia" w:ascii="黑体" w:hAnsi="黑体" w:eastAsia="黑体" w:cs="黑体"/>
                <w:w w:val="90"/>
                <w:szCs w:val="21"/>
              </w:rPr>
              <w:t>《多联式空调（热泵）机组能效限定值及能源效率等级》（GB 21454）</w:t>
            </w:r>
          </w:p>
        </w:tc>
      </w:tr>
      <w:tr w14:paraId="3169B07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958EDCD">
            <w:pPr>
              <w:jc w:val="center"/>
              <w:rPr>
                <w:rFonts w:hint="eastAsia" w:ascii="黑体" w:hAnsi="黑体" w:eastAsia="黑体" w:cs="黑体"/>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3A7C17D">
            <w:pPr>
              <w:jc w:val="left"/>
              <w:rPr>
                <w:rFonts w:hint="eastAsia" w:ascii="黑体" w:hAnsi="黑体" w:eastAsia="黑体" w:cs="黑体"/>
                <w:w w:val="90"/>
                <w:szCs w:val="21"/>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5B6C788">
            <w:pPr>
              <w:jc w:val="left"/>
              <w:rPr>
                <w:rFonts w:hint="eastAsia" w:ascii="黑体" w:hAnsi="黑体" w:eastAsia="黑体" w:cs="黑体"/>
                <w:w w:val="90"/>
                <w:szCs w:val="21"/>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0116E32">
            <w:pPr>
              <w:jc w:val="left"/>
              <w:rPr>
                <w:rFonts w:hint="eastAsia" w:ascii="黑体" w:hAnsi="黑体" w:eastAsia="黑体" w:cs="黑体"/>
                <w:w w:val="90"/>
                <w:szCs w:val="21"/>
              </w:rPr>
            </w:pPr>
            <w:r>
              <w:rPr>
                <w:rFonts w:hint="eastAsia" w:ascii="黑体" w:hAnsi="黑体" w:eastAsia="黑体" w:cs="黑体"/>
                <w:w w:val="90"/>
                <w:szCs w:val="21"/>
              </w:rPr>
              <w:t>单元式空气调节机(制冷量&gt;14000W)</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7BD3A12">
            <w:pPr>
              <w:jc w:val="left"/>
              <w:rPr>
                <w:rFonts w:hint="eastAsia" w:ascii="黑体" w:hAnsi="黑体" w:eastAsia="黑体" w:cs="黑体"/>
                <w:w w:val="90"/>
                <w:szCs w:val="21"/>
              </w:rPr>
            </w:pPr>
            <w:r>
              <w:rPr>
                <w:rFonts w:hint="eastAsia" w:ascii="黑体" w:hAnsi="黑体" w:eastAsia="黑体" w:cs="黑体"/>
                <w:w w:val="90"/>
                <w:szCs w:val="21"/>
              </w:rPr>
              <w:t>《单元式空气调节机能效限定值及能效等级》（GB 19576）《风管送风式空调机组能效限定值及能效等级》（GB 37479）</w:t>
            </w:r>
          </w:p>
        </w:tc>
      </w:tr>
      <w:tr w14:paraId="3106B5D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EA281BE">
            <w:pPr>
              <w:jc w:val="center"/>
              <w:rPr>
                <w:rFonts w:hint="eastAsia" w:ascii="黑体" w:hAnsi="黑体" w:eastAsia="黑体" w:cs="黑体"/>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B5833AE">
            <w:pPr>
              <w:jc w:val="left"/>
              <w:rPr>
                <w:rFonts w:hint="eastAsia" w:ascii="黑体" w:hAnsi="黑体" w:eastAsia="黑体" w:cs="黑体"/>
                <w:w w:val="90"/>
                <w:szCs w:val="21"/>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1C39C5E">
            <w:pPr>
              <w:jc w:val="left"/>
              <w:rPr>
                <w:rFonts w:hint="eastAsia" w:ascii="黑体" w:hAnsi="黑体" w:eastAsia="黑体" w:cs="黑体"/>
                <w:w w:val="90"/>
                <w:szCs w:val="21"/>
              </w:rPr>
            </w:pPr>
            <w:r>
              <w:rPr>
                <w:rFonts w:hint="eastAsia" w:ascii="黑体" w:hAnsi="黑体" w:eastAsia="黑体" w:cs="黑体"/>
                <w:w w:val="90"/>
                <w:szCs w:val="21"/>
              </w:rPr>
              <w:t>★A02052309专用制冷、空调设备</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85262E4">
            <w:pPr>
              <w:jc w:val="left"/>
              <w:rPr>
                <w:rFonts w:hint="eastAsia" w:ascii="黑体" w:hAnsi="黑体" w:eastAsia="黑体" w:cs="黑体"/>
                <w:w w:val="90"/>
                <w:szCs w:val="21"/>
              </w:rPr>
            </w:pPr>
            <w:r>
              <w:rPr>
                <w:rFonts w:hint="eastAsia" w:ascii="黑体" w:hAnsi="黑体" w:eastAsia="黑体" w:cs="黑体"/>
                <w:w w:val="90"/>
                <w:szCs w:val="21"/>
              </w:rPr>
              <w:t>机房空调</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BA8AD22">
            <w:pPr>
              <w:jc w:val="left"/>
              <w:rPr>
                <w:rFonts w:hint="eastAsia" w:ascii="黑体" w:hAnsi="黑体" w:eastAsia="黑体" w:cs="黑体"/>
                <w:w w:val="90"/>
                <w:szCs w:val="21"/>
              </w:rPr>
            </w:pPr>
            <w:r>
              <w:rPr>
                <w:rFonts w:hint="eastAsia" w:ascii="黑体" w:hAnsi="黑体" w:eastAsia="黑体" w:cs="黑体"/>
                <w:w w:val="90"/>
                <w:szCs w:val="21"/>
              </w:rPr>
              <w:t>《单元式空气调节机能效限定值及能效等级》（GB 19576）</w:t>
            </w:r>
          </w:p>
        </w:tc>
      </w:tr>
      <w:tr w14:paraId="593F745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97AAD54">
            <w:pPr>
              <w:jc w:val="center"/>
              <w:rPr>
                <w:rFonts w:hint="eastAsia" w:ascii="黑体" w:hAnsi="黑体" w:eastAsia="黑体" w:cs="黑体"/>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2586082">
            <w:pPr>
              <w:jc w:val="left"/>
              <w:rPr>
                <w:rFonts w:hint="eastAsia" w:ascii="黑体" w:hAnsi="黑体" w:eastAsia="黑体" w:cs="黑体"/>
                <w:w w:val="90"/>
                <w:szCs w:val="21"/>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37B31C5">
            <w:pPr>
              <w:jc w:val="left"/>
              <w:rPr>
                <w:rFonts w:hint="eastAsia" w:ascii="黑体" w:hAnsi="黑体" w:eastAsia="黑体" w:cs="黑体"/>
                <w:w w:val="90"/>
                <w:szCs w:val="21"/>
              </w:rPr>
            </w:pPr>
            <w:r>
              <w:rPr>
                <w:rFonts w:hint="eastAsia" w:ascii="黑体" w:hAnsi="黑体" w:eastAsia="黑体" w:cs="黑体"/>
                <w:w w:val="90"/>
                <w:szCs w:val="21"/>
              </w:rPr>
              <w:t>A02052399其他制冷空调设备</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831248A">
            <w:pPr>
              <w:jc w:val="left"/>
              <w:rPr>
                <w:rFonts w:hint="eastAsia" w:ascii="黑体" w:hAnsi="黑体" w:eastAsia="黑体" w:cs="黑体"/>
                <w:w w:val="90"/>
                <w:szCs w:val="21"/>
              </w:rPr>
            </w:pPr>
            <w:r>
              <w:rPr>
                <w:rFonts w:hint="eastAsia" w:ascii="黑体" w:hAnsi="黑体" w:eastAsia="黑体" w:cs="黑体"/>
                <w:w w:val="90"/>
                <w:szCs w:val="21"/>
              </w:rPr>
              <w:t>冷却塔</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0539109">
            <w:pPr>
              <w:jc w:val="left"/>
              <w:rPr>
                <w:rFonts w:hint="eastAsia" w:ascii="黑体" w:hAnsi="黑体" w:eastAsia="黑体" w:cs="黑体"/>
                <w:w w:val="90"/>
                <w:szCs w:val="21"/>
              </w:rPr>
            </w:pPr>
            <w:r>
              <w:rPr>
                <w:rFonts w:hint="eastAsia" w:ascii="黑体" w:hAnsi="黑体" w:eastAsia="黑体" w:cs="黑体"/>
                <w:w w:val="90"/>
                <w:szCs w:val="21"/>
              </w:rPr>
              <w:t>《机械通风冷却塔 第 1 部分：中小型开式冷却塔》（GB/T 7190.1）</w:t>
            </w:r>
          </w:p>
          <w:p w14:paraId="10EFC403">
            <w:pPr>
              <w:jc w:val="left"/>
              <w:rPr>
                <w:rFonts w:hint="eastAsia" w:ascii="黑体" w:hAnsi="黑体" w:eastAsia="黑体" w:cs="黑体"/>
                <w:w w:val="90"/>
                <w:szCs w:val="21"/>
              </w:rPr>
            </w:pPr>
            <w:r>
              <w:rPr>
                <w:rFonts w:hint="eastAsia" w:ascii="黑体" w:hAnsi="黑体" w:eastAsia="黑体" w:cs="黑体"/>
                <w:w w:val="90"/>
                <w:szCs w:val="21"/>
              </w:rPr>
              <w:t>《机械通风冷却塔 第 2 部分：大型开式冷却塔》（GB/T 7190.2）</w:t>
            </w:r>
          </w:p>
        </w:tc>
      </w:tr>
      <w:tr w14:paraId="5D1C35B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25F11DB">
            <w:pPr>
              <w:jc w:val="center"/>
              <w:rPr>
                <w:rFonts w:hint="eastAsia" w:ascii="黑体" w:hAnsi="黑体" w:eastAsia="黑体" w:cs="黑体"/>
                <w:w w:val="90"/>
                <w:szCs w:val="21"/>
              </w:rPr>
            </w:pPr>
            <w:r>
              <w:rPr>
                <w:rFonts w:hint="eastAsia" w:ascii="黑体" w:hAnsi="黑体" w:eastAsia="黑体" w:cs="黑体"/>
                <w:w w:val="90"/>
                <w:szCs w:val="21"/>
              </w:rPr>
              <w:t>7</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43D001C">
            <w:pPr>
              <w:jc w:val="left"/>
              <w:rPr>
                <w:rFonts w:hint="eastAsia" w:ascii="黑体" w:hAnsi="黑体" w:eastAsia="黑体" w:cs="黑体"/>
                <w:w w:val="90"/>
                <w:szCs w:val="21"/>
              </w:rPr>
            </w:pPr>
            <w:r>
              <w:rPr>
                <w:rFonts w:hint="eastAsia" w:ascii="黑体" w:hAnsi="黑体" w:eastAsia="黑体" w:cs="黑体"/>
                <w:w w:val="90"/>
                <w:szCs w:val="21"/>
              </w:rPr>
              <w:t>A020601电机</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33A0E42">
            <w:pPr>
              <w:jc w:val="left"/>
              <w:rPr>
                <w:rFonts w:hint="eastAsia" w:ascii="黑体" w:hAnsi="黑体" w:eastAsia="黑体" w:cs="黑体"/>
                <w:w w:val="90"/>
                <w:szCs w:val="21"/>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541DCE3">
            <w:pPr>
              <w:jc w:val="center"/>
              <w:rPr>
                <w:rFonts w:hint="eastAsia" w:ascii="黑体" w:hAnsi="黑体" w:eastAsia="黑体" w:cs="黑体"/>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AC39AF4">
            <w:pPr>
              <w:jc w:val="left"/>
              <w:rPr>
                <w:rFonts w:hint="eastAsia" w:ascii="黑体" w:hAnsi="黑体" w:eastAsia="黑体" w:cs="黑体"/>
                <w:w w:val="90"/>
                <w:szCs w:val="21"/>
              </w:rPr>
            </w:pPr>
            <w:r>
              <w:rPr>
                <w:rFonts w:hint="eastAsia" w:ascii="黑体" w:hAnsi="黑体" w:eastAsia="黑体" w:cs="黑体"/>
                <w:w w:val="90"/>
                <w:szCs w:val="21"/>
              </w:rPr>
              <w:t>《中小型三相异步电动机能效限定值及能效等级》（GB 18613）</w:t>
            </w:r>
          </w:p>
        </w:tc>
      </w:tr>
      <w:tr w14:paraId="4DBAF07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E468F38">
            <w:pPr>
              <w:jc w:val="center"/>
              <w:rPr>
                <w:rFonts w:hint="eastAsia" w:ascii="黑体" w:hAnsi="黑体" w:eastAsia="黑体" w:cs="黑体"/>
                <w:w w:val="90"/>
                <w:szCs w:val="21"/>
              </w:rPr>
            </w:pPr>
            <w:r>
              <w:rPr>
                <w:rFonts w:hint="eastAsia" w:ascii="黑体" w:hAnsi="黑体" w:eastAsia="黑体" w:cs="黑体"/>
                <w:w w:val="90"/>
                <w:szCs w:val="21"/>
              </w:rPr>
              <w:t>8</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3F11EFA">
            <w:pPr>
              <w:jc w:val="left"/>
              <w:rPr>
                <w:rFonts w:hint="eastAsia" w:ascii="黑体" w:hAnsi="黑体" w:eastAsia="黑体" w:cs="黑体"/>
                <w:w w:val="90"/>
                <w:szCs w:val="21"/>
              </w:rPr>
            </w:pPr>
            <w:r>
              <w:rPr>
                <w:rFonts w:hint="eastAsia" w:ascii="黑体" w:hAnsi="黑体" w:eastAsia="黑体" w:cs="黑体"/>
                <w:w w:val="90"/>
                <w:szCs w:val="21"/>
              </w:rPr>
              <w:t>A020602变压器</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43E292D">
            <w:pPr>
              <w:jc w:val="left"/>
              <w:rPr>
                <w:rFonts w:hint="eastAsia" w:ascii="黑体" w:hAnsi="黑体" w:eastAsia="黑体" w:cs="黑体"/>
                <w:w w:val="90"/>
                <w:szCs w:val="21"/>
              </w:rPr>
            </w:pPr>
            <w:r>
              <w:rPr>
                <w:rFonts w:hint="eastAsia" w:ascii="黑体" w:hAnsi="黑体" w:eastAsia="黑体" w:cs="黑体"/>
                <w:w w:val="90"/>
                <w:szCs w:val="21"/>
              </w:rPr>
              <w:t>配电变压器</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FBE5A57">
            <w:pPr>
              <w:jc w:val="center"/>
              <w:rPr>
                <w:rFonts w:hint="eastAsia" w:ascii="黑体" w:hAnsi="黑体" w:eastAsia="黑体" w:cs="黑体"/>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49CC83F">
            <w:pPr>
              <w:jc w:val="left"/>
              <w:rPr>
                <w:rFonts w:hint="eastAsia" w:ascii="黑体" w:hAnsi="黑体" w:eastAsia="黑体" w:cs="黑体"/>
                <w:w w:val="90"/>
                <w:szCs w:val="21"/>
              </w:rPr>
            </w:pPr>
            <w:r>
              <w:rPr>
                <w:rFonts w:hint="eastAsia" w:ascii="黑体" w:hAnsi="黑体" w:eastAsia="黑体" w:cs="黑体"/>
                <w:w w:val="90"/>
                <w:szCs w:val="21"/>
              </w:rPr>
              <w:t>《三相配电变压器能效限定值及能效等级》（GB 20052）</w:t>
            </w:r>
          </w:p>
        </w:tc>
      </w:tr>
      <w:tr w14:paraId="0E7F57C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7A85F20">
            <w:pPr>
              <w:jc w:val="center"/>
              <w:rPr>
                <w:rFonts w:hint="eastAsia" w:ascii="黑体" w:hAnsi="黑体" w:eastAsia="黑体" w:cs="黑体"/>
                <w:w w:val="90"/>
                <w:szCs w:val="21"/>
              </w:rPr>
            </w:pPr>
            <w:r>
              <w:rPr>
                <w:rFonts w:hint="eastAsia" w:ascii="黑体" w:hAnsi="黑体" w:eastAsia="黑体" w:cs="黑体"/>
                <w:w w:val="90"/>
                <w:szCs w:val="21"/>
              </w:rPr>
              <w:t>9</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1560A32">
            <w:pPr>
              <w:jc w:val="left"/>
              <w:rPr>
                <w:rFonts w:hint="eastAsia" w:ascii="黑体" w:hAnsi="黑体" w:eastAsia="黑体" w:cs="黑体"/>
                <w:w w:val="90"/>
                <w:szCs w:val="21"/>
              </w:rPr>
            </w:pPr>
            <w:r>
              <w:rPr>
                <w:rFonts w:hint="eastAsia" w:ascii="黑体" w:hAnsi="黑体" w:eastAsia="黑体" w:cs="黑体"/>
                <w:w w:val="90"/>
                <w:szCs w:val="21"/>
              </w:rPr>
              <w:t>★A020609镇流器</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CD1E326">
            <w:pPr>
              <w:jc w:val="left"/>
              <w:rPr>
                <w:rFonts w:hint="eastAsia" w:ascii="黑体" w:hAnsi="黑体" w:eastAsia="黑体" w:cs="黑体"/>
                <w:w w:val="90"/>
                <w:szCs w:val="21"/>
              </w:rPr>
            </w:pPr>
            <w:r>
              <w:rPr>
                <w:rFonts w:hint="eastAsia" w:ascii="黑体" w:hAnsi="黑体" w:eastAsia="黑体" w:cs="黑体"/>
                <w:w w:val="90"/>
                <w:szCs w:val="21"/>
              </w:rPr>
              <w:t>管型荧光灯镇流器</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B04117B">
            <w:pPr>
              <w:jc w:val="center"/>
              <w:rPr>
                <w:rFonts w:hint="eastAsia" w:ascii="黑体" w:hAnsi="黑体" w:eastAsia="黑体" w:cs="黑体"/>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61F6C01">
            <w:pPr>
              <w:jc w:val="left"/>
              <w:rPr>
                <w:rFonts w:hint="eastAsia" w:ascii="黑体" w:hAnsi="黑体" w:eastAsia="黑体" w:cs="黑体"/>
                <w:w w:val="90"/>
                <w:szCs w:val="21"/>
              </w:rPr>
            </w:pPr>
            <w:r>
              <w:rPr>
                <w:rFonts w:hint="eastAsia" w:ascii="黑体" w:hAnsi="黑体" w:eastAsia="黑体" w:cs="黑体"/>
                <w:w w:val="90"/>
                <w:szCs w:val="21"/>
              </w:rPr>
              <w:t>《管形荧光灯镇流器能效限定值及能效等级》（GB 17896）</w:t>
            </w:r>
          </w:p>
        </w:tc>
      </w:tr>
      <w:tr w14:paraId="1C02622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465738F8">
            <w:pPr>
              <w:jc w:val="center"/>
              <w:rPr>
                <w:rFonts w:hint="eastAsia" w:ascii="黑体" w:hAnsi="黑体" w:eastAsia="黑体" w:cs="黑体"/>
                <w:w w:val="90"/>
                <w:szCs w:val="21"/>
              </w:rPr>
            </w:pPr>
            <w:r>
              <w:rPr>
                <w:rFonts w:hint="eastAsia" w:ascii="黑体" w:hAnsi="黑体" w:eastAsia="黑体" w:cs="黑体"/>
                <w:w w:val="90"/>
                <w:szCs w:val="21"/>
              </w:rPr>
              <w:t>10</w:t>
            </w:r>
          </w:p>
        </w:tc>
        <w:tc>
          <w:tcPr>
            <w:tcW w:w="972"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1B316D78">
            <w:pPr>
              <w:jc w:val="left"/>
              <w:rPr>
                <w:rFonts w:hint="eastAsia" w:ascii="黑体" w:hAnsi="黑体" w:eastAsia="黑体" w:cs="黑体"/>
                <w:w w:val="90"/>
                <w:szCs w:val="21"/>
              </w:rPr>
            </w:pPr>
            <w:r>
              <w:rPr>
                <w:rFonts w:hint="eastAsia" w:ascii="黑体" w:hAnsi="黑体" w:eastAsia="黑体" w:cs="黑体"/>
                <w:w w:val="90"/>
                <w:szCs w:val="21"/>
              </w:rPr>
              <w:t>A020618 生活用电器</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241533C">
            <w:pPr>
              <w:jc w:val="left"/>
              <w:rPr>
                <w:rFonts w:hint="eastAsia" w:ascii="黑体" w:hAnsi="黑体" w:eastAsia="黑体" w:cs="黑体"/>
                <w:w w:val="90"/>
                <w:szCs w:val="21"/>
              </w:rPr>
            </w:pPr>
            <w:r>
              <w:rPr>
                <w:rFonts w:hint="eastAsia" w:ascii="黑体" w:hAnsi="黑体" w:eastAsia="黑体" w:cs="黑体"/>
                <w:w w:val="90"/>
                <w:szCs w:val="21"/>
              </w:rPr>
              <w:t>A0206180101电冰箱</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F22F8F1">
            <w:pPr>
              <w:jc w:val="center"/>
              <w:rPr>
                <w:rFonts w:hint="eastAsia" w:ascii="黑体" w:hAnsi="黑体" w:eastAsia="黑体" w:cs="黑体"/>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BB50EB7">
            <w:pPr>
              <w:jc w:val="left"/>
              <w:rPr>
                <w:rFonts w:hint="eastAsia" w:ascii="黑体" w:hAnsi="黑体" w:eastAsia="黑体" w:cs="黑体"/>
                <w:w w:val="90"/>
                <w:szCs w:val="21"/>
              </w:rPr>
            </w:pPr>
            <w:r>
              <w:rPr>
                <w:rFonts w:hint="eastAsia" w:ascii="黑体" w:hAnsi="黑体" w:eastAsia="黑体" w:cs="黑体"/>
                <w:w w:val="90"/>
                <w:szCs w:val="21"/>
              </w:rPr>
              <w:t>《家用电冰箱耗电量限定值及能效等级》（GB</w:t>
            </w:r>
            <w:r>
              <w:rPr>
                <w:rFonts w:hint="eastAsia" w:ascii="黑体" w:hAnsi="黑体" w:eastAsia="黑体" w:cs="黑体"/>
                <w:w w:val="90"/>
                <w:szCs w:val="21"/>
              </w:rPr>
              <w:tab/>
            </w:r>
            <w:r>
              <w:rPr>
                <w:rFonts w:hint="eastAsia" w:ascii="黑体" w:hAnsi="黑体" w:eastAsia="黑体" w:cs="黑体"/>
                <w:w w:val="90"/>
                <w:szCs w:val="21"/>
              </w:rPr>
              <w:t>12021.2）</w:t>
            </w:r>
          </w:p>
        </w:tc>
      </w:tr>
      <w:tr w14:paraId="6A637B3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27CBD73">
            <w:pPr>
              <w:jc w:val="center"/>
              <w:rPr>
                <w:rFonts w:hint="eastAsia" w:ascii="黑体" w:hAnsi="黑体" w:eastAsia="黑体" w:cs="黑体"/>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67CB69A">
            <w:pPr>
              <w:jc w:val="left"/>
              <w:rPr>
                <w:rFonts w:hint="eastAsia" w:ascii="黑体" w:hAnsi="黑体" w:eastAsia="黑体" w:cs="黑体"/>
                <w:w w:val="90"/>
                <w:szCs w:val="21"/>
              </w:rPr>
            </w:pPr>
          </w:p>
        </w:tc>
        <w:tc>
          <w:tcPr>
            <w:tcW w:w="1110"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1975F2E9">
            <w:pPr>
              <w:jc w:val="left"/>
              <w:rPr>
                <w:rFonts w:hint="eastAsia" w:ascii="黑体" w:hAnsi="黑体" w:eastAsia="黑体" w:cs="黑体"/>
                <w:w w:val="90"/>
                <w:szCs w:val="21"/>
              </w:rPr>
            </w:pPr>
            <w:r>
              <w:rPr>
                <w:rFonts w:hint="eastAsia" w:ascii="黑体" w:hAnsi="黑体" w:eastAsia="黑体" w:cs="黑体"/>
                <w:w w:val="90"/>
                <w:szCs w:val="21"/>
              </w:rPr>
              <w:t>★A0206180203空调机</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CF49AA0">
            <w:pPr>
              <w:jc w:val="left"/>
              <w:rPr>
                <w:rFonts w:hint="eastAsia" w:ascii="黑体" w:hAnsi="黑体" w:eastAsia="黑体" w:cs="黑体"/>
                <w:w w:val="90"/>
                <w:szCs w:val="21"/>
              </w:rPr>
            </w:pPr>
            <w:r>
              <w:rPr>
                <w:rFonts w:hint="eastAsia" w:ascii="黑体" w:hAnsi="黑体" w:eastAsia="黑体" w:cs="黑体"/>
                <w:w w:val="90"/>
                <w:szCs w:val="21"/>
              </w:rPr>
              <w:t>房间空气调节器</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EDCDEFE">
            <w:pPr>
              <w:jc w:val="left"/>
              <w:rPr>
                <w:rFonts w:hint="eastAsia" w:ascii="黑体" w:hAnsi="黑体" w:eastAsia="黑体" w:cs="黑体"/>
                <w:w w:val="90"/>
                <w:szCs w:val="21"/>
              </w:rPr>
            </w:pPr>
            <w:r>
              <w:rPr>
                <w:rFonts w:hint="eastAsia" w:ascii="黑体" w:hAnsi="黑体" w:eastAsia="黑体" w:cs="黑体"/>
                <w:w w:val="90"/>
                <w:szCs w:val="21"/>
              </w:rPr>
              <w:t>《转速可控型房间空气调节器能效限定值及能效等级》（GB 21455-2013），待2019年修订发布后，按《房间空气调节器能效限定值及能效等级》（GB21455-2019）实施。</w:t>
            </w:r>
          </w:p>
        </w:tc>
      </w:tr>
      <w:tr w14:paraId="4C173FF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57A7E4B">
            <w:pPr>
              <w:jc w:val="center"/>
              <w:rPr>
                <w:rFonts w:hint="eastAsia" w:ascii="黑体" w:hAnsi="黑体" w:eastAsia="黑体" w:cs="黑体"/>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74BB526">
            <w:pPr>
              <w:jc w:val="left"/>
              <w:rPr>
                <w:rFonts w:hint="eastAsia" w:ascii="黑体" w:hAnsi="黑体" w:eastAsia="黑体" w:cs="黑体"/>
                <w:w w:val="90"/>
                <w:szCs w:val="21"/>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E714B98">
            <w:pPr>
              <w:jc w:val="left"/>
              <w:rPr>
                <w:rFonts w:hint="eastAsia" w:ascii="黑体" w:hAnsi="黑体" w:eastAsia="黑体" w:cs="黑体"/>
                <w:w w:val="90"/>
                <w:szCs w:val="21"/>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B6DE96D">
            <w:pPr>
              <w:jc w:val="left"/>
              <w:rPr>
                <w:rFonts w:hint="eastAsia" w:ascii="黑体" w:hAnsi="黑体" w:eastAsia="黑体" w:cs="黑体"/>
                <w:w w:val="90"/>
                <w:szCs w:val="21"/>
              </w:rPr>
            </w:pPr>
            <w:r>
              <w:rPr>
                <w:rFonts w:hint="eastAsia" w:ascii="黑体" w:hAnsi="黑体" w:eastAsia="黑体" w:cs="黑体"/>
                <w:w w:val="90"/>
                <w:szCs w:val="21"/>
              </w:rPr>
              <w:t>多联式空调（热泵）机组（制冷量≤ 14000W）</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2A0C0F4">
            <w:pPr>
              <w:jc w:val="left"/>
              <w:rPr>
                <w:rFonts w:hint="eastAsia" w:ascii="黑体" w:hAnsi="黑体" w:eastAsia="黑体" w:cs="黑体"/>
                <w:w w:val="90"/>
                <w:szCs w:val="21"/>
              </w:rPr>
            </w:pPr>
            <w:r>
              <w:rPr>
                <w:rFonts w:hint="eastAsia" w:ascii="黑体" w:hAnsi="黑体" w:eastAsia="黑体" w:cs="黑体"/>
                <w:w w:val="90"/>
                <w:szCs w:val="21"/>
              </w:rPr>
              <w:t>《多联式空调（热泵）机组能效限定值及能源效率等级》（GB 21454）</w:t>
            </w:r>
          </w:p>
        </w:tc>
      </w:tr>
      <w:tr w14:paraId="7EC48A9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2FE7D3D">
            <w:pPr>
              <w:jc w:val="center"/>
              <w:rPr>
                <w:rFonts w:hint="eastAsia" w:ascii="黑体" w:hAnsi="黑体" w:eastAsia="黑体" w:cs="黑体"/>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8176D11">
            <w:pPr>
              <w:jc w:val="left"/>
              <w:rPr>
                <w:rFonts w:hint="eastAsia" w:ascii="黑体" w:hAnsi="黑体" w:eastAsia="黑体" w:cs="黑体"/>
                <w:w w:val="90"/>
                <w:szCs w:val="21"/>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5C01232">
            <w:pPr>
              <w:jc w:val="left"/>
              <w:rPr>
                <w:rFonts w:hint="eastAsia" w:ascii="黑体" w:hAnsi="黑体" w:eastAsia="黑体" w:cs="黑体"/>
                <w:w w:val="90"/>
                <w:szCs w:val="21"/>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486ED05">
            <w:pPr>
              <w:jc w:val="left"/>
              <w:rPr>
                <w:rFonts w:hint="eastAsia" w:ascii="黑体" w:hAnsi="黑体" w:eastAsia="黑体" w:cs="黑体"/>
                <w:w w:val="90"/>
                <w:szCs w:val="21"/>
              </w:rPr>
            </w:pPr>
            <w:r>
              <w:rPr>
                <w:rFonts w:hint="eastAsia" w:ascii="黑体" w:hAnsi="黑体" w:eastAsia="黑体" w:cs="黑体"/>
                <w:w w:val="90"/>
                <w:szCs w:val="21"/>
              </w:rPr>
              <w:t>单元式空气调节机(制冷量≤14000W)</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73F9F07">
            <w:pPr>
              <w:jc w:val="left"/>
              <w:rPr>
                <w:rFonts w:hint="eastAsia" w:ascii="黑体" w:hAnsi="黑体" w:eastAsia="黑体" w:cs="黑体"/>
                <w:w w:val="90"/>
                <w:szCs w:val="21"/>
              </w:rPr>
            </w:pPr>
            <w:r>
              <w:rPr>
                <w:rFonts w:hint="eastAsia" w:ascii="黑体" w:hAnsi="黑体" w:eastAsia="黑体" w:cs="黑体"/>
                <w:w w:val="90"/>
                <w:szCs w:val="21"/>
              </w:rPr>
              <w:t>《单元式空气调节机能效限定值及能源效率等级》（GB 19576）《风管送风式空调机组能效限定值及能效等级》（GB 37479）</w:t>
            </w:r>
          </w:p>
        </w:tc>
      </w:tr>
      <w:tr w14:paraId="5AE18AB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5057B6D">
            <w:pPr>
              <w:jc w:val="center"/>
              <w:rPr>
                <w:rFonts w:hint="eastAsia" w:ascii="黑体" w:hAnsi="黑体" w:eastAsia="黑体" w:cs="黑体"/>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E5CE3D5">
            <w:pPr>
              <w:jc w:val="left"/>
              <w:rPr>
                <w:rFonts w:hint="eastAsia" w:ascii="黑体" w:hAnsi="黑体" w:eastAsia="黑体" w:cs="黑体"/>
                <w:w w:val="90"/>
                <w:szCs w:val="21"/>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C9D370C">
            <w:pPr>
              <w:jc w:val="left"/>
              <w:rPr>
                <w:rFonts w:hint="eastAsia" w:ascii="黑体" w:hAnsi="黑体" w:eastAsia="黑体" w:cs="黑体"/>
                <w:w w:val="90"/>
                <w:szCs w:val="21"/>
              </w:rPr>
            </w:pPr>
            <w:r>
              <w:rPr>
                <w:rFonts w:hint="eastAsia" w:ascii="黑体" w:hAnsi="黑体" w:eastAsia="黑体" w:cs="黑体"/>
                <w:w w:val="90"/>
                <w:szCs w:val="21"/>
              </w:rPr>
              <w:t>A0206180301洗衣机</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655AAF1">
            <w:pPr>
              <w:jc w:val="left"/>
              <w:rPr>
                <w:rFonts w:hint="eastAsia" w:ascii="黑体" w:hAnsi="黑体" w:eastAsia="黑体" w:cs="黑体"/>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F8BA262">
            <w:pPr>
              <w:jc w:val="left"/>
              <w:rPr>
                <w:rFonts w:hint="eastAsia" w:ascii="黑体" w:hAnsi="黑体" w:eastAsia="黑体" w:cs="黑体"/>
                <w:w w:val="90"/>
                <w:szCs w:val="21"/>
              </w:rPr>
            </w:pPr>
            <w:r>
              <w:rPr>
                <w:rFonts w:hint="eastAsia" w:ascii="黑体" w:hAnsi="黑体" w:eastAsia="黑体" w:cs="黑体"/>
                <w:w w:val="90"/>
                <w:szCs w:val="21"/>
              </w:rPr>
              <w:t>《电动洗衣机能效水效限定值及等级》（GB 12021.4）</w:t>
            </w:r>
          </w:p>
        </w:tc>
      </w:tr>
      <w:tr w14:paraId="1936222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992F409">
            <w:pPr>
              <w:jc w:val="center"/>
              <w:rPr>
                <w:rFonts w:hint="eastAsia" w:ascii="黑体" w:hAnsi="黑体" w:eastAsia="黑体" w:cs="黑体"/>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5A8AC2D">
            <w:pPr>
              <w:jc w:val="left"/>
              <w:rPr>
                <w:rFonts w:hint="eastAsia" w:ascii="黑体" w:hAnsi="黑体" w:eastAsia="黑体" w:cs="黑体"/>
                <w:w w:val="90"/>
                <w:szCs w:val="21"/>
              </w:rPr>
            </w:pPr>
          </w:p>
        </w:tc>
        <w:tc>
          <w:tcPr>
            <w:tcW w:w="1110"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22E208F3">
            <w:pPr>
              <w:jc w:val="left"/>
              <w:rPr>
                <w:rFonts w:hint="eastAsia" w:ascii="黑体" w:hAnsi="黑体" w:eastAsia="黑体" w:cs="黑体"/>
                <w:w w:val="90"/>
                <w:szCs w:val="21"/>
              </w:rPr>
            </w:pPr>
            <w:r>
              <w:rPr>
                <w:rFonts w:hint="eastAsia" w:ascii="黑体" w:hAnsi="黑体" w:eastAsia="黑体" w:cs="黑体"/>
                <w:w w:val="90"/>
                <w:szCs w:val="21"/>
              </w:rPr>
              <w:t>A02061808热水器</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47E1A82">
            <w:pPr>
              <w:jc w:val="left"/>
              <w:rPr>
                <w:rFonts w:hint="eastAsia" w:ascii="黑体" w:hAnsi="黑体" w:eastAsia="黑体" w:cs="黑体"/>
                <w:w w:val="90"/>
                <w:szCs w:val="21"/>
              </w:rPr>
            </w:pPr>
            <w:r>
              <w:rPr>
                <w:rFonts w:hint="eastAsia" w:ascii="黑体" w:hAnsi="黑体" w:eastAsia="黑体" w:cs="黑体"/>
                <w:w w:val="90"/>
                <w:szCs w:val="21"/>
              </w:rPr>
              <w:t>★电热水器</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4CBCAF7">
            <w:pPr>
              <w:jc w:val="left"/>
              <w:rPr>
                <w:rFonts w:hint="eastAsia" w:ascii="黑体" w:hAnsi="黑体" w:eastAsia="黑体" w:cs="黑体"/>
                <w:w w:val="90"/>
                <w:szCs w:val="21"/>
              </w:rPr>
            </w:pPr>
            <w:r>
              <w:rPr>
                <w:rFonts w:hint="eastAsia" w:ascii="黑体" w:hAnsi="黑体" w:eastAsia="黑体" w:cs="黑体"/>
                <w:w w:val="90"/>
                <w:szCs w:val="21"/>
              </w:rPr>
              <w:t>《储水式电热水器能效限定值及能效等级》（GB 21519）</w:t>
            </w:r>
          </w:p>
        </w:tc>
      </w:tr>
      <w:tr w14:paraId="21C4E0C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CC7E889">
            <w:pPr>
              <w:jc w:val="center"/>
              <w:rPr>
                <w:rFonts w:hint="eastAsia" w:ascii="黑体" w:hAnsi="黑体" w:eastAsia="黑体" w:cs="黑体"/>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C30B17A">
            <w:pPr>
              <w:jc w:val="left"/>
              <w:rPr>
                <w:rFonts w:hint="eastAsia" w:ascii="黑体" w:hAnsi="黑体" w:eastAsia="黑体" w:cs="黑体"/>
                <w:w w:val="90"/>
                <w:szCs w:val="21"/>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31569C3">
            <w:pPr>
              <w:jc w:val="left"/>
              <w:rPr>
                <w:rFonts w:hint="eastAsia" w:ascii="黑体" w:hAnsi="黑体" w:eastAsia="黑体" w:cs="黑体"/>
                <w:w w:val="90"/>
                <w:szCs w:val="21"/>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78752E1">
            <w:pPr>
              <w:jc w:val="left"/>
              <w:rPr>
                <w:rFonts w:hint="eastAsia" w:ascii="黑体" w:hAnsi="黑体" w:eastAsia="黑体" w:cs="黑体"/>
                <w:w w:val="90"/>
                <w:szCs w:val="21"/>
              </w:rPr>
            </w:pPr>
            <w:r>
              <w:rPr>
                <w:rFonts w:hint="eastAsia" w:ascii="黑体" w:hAnsi="黑体" w:eastAsia="黑体" w:cs="黑体"/>
                <w:w w:val="90"/>
                <w:szCs w:val="21"/>
              </w:rPr>
              <w:t>燃气热水器</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D8350F0">
            <w:pPr>
              <w:jc w:val="left"/>
              <w:rPr>
                <w:rFonts w:hint="eastAsia" w:ascii="黑体" w:hAnsi="黑体" w:eastAsia="黑体" w:cs="黑体"/>
                <w:w w:val="90"/>
                <w:szCs w:val="21"/>
              </w:rPr>
            </w:pPr>
            <w:r>
              <w:rPr>
                <w:rFonts w:hint="eastAsia" w:ascii="黑体" w:hAnsi="黑体" w:eastAsia="黑体" w:cs="黑体"/>
                <w:w w:val="90"/>
                <w:szCs w:val="21"/>
              </w:rPr>
              <w:t>《家用燃气快速热水器和燃气采暖热水炉能效限定值及能效等级（GB 20665）</w:t>
            </w:r>
          </w:p>
        </w:tc>
      </w:tr>
      <w:tr w14:paraId="688DDB5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8F0FB9B">
            <w:pPr>
              <w:jc w:val="center"/>
              <w:rPr>
                <w:rFonts w:hint="eastAsia" w:ascii="黑体" w:hAnsi="黑体" w:eastAsia="黑体" w:cs="黑体"/>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FF128B2">
            <w:pPr>
              <w:jc w:val="left"/>
              <w:rPr>
                <w:rFonts w:hint="eastAsia" w:ascii="黑体" w:hAnsi="黑体" w:eastAsia="黑体" w:cs="黑体"/>
                <w:w w:val="90"/>
                <w:szCs w:val="21"/>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1B32822">
            <w:pPr>
              <w:jc w:val="left"/>
              <w:rPr>
                <w:rFonts w:hint="eastAsia" w:ascii="黑体" w:hAnsi="黑体" w:eastAsia="黑体" w:cs="黑体"/>
                <w:w w:val="90"/>
                <w:szCs w:val="21"/>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1175062">
            <w:pPr>
              <w:jc w:val="left"/>
              <w:rPr>
                <w:rFonts w:hint="eastAsia" w:ascii="黑体" w:hAnsi="黑体" w:eastAsia="黑体" w:cs="黑体"/>
                <w:w w:val="90"/>
                <w:szCs w:val="21"/>
              </w:rPr>
            </w:pPr>
            <w:r>
              <w:rPr>
                <w:rFonts w:hint="eastAsia" w:ascii="黑体" w:hAnsi="黑体" w:eastAsia="黑体" w:cs="黑体"/>
                <w:w w:val="90"/>
                <w:szCs w:val="21"/>
              </w:rPr>
              <w:t>热泵热水器</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67383A4">
            <w:pPr>
              <w:jc w:val="left"/>
              <w:rPr>
                <w:rFonts w:hint="eastAsia" w:ascii="黑体" w:hAnsi="黑体" w:eastAsia="黑体" w:cs="黑体"/>
                <w:w w:val="90"/>
                <w:szCs w:val="21"/>
              </w:rPr>
            </w:pPr>
            <w:r>
              <w:rPr>
                <w:rFonts w:hint="eastAsia" w:ascii="黑体" w:hAnsi="黑体" w:eastAsia="黑体" w:cs="黑体"/>
                <w:w w:val="90"/>
                <w:szCs w:val="21"/>
              </w:rPr>
              <w:t>《热泵热水机（器）能效限定值及能效等级》（GB 29541）</w:t>
            </w:r>
          </w:p>
        </w:tc>
      </w:tr>
      <w:tr w14:paraId="5C76F1E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525156A">
            <w:pPr>
              <w:jc w:val="center"/>
              <w:rPr>
                <w:rFonts w:hint="eastAsia" w:ascii="黑体" w:hAnsi="黑体" w:eastAsia="黑体" w:cs="黑体"/>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AB357CE">
            <w:pPr>
              <w:jc w:val="left"/>
              <w:rPr>
                <w:rFonts w:hint="eastAsia" w:ascii="黑体" w:hAnsi="黑体" w:eastAsia="黑体" w:cs="黑体"/>
                <w:w w:val="90"/>
                <w:szCs w:val="21"/>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D3C3A92">
            <w:pPr>
              <w:jc w:val="left"/>
              <w:rPr>
                <w:rFonts w:hint="eastAsia" w:ascii="黑体" w:hAnsi="黑体" w:eastAsia="黑体" w:cs="黑体"/>
                <w:w w:val="90"/>
                <w:szCs w:val="21"/>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A9FF0D8">
            <w:pPr>
              <w:jc w:val="left"/>
              <w:rPr>
                <w:rFonts w:hint="eastAsia" w:ascii="黑体" w:hAnsi="黑体" w:eastAsia="黑体" w:cs="黑体"/>
                <w:w w:val="90"/>
                <w:szCs w:val="21"/>
              </w:rPr>
            </w:pPr>
            <w:r>
              <w:rPr>
                <w:rFonts w:hint="eastAsia" w:ascii="黑体" w:hAnsi="黑体" w:eastAsia="黑体" w:cs="黑体"/>
                <w:w w:val="90"/>
                <w:szCs w:val="21"/>
              </w:rPr>
              <w:t>太阳能热水系统</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4E76769">
            <w:pPr>
              <w:jc w:val="left"/>
              <w:rPr>
                <w:rFonts w:hint="eastAsia" w:ascii="黑体" w:hAnsi="黑体" w:eastAsia="黑体" w:cs="黑体"/>
                <w:w w:val="90"/>
                <w:szCs w:val="21"/>
              </w:rPr>
            </w:pPr>
            <w:r>
              <w:rPr>
                <w:rFonts w:hint="eastAsia" w:ascii="黑体" w:hAnsi="黑体" w:eastAsia="黑体" w:cs="黑体"/>
                <w:w w:val="90"/>
                <w:szCs w:val="21"/>
              </w:rPr>
              <w:t>《家用太阳能热水系统能效限定值及能效等级》（GB 26969）</w:t>
            </w:r>
          </w:p>
        </w:tc>
      </w:tr>
      <w:tr w14:paraId="13E001D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5A2BCF36">
            <w:pPr>
              <w:jc w:val="center"/>
              <w:rPr>
                <w:rFonts w:hint="eastAsia" w:ascii="黑体" w:hAnsi="黑体" w:eastAsia="黑体" w:cs="黑体"/>
                <w:w w:val="90"/>
                <w:szCs w:val="21"/>
              </w:rPr>
            </w:pPr>
            <w:r>
              <w:rPr>
                <w:rFonts w:hint="eastAsia" w:ascii="黑体" w:hAnsi="黑体" w:eastAsia="黑体" w:cs="黑体"/>
                <w:w w:val="90"/>
                <w:szCs w:val="21"/>
              </w:rPr>
              <w:t>11</w:t>
            </w:r>
          </w:p>
        </w:tc>
        <w:tc>
          <w:tcPr>
            <w:tcW w:w="972"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5DB93AB5">
            <w:pPr>
              <w:jc w:val="left"/>
              <w:rPr>
                <w:rFonts w:hint="eastAsia" w:ascii="黑体" w:hAnsi="黑体" w:eastAsia="黑体" w:cs="黑体"/>
                <w:w w:val="90"/>
                <w:szCs w:val="21"/>
              </w:rPr>
            </w:pPr>
            <w:r>
              <w:rPr>
                <w:rFonts w:hint="eastAsia" w:ascii="黑体" w:hAnsi="黑体" w:eastAsia="黑体" w:cs="黑体"/>
                <w:w w:val="90"/>
                <w:szCs w:val="21"/>
              </w:rPr>
              <w:t>A020619 照明设备</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60E27C5">
            <w:pPr>
              <w:jc w:val="left"/>
              <w:rPr>
                <w:rFonts w:hint="eastAsia" w:ascii="黑体" w:hAnsi="黑体" w:eastAsia="黑体" w:cs="黑体"/>
                <w:w w:val="90"/>
                <w:szCs w:val="21"/>
              </w:rPr>
            </w:pPr>
            <w:r>
              <w:rPr>
                <w:rFonts w:hint="eastAsia" w:ascii="黑体" w:hAnsi="黑体" w:eastAsia="黑体" w:cs="黑体"/>
                <w:w w:val="90"/>
                <w:szCs w:val="21"/>
              </w:rPr>
              <w:t>★普通照明用双端荧光灯</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8186745">
            <w:pPr>
              <w:jc w:val="center"/>
              <w:rPr>
                <w:rFonts w:hint="eastAsia" w:ascii="黑体" w:hAnsi="黑体" w:eastAsia="黑体" w:cs="黑体"/>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B3E661C">
            <w:pPr>
              <w:jc w:val="left"/>
              <w:rPr>
                <w:rFonts w:hint="eastAsia" w:ascii="黑体" w:hAnsi="黑体" w:eastAsia="黑体" w:cs="黑体"/>
                <w:w w:val="90"/>
                <w:szCs w:val="21"/>
              </w:rPr>
            </w:pPr>
            <w:r>
              <w:rPr>
                <w:rFonts w:hint="eastAsia" w:ascii="黑体" w:hAnsi="黑体" w:eastAsia="黑体" w:cs="黑体"/>
                <w:w w:val="90"/>
                <w:szCs w:val="21"/>
              </w:rPr>
              <w:t>《普通照明用双端荧光灯能效限定值及能效等级》（GB 19043）</w:t>
            </w:r>
          </w:p>
        </w:tc>
      </w:tr>
      <w:tr w14:paraId="4E3890A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3B24089">
            <w:pPr>
              <w:jc w:val="center"/>
              <w:rPr>
                <w:rFonts w:hint="eastAsia" w:ascii="黑体" w:hAnsi="黑体" w:eastAsia="黑体" w:cs="黑体"/>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862958C">
            <w:pPr>
              <w:jc w:val="left"/>
              <w:rPr>
                <w:rFonts w:hint="eastAsia" w:ascii="黑体" w:hAnsi="黑体" w:eastAsia="黑体" w:cs="黑体"/>
                <w:w w:val="90"/>
                <w:szCs w:val="21"/>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90FE42A">
            <w:pPr>
              <w:jc w:val="left"/>
              <w:rPr>
                <w:rFonts w:hint="eastAsia" w:ascii="黑体" w:hAnsi="黑体" w:eastAsia="黑体" w:cs="黑体"/>
                <w:w w:val="90"/>
                <w:szCs w:val="21"/>
              </w:rPr>
            </w:pPr>
            <w:r>
              <w:rPr>
                <w:rFonts w:hint="eastAsia" w:ascii="黑体" w:hAnsi="黑体" w:eastAsia="黑体" w:cs="黑体"/>
                <w:w w:val="90"/>
                <w:szCs w:val="21"/>
              </w:rPr>
              <w:t>LED道路/隧道照明产品</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1B103F6">
            <w:pPr>
              <w:jc w:val="center"/>
              <w:rPr>
                <w:rFonts w:hint="eastAsia" w:ascii="黑体" w:hAnsi="黑体" w:eastAsia="黑体" w:cs="黑体"/>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EF1D300">
            <w:pPr>
              <w:jc w:val="left"/>
              <w:rPr>
                <w:rFonts w:hint="eastAsia" w:ascii="黑体" w:hAnsi="黑体" w:eastAsia="黑体" w:cs="黑体"/>
                <w:w w:val="90"/>
                <w:szCs w:val="21"/>
              </w:rPr>
            </w:pPr>
            <w:r>
              <w:rPr>
                <w:rFonts w:hint="eastAsia" w:ascii="黑体" w:hAnsi="黑体" w:eastAsia="黑体" w:cs="黑体"/>
                <w:w w:val="90"/>
                <w:szCs w:val="21"/>
              </w:rPr>
              <w:t>《道路和隧道照明用LED灯具能效限定值及能效等级》（GB 37478）</w:t>
            </w:r>
          </w:p>
        </w:tc>
      </w:tr>
      <w:tr w14:paraId="0538D40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B120EA3">
            <w:pPr>
              <w:jc w:val="center"/>
              <w:rPr>
                <w:rFonts w:hint="eastAsia" w:ascii="黑体" w:hAnsi="黑体" w:eastAsia="黑体" w:cs="黑体"/>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EC8775B">
            <w:pPr>
              <w:jc w:val="left"/>
              <w:rPr>
                <w:rFonts w:hint="eastAsia" w:ascii="黑体" w:hAnsi="黑体" w:eastAsia="黑体" w:cs="黑体"/>
                <w:w w:val="90"/>
                <w:szCs w:val="21"/>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B97A683">
            <w:pPr>
              <w:jc w:val="left"/>
              <w:rPr>
                <w:rFonts w:hint="eastAsia" w:ascii="黑体" w:hAnsi="黑体" w:eastAsia="黑体" w:cs="黑体"/>
                <w:w w:val="90"/>
                <w:szCs w:val="21"/>
              </w:rPr>
            </w:pPr>
            <w:r>
              <w:rPr>
                <w:rFonts w:hint="eastAsia" w:ascii="黑体" w:hAnsi="黑体" w:eastAsia="黑体" w:cs="黑体"/>
                <w:w w:val="90"/>
                <w:szCs w:val="21"/>
              </w:rPr>
              <w:t>LED筒灯</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3DBE23A">
            <w:pPr>
              <w:jc w:val="center"/>
              <w:rPr>
                <w:rFonts w:hint="eastAsia" w:ascii="黑体" w:hAnsi="黑体" w:eastAsia="黑体" w:cs="黑体"/>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582C7D4">
            <w:pPr>
              <w:jc w:val="left"/>
              <w:rPr>
                <w:rFonts w:hint="eastAsia" w:ascii="黑体" w:hAnsi="黑体" w:eastAsia="黑体" w:cs="黑体"/>
                <w:w w:val="90"/>
                <w:szCs w:val="21"/>
              </w:rPr>
            </w:pPr>
            <w:r>
              <w:rPr>
                <w:rFonts w:hint="eastAsia" w:ascii="黑体" w:hAnsi="黑体" w:eastAsia="黑体" w:cs="黑体"/>
                <w:w w:val="90"/>
                <w:szCs w:val="21"/>
              </w:rPr>
              <w:t>《室内照明用LED产品能效限定值及能效等级》（GB 30255）</w:t>
            </w:r>
          </w:p>
        </w:tc>
      </w:tr>
      <w:tr w14:paraId="0D2D022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02BCDDD">
            <w:pPr>
              <w:jc w:val="center"/>
              <w:rPr>
                <w:rFonts w:hint="eastAsia" w:ascii="黑体" w:hAnsi="黑体" w:eastAsia="黑体" w:cs="黑体"/>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B857AA4">
            <w:pPr>
              <w:jc w:val="left"/>
              <w:rPr>
                <w:rFonts w:hint="eastAsia" w:ascii="黑体" w:hAnsi="黑体" w:eastAsia="黑体" w:cs="黑体"/>
                <w:w w:val="90"/>
                <w:szCs w:val="21"/>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ABEBA06">
            <w:pPr>
              <w:jc w:val="left"/>
              <w:rPr>
                <w:rFonts w:hint="eastAsia" w:ascii="黑体" w:hAnsi="黑体" w:eastAsia="黑体" w:cs="黑体"/>
                <w:w w:val="90"/>
                <w:szCs w:val="21"/>
              </w:rPr>
            </w:pPr>
            <w:r>
              <w:rPr>
                <w:rFonts w:hint="eastAsia" w:ascii="黑体" w:hAnsi="黑体" w:eastAsia="黑体" w:cs="黑体"/>
                <w:w w:val="90"/>
                <w:szCs w:val="21"/>
              </w:rPr>
              <w:t>普通照明用非定向自镇流LED灯</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1F346DA">
            <w:pPr>
              <w:jc w:val="center"/>
              <w:rPr>
                <w:rFonts w:hint="eastAsia" w:ascii="黑体" w:hAnsi="黑体" w:eastAsia="黑体" w:cs="黑体"/>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CF20EC3">
            <w:pPr>
              <w:jc w:val="left"/>
              <w:rPr>
                <w:rFonts w:hint="eastAsia" w:ascii="黑体" w:hAnsi="黑体" w:eastAsia="黑体" w:cs="黑体"/>
                <w:w w:val="90"/>
                <w:szCs w:val="21"/>
              </w:rPr>
            </w:pPr>
            <w:r>
              <w:rPr>
                <w:rFonts w:hint="eastAsia" w:ascii="黑体" w:hAnsi="黑体" w:eastAsia="黑体" w:cs="黑体"/>
                <w:w w:val="90"/>
                <w:szCs w:val="21"/>
              </w:rPr>
              <w:t>《室内照明用LED产品能效限定值及能效等级》（GB 30255）</w:t>
            </w:r>
          </w:p>
        </w:tc>
      </w:tr>
      <w:tr w14:paraId="510871C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2B8EF5C">
            <w:pPr>
              <w:jc w:val="center"/>
              <w:rPr>
                <w:rFonts w:hint="eastAsia" w:ascii="黑体" w:hAnsi="黑体" w:eastAsia="黑体" w:cs="黑体"/>
                <w:w w:val="90"/>
                <w:szCs w:val="21"/>
              </w:rPr>
            </w:pPr>
            <w:r>
              <w:rPr>
                <w:rFonts w:hint="eastAsia" w:ascii="黑体" w:hAnsi="黑体" w:eastAsia="黑体" w:cs="黑体"/>
                <w:w w:val="90"/>
                <w:szCs w:val="21"/>
              </w:rPr>
              <w:t>12</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BC357B0">
            <w:pPr>
              <w:jc w:val="left"/>
              <w:rPr>
                <w:rFonts w:hint="eastAsia" w:ascii="黑体" w:hAnsi="黑体" w:eastAsia="黑体" w:cs="黑体"/>
                <w:w w:val="90"/>
                <w:szCs w:val="21"/>
              </w:rPr>
            </w:pPr>
            <w:r>
              <w:rPr>
                <w:rFonts w:hint="eastAsia" w:ascii="黑体" w:hAnsi="黑体" w:eastAsia="黑体" w:cs="黑体"/>
                <w:w w:val="90"/>
                <w:szCs w:val="21"/>
              </w:rPr>
              <w:t>★A020910电视设备</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007EEC6">
            <w:pPr>
              <w:jc w:val="left"/>
              <w:rPr>
                <w:rFonts w:hint="eastAsia" w:ascii="黑体" w:hAnsi="黑体" w:eastAsia="黑体" w:cs="黑体"/>
                <w:w w:val="90"/>
                <w:szCs w:val="21"/>
              </w:rPr>
            </w:pPr>
            <w:r>
              <w:rPr>
                <w:rFonts w:hint="eastAsia" w:ascii="黑体" w:hAnsi="黑体" w:eastAsia="黑体" w:cs="黑体"/>
                <w:w w:val="90"/>
                <w:szCs w:val="21"/>
              </w:rPr>
              <w:t>A02091001普通电视设备（电视机）</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B601B16">
            <w:pPr>
              <w:jc w:val="center"/>
              <w:rPr>
                <w:rFonts w:hint="eastAsia" w:ascii="黑体" w:hAnsi="黑体" w:eastAsia="黑体" w:cs="黑体"/>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0FC1042">
            <w:pPr>
              <w:jc w:val="left"/>
              <w:rPr>
                <w:rFonts w:hint="eastAsia" w:ascii="黑体" w:hAnsi="黑体" w:eastAsia="黑体" w:cs="黑体"/>
                <w:w w:val="90"/>
                <w:szCs w:val="21"/>
              </w:rPr>
            </w:pPr>
            <w:r>
              <w:rPr>
                <w:rFonts w:hint="eastAsia" w:ascii="黑体" w:hAnsi="黑体" w:eastAsia="黑体" w:cs="黑体"/>
                <w:w w:val="90"/>
                <w:szCs w:val="21"/>
              </w:rPr>
              <w:t>《平板电视能效限定值及能效等级》（GB 24850）</w:t>
            </w:r>
          </w:p>
        </w:tc>
      </w:tr>
      <w:tr w14:paraId="7229D7C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C024CF7">
            <w:pPr>
              <w:jc w:val="center"/>
              <w:rPr>
                <w:rFonts w:hint="eastAsia" w:ascii="黑体" w:hAnsi="黑体" w:eastAsia="黑体" w:cs="黑体"/>
                <w:w w:val="90"/>
                <w:szCs w:val="21"/>
              </w:rPr>
            </w:pPr>
            <w:r>
              <w:rPr>
                <w:rFonts w:hint="eastAsia" w:ascii="黑体" w:hAnsi="黑体" w:eastAsia="黑体" w:cs="黑体"/>
                <w:w w:val="90"/>
                <w:szCs w:val="21"/>
              </w:rPr>
              <w:t>13</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F4F7FDE">
            <w:pPr>
              <w:jc w:val="left"/>
              <w:rPr>
                <w:rFonts w:hint="eastAsia" w:ascii="黑体" w:hAnsi="黑体" w:eastAsia="黑体" w:cs="黑体"/>
                <w:w w:val="90"/>
                <w:szCs w:val="21"/>
              </w:rPr>
            </w:pPr>
            <w:r>
              <w:rPr>
                <w:rFonts w:hint="eastAsia" w:ascii="黑体" w:hAnsi="黑体" w:eastAsia="黑体" w:cs="黑体"/>
                <w:w w:val="90"/>
                <w:szCs w:val="21"/>
              </w:rPr>
              <w:t>★A020911视频设备</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7E91CD8">
            <w:pPr>
              <w:jc w:val="left"/>
              <w:rPr>
                <w:rFonts w:hint="eastAsia" w:ascii="黑体" w:hAnsi="黑体" w:eastAsia="黑体" w:cs="黑体"/>
                <w:w w:val="90"/>
                <w:szCs w:val="21"/>
              </w:rPr>
            </w:pPr>
            <w:r>
              <w:rPr>
                <w:rFonts w:hint="eastAsia" w:ascii="黑体" w:hAnsi="黑体" w:eastAsia="黑体" w:cs="黑体"/>
                <w:w w:val="90"/>
                <w:szCs w:val="21"/>
              </w:rPr>
              <w:t>A02091107视频监控设备</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5048953">
            <w:pPr>
              <w:jc w:val="center"/>
              <w:rPr>
                <w:rFonts w:hint="eastAsia" w:ascii="黑体" w:hAnsi="黑体" w:eastAsia="黑体" w:cs="黑体"/>
                <w:w w:val="90"/>
                <w:szCs w:val="21"/>
              </w:rPr>
            </w:pPr>
            <w:r>
              <w:rPr>
                <w:rFonts w:hint="eastAsia" w:ascii="黑体" w:hAnsi="黑体" w:eastAsia="黑体" w:cs="黑体"/>
                <w:w w:val="90"/>
                <w:szCs w:val="21"/>
              </w:rPr>
              <w:t>监视器</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A14FC8F">
            <w:pPr>
              <w:jc w:val="left"/>
              <w:rPr>
                <w:rFonts w:hint="eastAsia" w:ascii="黑体" w:hAnsi="黑体" w:eastAsia="黑体" w:cs="黑体"/>
                <w:w w:val="90"/>
                <w:szCs w:val="21"/>
              </w:rPr>
            </w:pPr>
            <w:r>
              <w:rPr>
                <w:rFonts w:hint="eastAsia" w:ascii="黑体" w:hAnsi="黑体" w:eastAsia="黑体" w:cs="黑体"/>
                <w:w w:val="90"/>
                <w:szCs w:val="21"/>
              </w:rPr>
              <w:t>以射频信号为主要信号输入的监视器应符合《平板电视能效限定值及能效等级》（GB 24850），以数字信号为主要信号输入的监视器应符合《计算机显示器能效限定值及能效等级》（GB 21520）</w:t>
            </w:r>
          </w:p>
        </w:tc>
      </w:tr>
      <w:tr w14:paraId="4FDE566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A471733">
            <w:pPr>
              <w:jc w:val="center"/>
              <w:rPr>
                <w:rFonts w:hint="eastAsia" w:ascii="黑体" w:hAnsi="黑体" w:eastAsia="黑体" w:cs="黑体"/>
                <w:w w:val="90"/>
                <w:szCs w:val="21"/>
              </w:rPr>
            </w:pPr>
            <w:r>
              <w:rPr>
                <w:rFonts w:hint="eastAsia" w:ascii="黑体" w:hAnsi="黑体" w:eastAsia="黑体" w:cs="黑体"/>
                <w:w w:val="90"/>
                <w:szCs w:val="21"/>
              </w:rPr>
              <w:t>14</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451E4C2">
            <w:pPr>
              <w:jc w:val="left"/>
              <w:rPr>
                <w:rFonts w:hint="eastAsia" w:ascii="黑体" w:hAnsi="黑体" w:eastAsia="黑体" w:cs="黑体"/>
                <w:w w:val="90"/>
                <w:szCs w:val="21"/>
              </w:rPr>
            </w:pPr>
            <w:r>
              <w:rPr>
                <w:rFonts w:hint="eastAsia" w:ascii="黑体" w:hAnsi="黑体" w:eastAsia="黑体" w:cs="黑体"/>
                <w:w w:val="90"/>
                <w:szCs w:val="21"/>
              </w:rPr>
              <w:t>A031210饮食炊事机械</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4C1A929">
            <w:pPr>
              <w:jc w:val="left"/>
              <w:rPr>
                <w:rFonts w:hint="eastAsia" w:ascii="黑体" w:hAnsi="黑体" w:eastAsia="黑体" w:cs="黑体"/>
                <w:w w:val="90"/>
                <w:szCs w:val="21"/>
              </w:rPr>
            </w:pPr>
            <w:r>
              <w:rPr>
                <w:rFonts w:hint="eastAsia" w:ascii="黑体" w:hAnsi="黑体" w:eastAsia="黑体" w:cs="黑体"/>
                <w:w w:val="90"/>
                <w:szCs w:val="21"/>
              </w:rPr>
              <w:t>商用燃气灶具</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4837D0F">
            <w:pPr>
              <w:jc w:val="center"/>
              <w:rPr>
                <w:rFonts w:hint="eastAsia" w:ascii="黑体" w:hAnsi="黑体" w:eastAsia="黑体" w:cs="黑体"/>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3618956">
            <w:pPr>
              <w:jc w:val="left"/>
              <w:rPr>
                <w:rFonts w:hint="eastAsia" w:ascii="黑体" w:hAnsi="黑体" w:eastAsia="黑体" w:cs="黑体"/>
                <w:w w:val="90"/>
                <w:szCs w:val="21"/>
              </w:rPr>
            </w:pPr>
          </w:p>
        </w:tc>
      </w:tr>
      <w:tr w14:paraId="082285F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1FA55CB3">
            <w:pPr>
              <w:jc w:val="center"/>
              <w:rPr>
                <w:rFonts w:hint="eastAsia" w:ascii="黑体" w:hAnsi="黑体" w:eastAsia="黑体" w:cs="黑体"/>
                <w:w w:val="90"/>
                <w:szCs w:val="21"/>
              </w:rPr>
            </w:pPr>
            <w:r>
              <w:rPr>
                <w:rFonts w:hint="eastAsia" w:ascii="黑体" w:hAnsi="黑体" w:eastAsia="黑体" w:cs="黑体"/>
                <w:w w:val="90"/>
                <w:szCs w:val="21"/>
              </w:rPr>
              <w:t>15</w:t>
            </w:r>
          </w:p>
        </w:tc>
        <w:tc>
          <w:tcPr>
            <w:tcW w:w="972"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25E20A1B">
            <w:pPr>
              <w:jc w:val="left"/>
              <w:rPr>
                <w:rFonts w:hint="eastAsia" w:ascii="黑体" w:hAnsi="黑体" w:eastAsia="黑体" w:cs="黑体"/>
                <w:w w:val="90"/>
                <w:szCs w:val="21"/>
              </w:rPr>
            </w:pPr>
            <w:r>
              <w:rPr>
                <w:rFonts w:hint="eastAsia" w:ascii="黑体" w:hAnsi="黑体" w:eastAsia="黑体" w:cs="黑体"/>
                <w:w w:val="90"/>
                <w:szCs w:val="21"/>
              </w:rPr>
              <w:t>★A060805便器</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BAA87CC">
            <w:pPr>
              <w:jc w:val="left"/>
              <w:rPr>
                <w:rFonts w:hint="eastAsia" w:ascii="黑体" w:hAnsi="黑体" w:eastAsia="黑体" w:cs="黑体"/>
                <w:w w:val="90"/>
                <w:szCs w:val="21"/>
              </w:rPr>
            </w:pPr>
            <w:r>
              <w:rPr>
                <w:rFonts w:hint="eastAsia" w:ascii="黑体" w:hAnsi="黑体" w:eastAsia="黑体" w:cs="黑体"/>
                <w:w w:val="90"/>
                <w:szCs w:val="21"/>
              </w:rPr>
              <w:t>坐便器</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8287CB9">
            <w:pPr>
              <w:jc w:val="center"/>
              <w:rPr>
                <w:rFonts w:hint="eastAsia" w:ascii="黑体" w:hAnsi="黑体" w:eastAsia="黑体" w:cs="黑体"/>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4456FFE">
            <w:pPr>
              <w:jc w:val="left"/>
              <w:rPr>
                <w:rFonts w:hint="eastAsia" w:ascii="黑体" w:hAnsi="黑体" w:eastAsia="黑体" w:cs="黑体"/>
                <w:w w:val="90"/>
                <w:szCs w:val="21"/>
              </w:rPr>
            </w:pPr>
            <w:r>
              <w:rPr>
                <w:rFonts w:hint="eastAsia" w:ascii="黑体" w:hAnsi="黑体" w:eastAsia="黑体" w:cs="黑体"/>
                <w:w w:val="90"/>
                <w:szCs w:val="21"/>
              </w:rPr>
              <w:t>《坐便器水效限定值及水效等级</w:t>
            </w:r>
          </w:p>
          <w:p w14:paraId="46E6323F">
            <w:pPr>
              <w:jc w:val="left"/>
              <w:rPr>
                <w:rFonts w:hint="eastAsia" w:ascii="黑体" w:hAnsi="黑体" w:eastAsia="黑体" w:cs="黑体"/>
                <w:w w:val="90"/>
                <w:szCs w:val="21"/>
              </w:rPr>
            </w:pPr>
            <w:r>
              <w:rPr>
                <w:rFonts w:hint="eastAsia" w:ascii="黑体" w:hAnsi="黑体" w:eastAsia="黑体" w:cs="黑体"/>
                <w:w w:val="90"/>
                <w:szCs w:val="21"/>
              </w:rPr>
              <w:t>（GB 25502）</w:t>
            </w:r>
          </w:p>
        </w:tc>
      </w:tr>
      <w:tr w14:paraId="43DB05D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F79F780">
            <w:pPr>
              <w:jc w:val="center"/>
              <w:rPr>
                <w:rFonts w:hint="eastAsia" w:ascii="黑体" w:hAnsi="黑体" w:eastAsia="黑体" w:cs="黑体"/>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518A7C3">
            <w:pPr>
              <w:jc w:val="left"/>
              <w:rPr>
                <w:rFonts w:hint="eastAsia" w:ascii="黑体" w:hAnsi="黑体" w:eastAsia="黑体" w:cs="黑体"/>
                <w:w w:val="90"/>
                <w:szCs w:val="21"/>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DE8E1DE">
            <w:pPr>
              <w:jc w:val="left"/>
              <w:rPr>
                <w:rFonts w:hint="eastAsia" w:ascii="黑体" w:hAnsi="黑体" w:eastAsia="黑体" w:cs="黑体"/>
                <w:w w:val="90"/>
                <w:szCs w:val="21"/>
              </w:rPr>
            </w:pPr>
            <w:r>
              <w:rPr>
                <w:rFonts w:hint="eastAsia" w:ascii="黑体" w:hAnsi="黑体" w:eastAsia="黑体" w:cs="黑体"/>
                <w:w w:val="90"/>
                <w:szCs w:val="21"/>
              </w:rPr>
              <w:t>蹲便器</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A2DEF91">
            <w:pPr>
              <w:jc w:val="center"/>
              <w:rPr>
                <w:rFonts w:hint="eastAsia" w:ascii="黑体" w:hAnsi="黑体" w:eastAsia="黑体" w:cs="黑体"/>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F4C796C">
            <w:pPr>
              <w:jc w:val="left"/>
              <w:rPr>
                <w:rFonts w:hint="eastAsia" w:ascii="黑体" w:hAnsi="黑体" w:eastAsia="黑体" w:cs="黑体"/>
                <w:w w:val="90"/>
                <w:szCs w:val="21"/>
              </w:rPr>
            </w:pPr>
            <w:r>
              <w:rPr>
                <w:rFonts w:hint="eastAsia" w:ascii="黑体" w:hAnsi="黑体" w:eastAsia="黑体" w:cs="黑体"/>
                <w:w w:val="90"/>
                <w:szCs w:val="21"/>
              </w:rPr>
              <w:t>《蹲便器用水效率限定值及用水效率等级》（GB 30717）</w:t>
            </w:r>
          </w:p>
        </w:tc>
      </w:tr>
      <w:tr w14:paraId="5EF2582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47CE320">
            <w:pPr>
              <w:jc w:val="center"/>
              <w:rPr>
                <w:rFonts w:hint="eastAsia" w:ascii="黑体" w:hAnsi="黑体" w:eastAsia="黑体" w:cs="黑体"/>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622156D">
            <w:pPr>
              <w:jc w:val="left"/>
              <w:rPr>
                <w:rFonts w:hint="eastAsia" w:ascii="黑体" w:hAnsi="黑体" w:eastAsia="黑体" w:cs="黑体"/>
                <w:w w:val="90"/>
                <w:szCs w:val="21"/>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49C9F0F">
            <w:pPr>
              <w:jc w:val="left"/>
              <w:rPr>
                <w:rFonts w:hint="eastAsia" w:ascii="黑体" w:hAnsi="黑体" w:eastAsia="黑体" w:cs="黑体"/>
                <w:w w:val="90"/>
                <w:szCs w:val="21"/>
              </w:rPr>
            </w:pPr>
            <w:r>
              <w:rPr>
                <w:rFonts w:hint="eastAsia" w:ascii="黑体" w:hAnsi="黑体" w:eastAsia="黑体" w:cs="黑体"/>
                <w:w w:val="90"/>
                <w:szCs w:val="21"/>
              </w:rPr>
              <w:t>小便器</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78EDF95">
            <w:pPr>
              <w:jc w:val="center"/>
              <w:rPr>
                <w:rFonts w:hint="eastAsia" w:ascii="黑体" w:hAnsi="黑体" w:eastAsia="黑体" w:cs="黑体"/>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F244EDD">
            <w:pPr>
              <w:jc w:val="left"/>
              <w:rPr>
                <w:rFonts w:hint="eastAsia" w:ascii="黑体" w:hAnsi="黑体" w:eastAsia="黑体" w:cs="黑体"/>
                <w:w w:val="90"/>
                <w:szCs w:val="21"/>
              </w:rPr>
            </w:pPr>
            <w:r>
              <w:rPr>
                <w:rFonts w:hint="eastAsia" w:ascii="黑体" w:hAnsi="黑体" w:eastAsia="黑体" w:cs="黑体"/>
                <w:w w:val="90"/>
                <w:szCs w:val="21"/>
              </w:rPr>
              <w:t>《小便器用水效率限定值及用水效率等级》（GB 28377）</w:t>
            </w:r>
          </w:p>
        </w:tc>
      </w:tr>
      <w:tr w14:paraId="1CD9810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22D220C">
            <w:pPr>
              <w:jc w:val="center"/>
              <w:rPr>
                <w:rFonts w:hint="eastAsia" w:ascii="黑体" w:hAnsi="黑体" w:eastAsia="黑体" w:cs="黑体"/>
                <w:w w:val="90"/>
                <w:szCs w:val="21"/>
              </w:rPr>
            </w:pPr>
            <w:r>
              <w:rPr>
                <w:rFonts w:hint="eastAsia" w:ascii="黑体" w:hAnsi="黑体" w:eastAsia="黑体" w:cs="黑体"/>
                <w:w w:val="90"/>
                <w:szCs w:val="21"/>
              </w:rPr>
              <w:t>16</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87FD137">
            <w:pPr>
              <w:jc w:val="left"/>
              <w:rPr>
                <w:rFonts w:hint="eastAsia" w:ascii="黑体" w:hAnsi="黑体" w:eastAsia="黑体" w:cs="黑体"/>
                <w:w w:val="90"/>
                <w:szCs w:val="21"/>
              </w:rPr>
            </w:pPr>
            <w:r>
              <w:rPr>
                <w:rFonts w:hint="eastAsia" w:ascii="黑体" w:hAnsi="黑体" w:eastAsia="黑体" w:cs="黑体"/>
                <w:w w:val="90"/>
                <w:szCs w:val="21"/>
              </w:rPr>
              <w:t>★A060806水嘴</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A8A274A">
            <w:pPr>
              <w:jc w:val="left"/>
              <w:rPr>
                <w:rFonts w:hint="eastAsia" w:ascii="黑体" w:hAnsi="黑体" w:eastAsia="黑体" w:cs="黑体"/>
                <w:w w:val="90"/>
                <w:szCs w:val="21"/>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1120278">
            <w:pPr>
              <w:jc w:val="center"/>
              <w:rPr>
                <w:rFonts w:hint="eastAsia" w:ascii="黑体" w:hAnsi="黑体" w:eastAsia="黑体" w:cs="黑体"/>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AF5A576">
            <w:pPr>
              <w:jc w:val="left"/>
              <w:rPr>
                <w:rFonts w:hint="eastAsia" w:ascii="黑体" w:hAnsi="黑体" w:eastAsia="黑体" w:cs="黑体"/>
                <w:w w:val="90"/>
                <w:szCs w:val="21"/>
              </w:rPr>
            </w:pPr>
            <w:r>
              <w:rPr>
                <w:rFonts w:hint="eastAsia" w:ascii="黑体" w:hAnsi="黑体" w:eastAsia="黑体" w:cs="黑体"/>
                <w:w w:val="90"/>
                <w:szCs w:val="21"/>
              </w:rPr>
              <w:t>《水嘴用水效率限定值及用水效率等级》（GB 25501）</w:t>
            </w:r>
          </w:p>
        </w:tc>
      </w:tr>
      <w:tr w14:paraId="44ED8A0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F3899C0">
            <w:pPr>
              <w:jc w:val="center"/>
              <w:rPr>
                <w:rFonts w:hint="eastAsia" w:ascii="黑体" w:hAnsi="黑体" w:eastAsia="黑体" w:cs="黑体"/>
                <w:w w:val="90"/>
                <w:szCs w:val="21"/>
              </w:rPr>
            </w:pPr>
            <w:r>
              <w:rPr>
                <w:rFonts w:hint="eastAsia" w:ascii="黑体" w:hAnsi="黑体" w:eastAsia="黑体" w:cs="黑体"/>
                <w:w w:val="90"/>
                <w:szCs w:val="21"/>
              </w:rPr>
              <w:t>17</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96F4646">
            <w:pPr>
              <w:jc w:val="left"/>
              <w:rPr>
                <w:rFonts w:hint="eastAsia" w:ascii="黑体" w:hAnsi="黑体" w:eastAsia="黑体" w:cs="黑体"/>
                <w:w w:val="90"/>
                <w:szCs w:val="21"/>
              </w:rPr>
            </w:pPr>
            <w:r>
              <w:rPr>
                <w:rFonts w:hint="eastAsia" w:ascii="黑体" w:hAnsi="黑体" w:eastAsia="黑体" w:cs="黑体"/>
                <w:w w:val="90"/>
                <w:szCs w:val="21"/>
              </w:rPr>
              <w:t>A060807便器冲洗阀</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CE7B801">
            <w:pPr>
              <w:jc w:val="left"/>
              <w:rPr>
                <w:rFonts w:hint="eastAsia" w:ascii="黑体" w:hAnsi="黑体" w:eastAsia="黑体" w:cs="黑体"/>
                <w:w w:val="90"/>
                <w:szCs w:val="21"/>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08AF0A1">
            <w:pPr>
              <w:jc w:val="center"/>
              <w:rPr>
                <w:rFonts w:hint="eastAsia" w:ascii="黑体" w:hAnsi="黑体" w:eastAsia="黑体" w:cs="黑体"/>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D3E2A67">
            <w:pPr>
              <w:jc w:val="left"/>
              <w:rPr>
                <w:rFonts w:hint="eastAsia" w:ascii="黑体" w:hAnsi="黑体" w:eastAsia="黑体" w:cs="黑体"/>
                <w:w w:val="90"/>
                <w:szCs w:val="21"/>
              </w:rPr>
            </w:pPr>
            <w:r>
              <w:rPr>
                <w:rFonts w:hint="eastAsia" w:ascii="黑体" w:hAnsi="黑体" w:eastAsia="黑体" w:cs="黑体"/>
                <w:w w:val="90"/>
                <w:szCs w:val="21"/>
              </w:rPr>
              <w:t>《便器冲洗阀用水效率限定值及用水效率等级》（GB 28379）</w:t>
            </w:r>
          </w:p>
        </w:tc>
      </w:tr>
      <w:tr w14:paraId="282C1F1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7D636B7">
            <w:pPr>
              <w:jc w:val="center"/>
              <w:rPr>
                <w:rFonts w:hint="eastAsia" w:ascii="黑体" w:hAnsi="黑体" w:eastAsia="黑体" w:cs="黑体"/>
                <w:w w:val="90"/>
                <w:szCs w:val="21"/>
              </w:rPr>
            </w:pPr>
            <w:r>
              <w:rPr>
                <w:rFonts w:hint="eastAsia" w:ascii="黑体" w:hAnsi="黑体" w:eastAsia="黑体" w:cs="黑体"/>
                <w:w w:val="90"/>
                <w:szCs w:val="21"/>
              </w:rPr>
              <w:t>18</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FFDFF72">
            <w:pPr>
              <w:jc w:val="left"/>
              <w:rPr>
                <w:rFonts w:hint="eastAsia" w:ascii="黑体" w:hAnsi="黑体" w:eastAsia="黑体" w:cs="黑体"/>
                <w:w w:val="90"/>
                <w:szCs w:val="21"/>
              </w:rPr>
            </w:pPr>
            <w:r>
              <w:rPr>
                <w:rFonts w:hint="eastAsia" w:ascii="黑体" w:hAnsi="黑体" w:eastAsia="黑体" w:cs="黑体"/>
                <w:w w:val="90"/>
                <w:szCs w:val="21"/>
              </w:rPr>
              <w:t>A060810淋浴器</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E3D80A4">
            <w:pPr>
              <w:jc w:val="left"/>
              <w:rPr>
                <w:rFonts w:hint="eastAsia" w:ascii="黑体" w:hAnsi="黑体" w:eastAsia="黑体" w:cs="黑体"/>
                <w:w w:val="90"/>
                <w:szCs w:val="21"/>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87D17AD">
            <w:pPr>
              <w:jc w:val="center"/>
              <w:rPr>
                <w:rFonts w:hint="eastAsia" w:ascii="黑体" w:hAnsi="黑体" w:eastAsia="黑体" w:cs="黑体"/>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2022AAF">
            <w:pPr>
              <w:jc w:val="left"/>
              <w:rPr>
                <w:rFonts w:hint="eastAsia" w:ascii="黑体" w:hAnsi="黑体" w:eastAsia="黑体" w:cs="黑体"/>
                <w:w w:val="90"/>
                <w:szCs w:val="21"/>
              </w:rPr>
            </w:pPr>
            <w:r>
              <w:rPr>
                <w:rFonts w:hint="eastAsia" w:ascii="黑体" w:hAnsi="黑体" w:eastAsia="黑体" w:cs="黑体"/>
                <w:w w:val="90"/>
                <w:szCs w:val="21"/>
              </w:rPr>
              <w:t>《淋浴器用水效率限定值及用水效率等级》（GB 28378）</w:t>
            </w:r>
          </w:p>
        </w:tc>
      </w:tr>
    </w:tbl>
    <w:p w14:paraId="3FB192F2">
      <w:pPr>
        <w:rPr>
          <w:rFonts w:hint="eastAsia" w:ascii="黑体" w:hAnsi="黑体" w:eastAsia="黑体" w:cs="黑体"/>
          <w:b/>
          <w:w w:val="90"/>
          <w:szCs w:val="21"/>
        </w:rPr>
      </w:pPr>
      <w:r>
        <w:rPr>
          <w:rFonts w:hint="eastAsia" w:ascii="黑体" w:hAnsi="黑体" w:eastAsia="黑体" w:cs="黑体"/>
          <w:b/>
          <w:w w:val="90"/>
          <w:szCs w:val="21"/>
        </w:rPr>
        <w:t>注：</w:t>
      </w:r>
    </w:p>
    <w:p w14:paraId="1A5F1360">
      <w:pPr>
        <w:rPr>
          <w:rFonts w:hint="eastAsia" w:ascii="黑体" w:hAnsi="黑体" w:eastAsia="黑体" w:cs="黑体"/>
          <w:b/>
          <w:w w:val="90"/>
          <w:szCs w:val="21"/>
        </w:rPr>
      </w:pPr>
      <w:r>
        <w:rPr>
          <w:rFonts w:hint="eastAsia" w:ascii="黑体" w:hAnsi="黑体" w:eastAsia="黑体" w:cs="黑体"/>
          <w:b/>
          <w:w w:val="90"/>
          <w:szCs w:val="21"/>
        </w:rPr>
        <w:t>1、节能产品认证应依据相关国家标准的最新版本，依据国家标准中二级能效（水效）指标。</w:t>
      </w:r>
    </w:p>
    <w:p w14:paraId="4C770BF6">
      <w:pPr>
        <w:rPr>
          <w:rFonts w:hint="eastAsia" w:ascii="黑体" w:hAnsi="黑体" w:eastAsia="黑体" w:cs="黑体"/>
          <w:b/>
          <w:w w:val="90"/>
          <w:szCs w:val="21"/>
        </w:rPr>
      </w:pPr>
      <w:r>
        <w:rPr>
          <w:rFonts w:hint="eastAsia" w:ascii="黑体" w:hAnsi="黑体" w:eastAsia="黑体" w:cs="黑体"/>
          <w:b/>
          <w:w w:val="90"/>
          <w:szCs w:val="21"/>
        </w:rPr>
        <w:t>2、上述产品中认证标准发生变更的，依据原认证标准获得的、仍在有效期内的认证证书可使用至2019年6月1日。</w:t>
      </w:r>
    </w:p>
    <w:p w14:paraId="0E12BE27">
      <w:pPr>
        <w:rPr>
          <w:rFonts w:hint="eastAsia" w:ascii="黑体" w:hAnsi="黑体" w:eastAsia="黑体" w:cs="黑体"/>
          <w:b/>
          <w:w w:val="90"/>
          <w:szCs w:val="21"/>
        </w:rPr>
      </w:pPr>
      <w:r>
        <w:rPr>
          <w:rFonts w:hint="eastAsia" w:ascii="黑体" w:hAnsi="黑体" w:eastAsia="黑体" w:cs="黑体"/>
          <w:b/>
          <w:w w:val="90"/>
          <w:szCs w:val="21"/>
        </w:rPr>
        <w:t>3、以“★”标注的为政府强制采购产品。</w:t>
      </w:r>
    </w:p>
    <w:p w14:paraId="00159339">
      <w:pPr>
        <w:adjustRightInd w:val="0"/>
        <w:snapToGrid w:val="0"/>
        <w:rPr>
          <w:rFonts w:hint="eastAsia" w:ascii="黑体" w:hAnsi="黑体" w:eastAsia="黑体" w:cs="黑体"/>
          <w:b/>
          <w:szCs w:val="21"/>
        </w:rPr>
      </w:pPr>
    </w:p>
    <w:p w14:paraId="56BD95E5">
      <w:pPr>
        <w:rPr>
          <w:rFonts w:hint="eastAsia" w:ascii="黑体" w:hAnsi="黑体" w:eastAsia="黑体" w:cs="黑体"/>
          <w:b/>
          <w:bCs/>
          <w:szCs w:val="21"/>
        </w:rPr>
      </w:pPr>
      <w:r>
        <w:rPr>
          <w:rFonts w:hint="eastAsia" w:ascii="黑体" w:hAnsi="黑体" w:eastAsia="黑体" w:cs="黑体"/>
          <w:b/>
          <w:bCs/>
          <w:szCs w:val="21"/>
        </w:rPr>
        <w:br w:type="page"/>
      </w:r>
    </w:p>
    <w:p w14:paraId="422C6821">
      <w:pPr>
        <w:keepNext/>
        <w:widowControl/>
        <w:rPr>
          <w:rFonts w:hint="eastAsia" w:ascii="黑体" w:hAnsi="黑体" w:eastAsia="黑体" w:cs="黑体"/>
          <w:b/>
          <w:bCs/>
          <w:szCs w:val="21"/>
        </w:rPr>
      </w:pPr>
      <w:r>
        <w:rPr>
          <w:rFonts w:hint="eastAsia" w:ascii="黑体" w:hAnsi="黑体" w:eastAsia="黑体" w:cs="黑体"/>
          <w:b/>
          <w:bCs/>
          <w:szCs w:val="21"/>
        </w:rPr>
        <w:t>附件：环境标志产品政府采购品目清单</w:t>
      </w:r>
    </w:p>
    <w:tbl>
      <w:tblPr>
        <w:tblStyle w:val="23"/>
        <w:tblW w:w="5000" w:type="pct"/>
        <w:tblInd w:w="0" w:type="dxa"/>
        <w:tblLayout w:type="autofit"/>
        <w:tblCellMar>
          <w:top w:w="0" w:type="dxa"/>
          <w:left w:w="108" w:type="dxa"/>
          <w:bottom w:w="0" w:type="dxa"/>
          <w:right w:w="108" w:type="dxa"/>
        </w:tblCellMar>
      </w:tblPr>
      <w:tblGrid>
        <w:gridCol w:w="770"/>
        <w:gridCol w:w="1181"/>
        <w:gridCol w:w="2444"/>
        <w:gridCol w:w="1934"/>
        <w:gridCol w:w="3299"/>
      </w:tblGrid>
      <w:tr w14:paraId="4BF21995">
        <w:tblPrEx>
          <w:tblCellMar>
            <w:top w:w="0" w:type="dxa"/>
            <w:left w:w="108" w:type="dxa"/>
            <w:bottom w:w="0" w:type="dxa"/>
            <w:right w:w="108" w:type="dxa"/>
          </w:tblCellMar>
        </w:tblPrEx>
        <w:trPr>
          <w:trHeight w:val="638" w:hRule="atLeast"/>
          <w:tblHeader/>
        </w:trPr>
        <w:tc>
          <w:tcPr>
            <w:tcW w:w="400" w:type="pct"/>
            <w:tcBorders>
              <w:top w:val="single" w:color="70AD47" w:sz="4" w:space="0"/>
              <w:left w:val="single" w:color="70AD47" w:sz="4" w:space="0"/>
              <w:bottom w:val="single" w:color="70AD47" w:sz="4" w:space="0"/>
              <w:right w:val="single" w:color="70AD47" w:sz="4" w:space="0"/>
              <w:tl2br w:val="nil"/>
            </w:tcBorders>
            <w:shd w:val="clear" w:color="auto" w:fill="AAD18D"/>
            <w:vAlign w:val="center"/>
          </w:tcPr>
          <w:p w14:paraId="3CA39DB8">
            <w:pPr>
              <w:widowControl/>
              <w:jc w:val="left"/>
              <w:rPr>
                <w:rFonts w:hint="eastAsia" w:ascii="黑体" w:hAnsi="黑体" w:eastAsia="黑体" w:cs="黑体"/>
                <w:b/>
                <w:bCs/>
                <w:kern w:val="0"/>
                <w:szCs w:val="21"/>
              </w:rPr>
            </w:pPr>
            <w:bookmarkStart w:id="61" w:name="_Hlk171952688"/>
            <w:r>
              <w:rPr>
                <w:rFonts w:hint="eastAsia" w:ascii="黑体" w:hAnsi="黑体" w:eastAsia="黑体" w:cs="黑体"/>
                <w:b/>
                <w:bCs/>
                <w:kern w:val="0"/>
                <w:szCs w:val="21"/>
              </w:rPr>
              <w:t>品目</w:t>
            </w:r>
            <w:r>
              <w:rPr>
                <w:rFonts w:hint="eastAsia" w:ascii="黑体" w:hAnsi="黑体" w:eastAsia="黑体" w:cs="黑体"/>
                <w:b/>
                <w:bCs/>
                <w:kern w:val="0"/>
                <w:szCs w:val="21"/>
              </w:rPr>
              <w:br w:type="textWrapping"/>
            </w:r>
            <w:r>
              <w:rPr>
                <w:rFonts w:hint="eastAsia" w:ascii="黑体" w:hAnsi="黑体" w:eastAsia="黑体" w:cs="黑体"/>
                <w:b/>
                <w:bCs/>
                <w:kern w:val="0"/>
                <w:szCs w:val="21"/>
              </w:rPr>
              <w:t>序号</w:t>
            </w:r>
          </w:p>
        </w:tc>
        <w:tc>
          <w:tcPr>
            <w:tcW w:w="2885" w:type="pct"/>
            <w:gridSpan w:val="3"/>
            <w:tcBorders>
              <w:top w:val="single" w:color="70AD47" w:sz="4" w:space="0"/>
              <w:left w:val="single" w:color="70AD47" w:sz="4" w:space="0"/>
              <w:bottom w:val="single" w:color="70AD47" w:sz="4" w:space="0"/>
              <w:right w:val="single" w:color="70AD47" w:sz="4" w:space="0"/>
            </w:tcBorders>
            <w:shd w:val="clear" w:color="auto" w:fill="AAD18D"/>
            <w:vAlign w:val="center"/>
          </w:tcPr>
          <w:p w14:paraId="6BE66C9D">
            <w:pPr>
              <w:widowControl/>
              <w:jc w:val="center"/>
              <w:rPr>
                <w:rFonts w:hint="eastAsia" w:ascii="黑体" w:hAnsi="黑体" w:eastAsia="黑体" w:cs="黑体"/>
                <w:b/>
                <w:bCs/>
                <w:kern w:val="0"/>
                <w:szCs w:val="21"/>
              </w:rPr>
            </w:pPr>
            <w:r>
              <w:rPr>
                <w:rFonts w:hint="eastAsia" w:ascii="黑体" w:hAnsi="黑体" w:eastAsia="黑体" w:cs="黑体"/>
                <w:b/>
                <w:bCs/>
                <w:kern w:val="0"/>
                <w:szCs w:val="21"/>
              </w:rPr>
              <w:t>名称</w:t>
            </w:r>
          </w:p>
        </w:tc>
        <w:tc>
          <w:tcPr>
            <w:tcW w:w="1713" w:type="pct"/>
            <w:tcBorders>
              <w:top w:val="single" w:color="70AD47" w:sz="4" w:space="0"/>
              <w:left w:val="single" w:color="70AD47" w:sz="4" w:space="0"/>
              <w:bottom w:val="single" w:color="70AD47" w:sz="4" w:space="0"/>
              <w:right w:val="single" w:color="70AD47" w:sz="4" w:space="0"/>
            </w:tcBorders>
            <w:shd w:val="clear" w:color="auto" w:fill="AAD18D"/>
            <w:vAlign w:val="center"/>
          </w:tcPr>
          <w:p w14:paraId="01E1BBE6">
            <w:pPr>
              <w:widowControl/>
              <w:jc w:val="center"/>
              <w:rPr>
                <w:rFonts w:hint="eastAsia" w:ascii="黑体" w:hAnsi="黑体" w:eastAsia="黑体" w:cs="黑体"/>
                <w:b/>
                <w:bCs/>
                <w:kern w:val="0"/>
                <w:szCs w:val="21"/>
              </w:rPr>
            </w:pPr>
            <w:r>
              <w:rPr>
                <w:rFonts w:hint="eastAsia" w:ascii="黑体" w:hAnsi="黑体" w:eastAsia="黑体" w:cs="黑体"/>
                <w:b/>
                <w:bCs/>
                <w:kern w:val="0"/>
                <w:szCs w:val="21"/>
              </w:rPr>
              <w:t>依据的标准</w:t>
            </w:r>
          </w:p>
        </w:tc>
      </w:tr>
      <w:tr w14:paraId="422BD862">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21CC375C">
            <w:pPr>
              <w:widowControl/>
              <w:jc w:val="left"/>
              <w:rPr>
                <w:rFonts w:hint="eastAsia" w:ascii="黑体" w:hAnsi="黑体" w:eastAsia="黑体" w:cs="黑体"/>
                <w:kern w:val="0"/>
                <w:szCs w:val="21"/>
              </w:rPr>
            </w:pPr>
            <w:r>
              <w:rPr>
                <w:rFonts w:hint="eastAsia" w:ascii="黑体" w:hAnsi="黑体" w:eastAsia="黑体" w:cs="黑体"/>
                <w:kern w:val="0"/>
                <w:szCs w:val="21"/>
              </w:rPr>
              <w:t xml:space="preserve">1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327480D1">
            <w:pPr>
              <w:widowControl/>
              <w:jc w:val="left"/>
              <w:rPr>
                <w:rFonts w:hint="eastAsia" w:ascii="黑体" w:hAnsi="黑体" w:eastAsia="黑体" w:cs="黑体"/>
                <w:kern w:val="0"/>
                <w:szCs w:val="21"/>
              </w:rPr>
            </w:pPr>
            <w:r>
              <w:rPr>
                <w:rFonts w:hint="eastAsia" w:ascii="黑体" w:hAnsi="黑体" w:eastAsia="黑体" w:cs="黑体"/>
                <w:kern w:val="0"/>
                <w:szCs w:val="21"/>
              </w:rPr>
              <w:t>A020101 计算机设备</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A7E94D6">
            <w:pPr>
              <w:widowControl/>
              <w:jc w:val="left"/>
              <w:rPr>
                <w:rFonts w:hint="eastAsia" w:ascii="黑体" w:hAnsi="黑体" w:eastAsia="黑体" w:cs="黑体"/>
                <w:kern w:val="0"/>
                <w:szCs w:val="21"/>
              </w:rPr>
            </w:pPr>
            <w:r>
              <w:rPr>
                <w:rFonts w:hint="eastAsia" w:ascii="黑体" w:hAnsi="黑体" w:eastAsia="黑体" w:cs="黑体"/>
                <w:kern w:val="0"/>
                <w:szCs w:val="21"/>
              </w:rPr>
              <w:t>A02010103 服务器</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520B773">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32A8B38">
            <w:pPr>
              <w:widowControl/>
              <w:jc w:val="left"/>
              <w:rPr>
                <w:rFonts w:hint="eastAsia" w:ascii="黑体" w:hAnsi="黑体" w:eastAsia="黑体" w:cs="黑体"/>
                <w:kern w:val="0"/>
                <w:szCs w:val="21"/>
              </w:rPr>
            </w:pPr>
            <w:r>
              <w:rPr>
                <w:rFonts w:hint="eastAsia" w:ascii="黑体" w:hAnsi="黑体" w:eastAsia="黑体" w:cs="黑体"/>
                <w:kern w:val="0"/>
                <w:szCs w:val="21"/>
              </w:rPr>
              <w:t>HJ2507 网络服务器</w:t>
            </w:r>
          </w:p>
        </w:tc>
      </w:tr>
      <w:tr w14:paraId="0072AFB8">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718F6F4">
            <w:pPr>
              <w:widowControl/>
              <w:jc w:val="left"/>
              <w:rPr>
                <w:rFonts w:hint="eastAsia" w:ascii="黑体" w:hAnsi="黑体" w:eastAsia="黑体" w:cs="黑体"/>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3C6AFD5">
            <w:pPr>
              <w:widowControl/>
              <w:jc w:val="left"/>
              <w:rPr>
                <w:rFonts w:hint="eastAsia" w:ascii="黑体" w:hAnsi="黑体" w:eastAsia="黑体" w:cs="黑体"/>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85432E7">
            <w:pPr>
              <w:widowControl/>
              <w:jc w:val="left"/>
              <w:rPr>
                <w:rFonts w:hint="eastAsia" w:ascii="黑体" w:hAnsi="黑体" w:eastAsia="黑体" w:cs="黑体"/>
                <w:kern w:val="0"/>
                <w:szCs w:val="21"/>
              </w:rPr>
            </w:pPr>
            <w:r>
              <w:rPr>
                <w:rFonts w:hint="eastAsia" w:ascii="黑体" w:hAnsi="黑体" w:eastAsia="黑体" w:cs="黑体"/>
                <w:kern w:val="0"/>
                <w:szCs w:val="21"/>
              </w:rPr>
              <w:t>A02010104 台式计算机</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131AE6B">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9FD2B4A">
            <w:pPr>
              <w:widowControl/>
              <w:jc w:val="left"/>
              <w:rPr>
                <w:rFonts w:hint="eastAsia" w:ascii="黑体" w:hAnsi="黑体" w:eastAsia="黑体" w:cs="黑体"/>
                <w:kern w:val="0"/>
                <w:szCs w:val="21"/>
              </w:rPr>
            </w:pPr>
            <w:r>
              <w:rPr>
                <w:rFonts w:hint="eastAsia" w:ascii="黑体" w:hAnsi="黑体" w:eastAsia="黑体" w:cs="黑体"/>
                <w:kern w:val="0"/>
                <w:szCs w:val="21"/>
              </w:rPr>
              <w:t>HJ2536 微型计算机、显示器</w:t>
            </w:r>
          </w:p>
        </w:tc>
      </w:tr>
      <w:tr w14:paraId="37EB581A">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ACBE6CE">
            <w:pPr>
              <w:widowControl/>
              <w:jc w:val="left"/>
              <w:rPr>
                <w:rFonts w:hint="eastAsia" w:ascii="黑体" w:hAnsi="黑体" w:eastAsia="黑体" w:cs="黑体"/>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B625930">
            <w:pPr>
              <w:widowControl/>
              <w:jc w:val="left"/>
              <w:rPr>
                <w:rFonts w:hint="eastAsia" w:ascii="黑体" w:hAnsi="黑体" w:eastAsia="黑体" w:cs="黑体"/>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704380A">
            <w:pPr>
              <w:widowControl/>
              <w:jc w:val="left"/>
              <w:rPr>
                <w:rFonts w:hint="eastAsia" w:ascii="黑体" w:hAnsi="黑体" w:eastAsia="黑体" w:cs="黑体"/>
                <w:kern w:val="0"/>
                <w:szCs w:val="21"/>
              </w:rPr>
            </w:pPr>
            <w:r>
              <w:rPr>
                <w:rFonts w:hint="eastAsia" w:ascii="黑体" w:hAnsi="黑体" w:eastAsia="黑体" w:cs="黑体"/>
                <w:kern w:val="0"/>
                <w:szCs w:val="21"/>
              </w:rPr>
              <w:t>A02010105 便携式计算机</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7E6BAE9">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99D7055">
            <w:pPr>
              <w:widowControl/>
              <w:jc w:val="left"/>
              <w:rPr>
                <w:rFonts w:hint="eastAsia" w:ascii="黑体" w:hAnsi="黑体" w:eastAsia="黑体" w:cs="黑体"/>
                <w:kern w:val="0"/>
                <w:szCs w:val="21"/>
              </w:rPr>
            </w:pPr>
            <w:r>
              <w:rPr>
                <w:rFonts w:hint="eastAsia" w:ascii="黑体" w:hAnsi="黑体" w:eastAsia="黑体" w:cs="黑体"/>
                <w:kern w:val="0"/>
                <w:szCs w:val="21"/>
              </w:rPr>
              <w:t>HJ2536 微型计算机、显示器</w:t>
            </w:r>
          </w:p>
        </w:tc>
      </w:tr>
      <w:tr w14:paraId="33A8940D">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A9FB483">
            <w:pPr>
              <w:widowControl/>
              <w:jc w:val="left"/>
              <w:rPr>
                <w:rFonts w:hint="eastAsia" w:ascii="黑体" w:hAnsi="黑体" w:eastAsia="黑体" w:cs="黑体"/>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BDCE1FA">
            <w:pPr>
              <w:widowControl/>
              <w:jc w:val="left"/>
              <w:rPr>
                <w:rFonts w:hint="eastAsia" w:ascii="黑体" w:hAnsi="黑体" w:eastAsia="黑体" w:cs="黑体"/>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3D60C3D">
            <w:pPr>
              <w:widowControl/>
              <w:jc w:val="left"/>
              <w:rPr>
                <w:rFonts w:hint="eastAsia" w:ascii="黑体" w:hAnsi="黑体" w:eastAsia="黑体" w:cs="黑体"/>
                <w:kern w:val="0"/>
                <w:szCs w:val="21"/>
              </w:rPr>
            </w:pPr>
            <w:r>
              <w:rPr>
                <w:rFonts w:hint="eastAsia" w:ascii="黑体" w:hAnsi="黑体" w:eastAsia="黑体" w:cs="黑体"/>
                <w:kern w:val="0"/>
                <w:szCs w:val="21"/>
              </w:rPr>
              <w:t>A02010107 平板式微型计算机</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5A04086">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FD82FA4">
            <w:pPr>
              <w:widowControl/>
              <w:jc w:val="left"/>
              <w:rPr>
                <w:rFonts w:hint="eastAsia" w:ascii="黑体" w:hAnsi="黑体" w:eastAsia="黑体" w:cs="黑体"/>
                <w:kern w:val="0"/>
                <w:szCs w:val="21"/>
              </w:rPr>
            </w:pPr>
            <w:r>
              <w:rPr>
                <w:rFonts w:hint="eastAsia" w:ascii="黑体" w:hAnsi="黑体" w:eastAsia="黑体" w:cs="黑体"/>
                <w:kern w:val="0"/>
                <w:szCs w:val="21"/>
              </w:rPr>
              <w:t>HJ2536 微型计算机、显示器</w:t>
            </w:r>
          </w:p>
        </w:tc>
      </w:tr>
      <w:tr w14:paraId="12722B2A">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54478A8">
            <w:pPr>
              <w:widowControl/>
              <w:jc w:val="left"/>
              <w:rPr>
                <w:rFonts w:hint="eastAsia" w:ascii="黑体" w:hAnsi="黑体" w:eastAsia="黑体" w:cs="黑体"/>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ED5BF3E">
            <w:pPr>
              <w:widowControl/>
              <w:jc w:val="left"/>
              <w:rPr>
                <w:rFonts w:hint="eastAsia" w:ascii="黑体" w:hAnsi="黑体" w:eastAsia="黑体" w:cs="黑体"/>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9166AD1">
            <w:pPr>
              <w:widowControl/>
              <w:jc w:val="left"/>
              <w:rPr>
                <w:rFonts w:hint="eastAsia" w:ascii="黑体" w:hAnsi="黑体" w:eastAsia="黑体" w:cs="黑体"/>
                <w:kern w:val="0"/>
                <w:szCs w:val="21"/>
              </w:rPr>
            </w:pPr>
            <w:r>
              <w:rPr>
                <w:rFonts w:hint="eastAsia" w:ascii="黑体" w:hAnsi="黑体" w:eastAsia="黑体" w:cs="黑体"/>
                <w:kern w:val="0"/>
                <w:szCs w:val="21"/>
              </w:rPr>
              <w:t>A02010108 网络计算机</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C0C9DBB">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B0BE58C">
            <w:pPr>
              <w:widowControl/>
              <w:jc w:val="left"/>
              <w:rPr>
                <w:rFonts w:hint="eastAsia" w:ascii="黑体" w:hAnsi="黑体" w:eastAsia="黑体" w:cs="黑体"/>
                <w:kern w:val="0"/>
                <w:szCs w:val="21"/>
              </w:rPr>
            </w:pPr>
            <w:r>
              <w:rPr>
                <w:rFonts w:hint="eastAsia" w:ascii="黑体" w:hAnsi="黑体" w:eastAsia="黑体" w:cs="黑体"/>
                <w:kern w:val="0"/>
                <w:szCs w:val="21"/>
              </w:rPr>
              <w:t>HJ2536 微型计算机、显示器</w:t>
            </w:r>
          </w:p>
        </w:tc>
      </w:tr>
      <w:tr w14:paraId="648396DC">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0EEB51D">
            <w:pPr>
              <w:widowControl/>
              <w:jc w:val="left"/>
              <w:rPr>
                <w:rFonts w:hint="eastAsia" w:ascii="黑体" w:hAnsi="黑体" w:eastAsia="黑体" w:cs="黑体"/>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0A6DE9F">
            <w:pPr>
              <w:widowControl/>
              <w:jc w:val="left"/>
              <w:rPr>
                <w:rFonts w:hint="eastAsia" w:ascii="黑体" w:hAnsi="黑体" w:eastAsia="黑体" w:cs="黑体"/>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CB73F5F">
            <w:pPr>
              <w:widowControl/>
              <w:jc w:val="left"/>
              <w:rPr>
                <w:rFonts w:hint="eastAsia" w:ascii="黑体" w:hAnsi="黑体" w:eastAsia="黑体" w:cs="黑体"/>
                <w:kern w:val="0"/>
                <w:szCs w:val="21"/>
              </w:rPr>
            </w:pPr>
            <w:r>
              <w:rPr>
                <w:rFonts w:hint="eastAsia" w:ascii="黑体" w:hAnsi="黑体" w:eastAsia="黑体" w:cs="黑体"/>
                <w:kern w:val="0"/>
                <w:szCs w:val="21"/>
              </w:rPr>
              <w:t>A02010109 计算机工作站</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D06EF89">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E20344E">
            <w:pPr>
              <w:widowControl/>
              <w:jc w:val="left"/>
              <w:rPr>
                <w:rFonts w:hint="eastAsia" w:ascii="黑体" w:hAnsi="黑体" w:eastAsia="黑体" w:cs="黑体"/>
                <w:kern w:val="0"/>
                <w:szCs w:val="21"/>
              </w:rPr>
            </w:pPr>
            <w:r>
              <w:rPr>
                <w:rFonts w:hint="eastAsia" w:ascii="黑体" w:hAnsi="黑体" w:eastAsia="黑体" w:cs="黑体"/>
                <w:kern w:val="0"/>
                <w:szCs w:val="21"/>
              </w:rPr>
              <w:t>HJ2536 微型计算机、显示器</w:t>
            </w:r>
          </w:p>
        </w:tc>
      </w:tr>
      <w:tr w14:paraId="015E7454">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73F5FF2">
            <w:pPr>
              <w:widowControl/>
              <w:jc w:val="left"/>
              <w:rPr>
                <w:rFonts w:hint="eastAsia" w:ascii="黑体" w:hAnsi="黑体" w:eastAsia="黑体" w:cs="黑体"/>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550A194">
            <w:pPr>
              <w:widowControl/>
              <w:jc w:val="left"/>
              <w:rPr>
                <w:rFonts w:hint="eastAsia" w:ascii="黑体" w:hAnsi="黑体" w:eastAsia="黑体" w:cs="黑体"/>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1537C5D">
            <w:pPr>
              <w:widowControl/>
              <w:jc w:val="left"/>
              <w:rPr>
                <w:rFonts w:hint="eastAsia" w:ascii="黑体" w:hAnsi="黑体" w:eastAsia="黑体" w:cs="黑体"/>
                <w:kern w:val="0"/>
                <w:szCs w:val="21"/>
              </w:rPr>
            </w:pPr>
            <w:r>
              <w:rPr>
                <w:rFonts w:hint="eastAsia" w:ascii="黑体" w:hAnsi="黑体" w:eastAsia="黑体" w:cs="黑体"/>
                <w:kern w:val="0"/>
                <w:szCs w:val="21"/>
              </w:rPr>
              <w:t>A02010199 其他计算机设备</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AD6CE35">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DB19999">
            <w:pPr>
              <w:widowControl/>
              <w:jc w:val="left"/>
              <w:rPr>
                <w:rFonts w:hint="eastAsia" w:ascii="黑体" w:hAnsi="黑体" w:eastAsia="黑体" w:cs="黑体"/>
                <w:kern w:val="0"/>
                <w:szCs w:val="21"/>
              </w:rPr>
            </w:pPr>
            <w:r>
              <w:rPr>
                <w:rFonts w:hint="eastAsia" w:ascii="黑体" w:hAnsi="黑体" w:eastAsia="黑体" w:cs="黑体"/>
                <w:kern w:val="0"/>
                <w:szCs w:val="21"/>
              </w:rPr>
              <w:t>HJ2536 微型计算机、显示器</w:t>
            </w:r>
          </w:p>
        </w:tc>
      </w:tr>
      <w:tr w14:paraId="265CC720">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1FA163A7">
            <w:pPr>
              <w:widowControl/>
              <w:jc w:val="left"/>
              <w:rPr>
                <w:rFonts w:hint="eastAsia" w:ascii="黑体" w:hAnsi="黑体" w:eastAsia="黑体" w:cs="黑体"/>
                <w:kern w:val="0"/>
                <w:szCs w:val="21"/>
              </w:rPr>
            </w:pPr>
            <w:r>
              <w:rPr>
                <w:rFonts w:hint="eastAsia" w:ascii="黑体" w:hAnsi="黑体" w:eastAsia="黑体" w:cs="黑体"/>
                <w:kern w:val="0"/>
                <w:szCs w:val="21"/>
              </w:rPr>
              <w:t xml:space="preserve">2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0D78CCCC">
            <w:pPr>
              <w:widowControl/>
              <w:jc w:val="left"/>
              <w:rPr>
                <w:rFonts w:hint="eastAsia" w:ascii="黑体" w:hAnsi="黑体" w:eastAsia="黑体" w:cs="黑体"/>
                <w:kern w:val="0"/>
                <w:szCs w:val="21"/>
              </w:rPr>
            </w:pPr>
            <w:r>
              <w:rPr>
                <w:rFonts w:hint="eastAsia" w:ascii="黑体" w:hAnsi="黑体" w:eastAsia="黑体" w:cs="黑体"/>
                <w:kern w:val="0"/>
                <w:szCs w:val="21"/>
              </w:rPr>
              <w:t>A020106 输入输出设备</w:t>
            </w:r>
          </w:p>
        </w:tc>
        <w:tc>
          <w:tcPr>
            <w:tcW w:w="1269"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6E5565E4">
            <w:pPr>
              <w:widowControl/>
              <w:jc w:val="left"/>
              <w:rPr>
                <w:rFonts w:hint="eastAsia" w:ascii="黑体" w:hAnsi="黑体" w:eastAsia="黑体" w:cs="黑体"/>
                <w:kern w:val="0"/>
                <w:szCs w:val="21"/>
              </w:rPr>
            </w:pPr>
            <w:r>
              <w:rPr>
                <w:rFonts w:hint="eastAsia" w:ascii="黑体" w:hAnsi="黑体" w:eastAsia="黑体" w:cs="黑体"/>
                <w:kern w:val="0"/>
                <w:szCs w:val="21"/>
              </w:rPr>
              <w:t>A02010601 打印设备</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D32D1BA">
            <w:pPr>
              <w:widowControl/>
              <w:jc w:val="left"/>
              <w:rPr>
                <w:rFonts w:hint="eastAsia" w:ascii="黑体" w:hAnsi="黑体" w:eastAsia="黑体" w:cs="黑体"/>
                <w:kern w:val="0"/>
                <w:szCs w:val="21"/>
              </w:rPr>
            </w:pPr>
            <w:r>
              <w:rPr>
                <w:rFonts w:hint="eastAsia" w:ascii="黑体" w:hAnsi="黑体" w:eastAsia="黑体" w:cs="黑体"/>
                <w:kern w:val="0"/>
                <w:szCs w:val="21"/>
              </w:rPr>
              <w:t>A0201060101 喷墨打印机</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1A4B267">
            <w:pPr>
              <w:widowControl/>
              <w:jc w:val="left"/>
              <w:rPr>
                <w:rFonts w:hint="eastAsia" w:ascii="黑体" w:hAnsi="黑体" w:eastAsia="黑体" w:cs="黑体"/>
                <w:kern w:val="0"/>
                <w:szCs w:val="21"/>
              </w:rPr>
            </w:pPr>
            <w:r>
              <w:rPr>
                <w:rFonts w:hint="eastAsia" w:ascii="黑体" w:hAnsi="黑体" w:eastAsia="黑体" w:cs="黑体"/>
                <w:kern w:val="0"/>
                <w:szCs w:val="21"/>
              </w:rPr>
              <w:t>HJ2512 打印机、传真机及多功能一体机</w:t>
            </w:r>
          </w:p>
        </w:tc>
      </w:tr>
      <w:tr w14:paraId="72E349C1">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04FE8D2">
            <w:pPr>
              <w:widowControl/>
              <w:jc w:val="left"/>
              <w:rPr>
                <w:rFonts w:hint="eastAsia" w:ascii="黑体" w:hAnsi="黑体" w:eastAsia="黑体" w:cs="黑体"/>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4A3AF99">
            <w:pPr>
              <w:widowControl/>
              <w:jc w:val="left"/>
              <w:rPr>
                <w:rFonts w:hint="eastAsia" w:ascii="黑体" w:hAnsi="黑体" w:eastAsia="黑体" w:cs="黑体"/>
                <w:kern w:val="0"/>
                <w:szCs w:val="21"/>
              </w:rPr>
            </w:pPr>
          </w:p>
        </w:tc>
        <w:tc>
          <w:tcPr>
            <w:tcW w:w="1269"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6944092">
            <w:pPr>
              <w:widowControl/>
              <w:jc w:val="left"/>
              <w:rPr>
                <w:rFonts w:hint="eastAsia" w:ascii="黑体" w:hAnsi="黑体" w:eastAsia="黑体" w:cs="黑体"/>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07DFF85">
            <w:pPr>
              <w:widowControl/>
              <w:jc w:val="left"/>
              <w:rPr>
                <w:rFonts w:hint="eastAsia" w:ascii="黑体" w:hAnsi="黑体" w:eastAsia="黑体" w:cs="黑体"/>
                <w:kern w:val="0"/>
                <w:szCs w:val="21"/>
              </w:rPr>
            </w:pPr>
            <w:r>
              <w:rPr>
                <w:rFonts w:hint="eastAsia" w:ascii="黑体" w:hAnsi="黑体" w:eastAsia="黑体" w:cs="黑体"/>
                <w:kern w:val="0"/>
                <w:szCs w:val="21"/>
              </w:rPr>
              <w:t>A0201060102 激光打印机</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CC09365">
            <w:pPr>
              <w:widowControl/>
              <w:jc w:val="left"/>
              <w:rPr>
                <w:rFonts w:hint="eastAsia" w:ascii="黑体" w:hAnsi="黑体" w:eastAsia="黑体" w:cs="黑体"/>
                <w:kern w:val="0"/>
                <w:szCs w:val="21"/>
              </w:rPr>
            </w:pPr>
            <w:r>
              <w:rPr>
                <w:rFonts w:hint="eastAsia" w:ascii="黑体" w:hAnsi="黑体" w:eastAsia="黑体" w:cs="黑体"/>
                <w:kern w:val="0"/>
                <w:szCs w:val="21"/>
              </w:rPr>
              <w:t>HJ2512 打印机、传真机及多功能一体机</w:t>
            </w:r>
          </w:p>
        </w:tc>
      </w:tr>
      <w:tr w14:paraId="63EDBA21">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4915692">
            <w:pPr>
              <w:widowControl/>
              <w:jc w:val="left"/>
              <w:rPr>
                <w:rFonts w:hint="eastAsia" w:ascii="黑体" w:hAnsi="黑体" w:eastAsia="黑体" w:cs="黑体"/>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6B2D06B">
            <w:pPr>
              <w:widowControl/>
              <w:jc w:val="left"/>
              <w:rPr>
                <w:rFonts w:hint="eastAsia" w:ascii="黑体" w:hAnsi="黑体" w:eastAsia="黑体" w:cs="黑体"/>
                <w:kern w:val="0"/>
                <w:szCs w:val="21"/>
              </w:rPr>
            </w:pPr>
          </w:p>
        </w:tc>
        <w:tc>
          <w:tcPr>
            <w:tcW w:w="1269"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4F2673F">
            <w:pPr>
              <w:widowControl/>
              <w:jc w:val="left"/>
              <w:rPr>
                <w:rFonts w:hint="eastAsia" w:ascii="黑体" w:hAnsi="黑体" w:eastAsia="黑体" w:cs="黑体"/>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26FB593">
            <w:pPr>
              <w:widowControl/>
              <w:jc w:val="left"/>
              <w:rPr>
                <w:rFonts w:hint="eastAsia" w:ascii="黑体" w:hAnsi="黑体" w:eastAsia="黑体" w:cs="黑体"/>
                <w:kern w:val="0"/>
                <w:szCs w:val="21"/>
              </w:rPr>
            </w:pPr>
            <w:r>
              <w:rPr>
                <w:rFonts w:hint="eastAsia" w:ascii="黑体" w:hAnsi="黑体" w:eastAsia="黑体" w:cs="黑体"/>
                <w:kern w:val="0"/>
                <w:szCs w:val="21"/>
              </w:rPr>
              <w:t>A0201060103 热式打印机</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295B281">
            <w:pPr>
              <w:widowControl/>
              <w:jc w:val="left"/>
              <w:rPr>
                <w:rFonts w:hint="eastAsia" w:ascii="黑体" w:hAnsi="黑体" w:eastAsia="黑体" w:cs="黑体"/>
                <w:kern w:val="0"/>
                <w:szCs w:val="21"/>
              </w:rPr>
            </w:pPr>
            <w:r>
              <w:rPr>
                <w:rFonts w:hint="eastAsia" w:ascii="黑体" w:hAnsi="黑体" w:eastAsia="黑体" w:cs="黑体"/>
                <w:kern w:val="0"/>
                <w:szCs w:val="21"/>
              </w:rPr>
              <w:t>HJ2512 打印机、传真机及多功能一体机</w:t>
            </w:r>
          </w:p>
        </w:tc>
      </w:tr>
      <w:tr w14:paraId="0A9132CF">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20A77D4">
            <w:pPr>
              <w:widowControl/>
              <w:jc w:val="left"/>
              <w:rPr>
                <w:rFonts w:hint="eastAsia" w:ascii="黑体" w:hAnsi="黑体" w:eastAsia="黑体" w:cs="黑体"/>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6A3D2CF">
            <w:pPr>
              <w:widowControl/>
              <w:jc w:val="left"/>
              <w:rPr>
                <w:rFonts w:hint="eastAsia" w:ascii="黑体" w:hAnsi="黑体" w:eastAsia="黑体" w:cs="黑体"/>
                <w:kern w:val="0"/>
                <w:szCs w:val="21"/>
              </w:rPr>
            </w:pPr>
          </w:p>
        </w:tc>
        <w:tc>
          <w:tcPr>
            <w:tcW w:w="1269"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5DB4463">
            <w:pPr>
              <w:widowControl/>
              <w:jc w:val="left"/>
              <w:rPr>
                <w:rFonts w:hint="eastAsia" w:ascii="黑体" w:hAnsi="黑体" w:eastAsia="黑体" w:cs="黑体"/>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7DB671A">
            <w:pPr>
              <w:widowControl/>
              <w:jc w:val="left"/>
              <w:rPr>
                <w:rFonts w:hint="eastAsia" w:ascii="黑体" w:hAnsi="黑体" w:eastAsia="黑体" w:cs="黑体"/>
                <w:kern w:val="0"/>
                <w:szCs w:val="21"/>
              </w:rPr>
            </w:pPr>
            <w:r>
              <w:rPr>
                <w:rFonts w:hint="eastAsia" w:ascii="黑体" w:hAnsi="黑体" w:eastAsia="黑体" w:cs="黑体"/>
                <w:kern w:val="0"/>
                <w:szCs w:val="21"/>
              </w:rPr>
              <w:t>A0201060104 针式打印机</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70F21D2">
            <w:pPr>
              <w:widowControl/>
              <w:jc w:val="left"/>
              <w:rPr>
                <w:rFonts w:hint="eastAsia" w:ascii="黑体" w:hAnsi="黑体" w:eastAsia="黑体" w:cs="黑体"/>
                <w:kern w:val="0"/>
                <w:szCs w:val="21"/>
              </w:rPr>
            </w:pPr>
            <w:r>
              <w:rPr>
                <w:rFonts w:hint="eastAsia" w:ascii="黑体" w:hAnsi="黑体" w:eastAsia="黑体" w:cs="黑体"/>
                <w:kern w:val="0"/>
                <w:szCs w:val="21"/>
              </w:rPr>
              <w:t>HJ2512 打印机、传真机及多功能一体机</w:t>
            </w:r>
          </w:p>
        </w:tc>
      </w:tr>
      <w:tr w14:paraId="7321E81A">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F56E78B">
            <w:pPr>
              <w:widowControl/>
              <w:jc w:val="left"/>
              <w:rPr>
                <w:rFonts w:hint="eastAsia" w:ascii="黑体" w:hAnsi="黑体" w:eastAsia="黑体" w:cs="黑体"/>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3FDB01D">
            <w:pPr>
              <w:widowControl/>
              <w:jc w:val="left"/>
              <w:rPr>
                <w:rFonts w:hint="eastAsia" w:ascii="黑体" w:hAnsi="黑体" w:eastAsia="黑体" w:cs="黑体"/>
                <w:kern w:val="0"/>
                <w:szCs w:val="21"/>
              </w:rPr>
            </w:pPr>
          </w:p>
        </w:tc>
        <w:tc>
          <w:tcPr>
            <w:tcW w:w="1269"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765A22AC">
            <w:pPr>
              <w:widowControl/>
              <w:jc w:val="left"/>
              <w:rPr>
                <w:rFonts w:hint="eastAsia" w:ascii="黑体" w:hAnsi="黑体" w:eastAsia="黑体" w:cs="黑体"/>
                <w:kern w:val="0"/>
                <w:szCs w:val="21"/>
              </w:rPr>
            </w:pPr>
            <w:r>
              <w:rPr>
                <w:rFonts w:hint="eastAsia" w:ascii="黑体" w:hAnsi="黑体" w:eastAsia="黑体" w:cs="黑体"/>
                <w:kern w:val="0"/>
                <w:szCs w:val="21"/>
              </w:rPr>
              <w:t>A02010604 显示设备</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AF10E07">
            <w:pPr>
              <w:widowControl/>
              <w:jc w:val="left"/>
              <w:rPr>
                <w:rFonts w:hint="eastAsia" w:ascii="黑体" w:hAnsi="黑体" w:eastAsia="黑体" w:cs="黑体"/>
                <w:kern w:val="0"/>
                <w:szCs w:val="21"/>
              </w:rPr>
            </w:pPr>
            <w:r>
              <w:rPr>
                <w:rFonts w:hint="eastAsia" w:ascii="黑体" w:hAnsi="黑体" w:eastAsia="黑体" w:cs="黑体"/>
                <w:kern w:val="0"/>
                <w:szCs w:val="21"/>
              </w:rPr>
              <w:t>A0201060401 液晶显示器</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CB411F7">
            <w:pPr>
              <w:widowControl/>
              <w:jc w:val="left"/>
              <w:rPr>
                <w:rFonts w:hint="eastAsia" w:ascii="黑体" w:hAnsi="黑体" w:eastAsia="黑体" w:cs="黑体"/>
                <w:kern w:val="0"/>
                <w:szCs w:val="21"/>
              </w:rPr>
            </w:pPr>
            <w:r>
              <w:rPr>
                <w:rFonts w:hint="eastAsia" w:ascii="黑体" w:hAnsi="黑体" w:eastAsia="黑体" w:cs="黑体"/>
                <w:kern w:val="0"/>
                <w:szCs w:val="21"/>
              </w:rPr>
              <w:t>HJ2536 微型计算机、显示器</w:t>
            </w:r>
          </w:p>
        </w:tc>
      </w:tr>
      <w:tr w14:paraId="3E21D249">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6D21033">
            <w:pPr>
              <w:widowControl/>
              <w:jc w:val="left"/>
              <w:rPr>
                <w:rFonts w:hint="eastAsia" w:ascii="黑体" w:hAnsi="黑体" w:eastAsia="黑体" w:cs="黑体"/>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3C45DF3">
            <w:pPr>
              <w:widowControl/>
              <w:jc w:val="left"/>
              <w:rPr>
                <w:rFonts w:hint="eastAsia" w:ascii="黑体" w:hAnsi="黑体" w:eastAsia="黑体" w:cs="黑体"/>
                <w:kern w:val="0"/>
                <w:szCs w:val="21"/>
              </w:rPr>
            </w:pPr>
          </w:p>
        </w:tc>
        <w:tc>
          <w:tcPr>
            <w:tcW w:w="1269"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F5522FF">
            <w:pPr>
              <w:widowControl/>
              <w:jc w:val="left"/>
              <w:rPr>
                <w:rFonts w:hint="eastAsia" w:ascii="黑体" w:hAnsi="黑体" w:eastAsia="黑体" w:cs="黑体"/>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02C63E3">
            <w:pPr>
              <w:widowControl/>
              <w:jc w:val="left"/>
              <w:rPr>
                <w:rFonts w:hint="eastAsia" w:ascii="黑体" w:hAnsi="黑体" w:eastAsia="黑体" w:cs="黑体"/>
                <w:kern w:val="0"/>
                <w:szCs w:val="21"/>
              </w:rPr>
            </w:pPr>
            <w:r>
              <w:rPr>
                <w:rFonts w:hint="eastAsia" w:ascii="黑体" w:hAnsi="黑体" w:eastAsia="黑体" w:cs="黑体"/>
                <w:kern w:val="0"/>
                <w:szCs w:val="21"/>
              </w:rPr>
              <w:t>A0201060499 其他显示器</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200A760">
            <w:pPr>
              <w:widowControl/>
              <w:jc w:val="left"/>
              <w:rPr>
                <w:rFonts w:hint="eastAsia" w:ascii="黑体" w:hAnsi="黑体" w:eastAsia="黑体" w:cs="黑体"/>
                <w:kern w:val="0"/>
                <w:szCs w:val="21"/>
              </w:rPr>
            </w:pPr>
            <w:r>
              <w:rPr>
                <w:rFonts w:hint="eastAsia" w:ascii="黑体" w:hAnsi="黑体" w:eastAsia="黑体" w:cs="黑体"/>
                <w:kern w:val="0"/>
                <w:szCs w:val="21"/>
              </w:rPr>
              <w:t>HJ2536 微型计算机、显示器</w:t>
            </w:r>
          </w:p>
        </w:tc>
      </w:tr>
      <w:tr w14:paraId="7E4BACF0">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28D0E24">
            <w:pPr>
              <w:widowControl/>
              <w:jc w:val="left"/>
              <w:rPr>
                <w:rFonts w:hint="eastAsia" w:ascii="黑体" w:hAnsi="黑体" w:eastAsia="黑体" w:cs="黑体"/>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86449D3">
            <w:pPr>
              <w:widowControl/>
              <w:jc w:val="left"/>
              <w:rPr>
                <w:rFonts w:hint="eastAsia" w:ascii="黑体" w:hAnsi="黑体" w:eastAsia="黑体" w:cs="黑体"/>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A71202E">
            <w:pPr>
              <w:widowControl/>
              <w:jc w:val="left"/>
              <w:rPr>
                <w:rFonts w:hint="eastAsia" w:ascii="黑体" w:hAnsi="黑体" w:eastAsia="黑体" w:cs="黑体"/>
                <w:kern w:val="0"/>
                <w:szCs w:val="21"/>
              </w:rPr>
            </w:pPr>
            <w:r>
              <w:rPr>
                <w:rFonts w:hint="eastAsia" w:ascii="黑体" w:hAnsi="黑体" w:eastAsia="黑体" w:cs="黑体"/>
                <w:kern w:val="0"/>
                <w:szCs w:val="21"/>
              </w:rPr>
              <w:t>A02010609 图形图像输入设备</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0EC8092">
            <w:pPr>
              <w:widowControl/>
              <w:jc w:val="left"/>
              <w:rPr>
                <w:rFonts w:hint="eastAsia" w:ascii="黑体" w:hAnsi="黑体" w:eastAsia="黑体" w:cs="黑体"/>
                <w:kern w:val="0"/>
                <w:szCs w:val="21"/>
              </w:rPr>
            </w:pPr>
            <w:r>
              <w:rPr>
                <w:rFonts w:hint="eastAsia" w:ascii="黑体" w:hAnsi="黑体" w:eastAsia="黑体" w:cs="黑体"/>
                <w:kern w:val="0"/>
                <w:szCs w:val="21"/>
              </w:rPr>
              <w:t>A0201060901 扫描仪</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C0D1E2E">
            <w:pPr>
              <w:widowControl/>
              <w:jc w:val="left"/>
              <w:rPr>
                <w:rFonts w:hint="eastAsia" w:ascii="黑体" w:hAnsi="黑体" w:eastAsia="黑体" w:cs="黑体"/>
                <w:kern w:val="0"/>
                <w:szCs w:val="21"/>
              </w:rPr>
            </w:pPr>
            <w:r>
              <w:rPr>
                <w:rFonts w:hint="eastAsia" w:ascii="黑体" w:hAnsi="黑体" w:eastAsia="黑体" w:cs="黑体"/>
                <w:kern w:val="0"/>
                <w:szCs w:val="21"/>
              </w:rPr>
              <w:t>HJ2517 扫描仪</w:t>
            </w:r>
          </w:p>
        </w:tc>
      </w:tr>
      <w:tr w14:paraId="367F6A0E">
        <w:tblPrEx>
          <w:tblCellMar>
            <w:top w:w="0" w:type="dxa"/>
            <w:left w:w="108" w:type="dxa"/>
            <w:bottom w:w="0" w:type="dxa"/>
            <w:right w:w="108" w:type="dxa"/>
          </w:tblCellMar>
        </w:tblPrEx>
        <w:trPr>
          <w:trHeight w:val="413"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8367869">
            <w:pPr>
              <w:widowControl/>
              <w:jc w:val="left"/>
              <w:rPr>
                <w:rFonts w:hint="eastAsia" w:ascii="黑体" w:hAnsi="黑体" w:eastAsia="黑体" w:cs="黑体"/>
                <w:kern w:val="0"/>
                <w:szCs w:val="21"/>
              </w:rPr>
            </w:pPr>
            <w:r>
              <w:rPr>
                <w:rFonts w:hint="eastAsia" w:ascii="黑体" w:hAnsi="黑体" w:eastAsia="黑体" w:cs="黑体"/>
                <w:kern w:val="0"/>
                <w:szCs w:val="21"/>
              </w:rPr>
              <w:t xml:space="preserve">3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1CB62C7D">
            <w:pPr>
              <w:widowControl/>
              <w:jc w:val="left"/>
              <w:rPr>
                <w:rFonts w:hint="eastAsia" w:ascii="黑体" w:hAnsi="黑体" w:eastAsia="黑体" w:cs="黑体"/>
                <w:kern w:val="0"/>
                <w:szCs w:val="21"/>
              </w:rPr>
            </w:pPr>
            <w:r>
              <w:rPr>
                <w:rFonts w:hint="eastAsia" w:ascii="黑体" w:hAnsi="黑体" w:eastAsia="黑体" w:cs="黑体"/>
                <w:kern w:val="0"/>
                <w:szCs w:val="21"/>
              </w:rPr>
              <w:t>A020202 投影仪</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3D570CF">
            <w:pPr>
              <w:widowControl/>
              <w:jc w:val="left"/>
              <w:rPr>
                <w:rFonts w:hint="eastAsia" w:ascii="黑体" w:hAnsi="黑体" w:eastAsia="黑体" w:cs="黑体"/>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E556DEB">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E66BD78">
            <w:pPr>
              <w:widowControl/>
              <w:jc w:val="left"/>
              <w:rPr>
                <w:rFonts w:hint="eastAsia" w:ascii="黑体" w:hAnsi="黑体" w:eastAsia="黑体" w:cs="黑体"/>
                <w:kern w:val="0"/>
                <w:szCs w:val="21"/>
              </w:rPr>
            </w:pPr>
            <w:r>
              <w:rPr>
                <w:rFonts w:hint="eastAsia" w:ascii="黑体" w:hAnsi="黑体" w:eastAsia="黑体" w:cs="黑体"/>
                <w:kern w:val="0"/>
                <w:szCs w:val="21"/>
              </w:rPr>
              <w:t>HJ2516 投影仪</w:t>
            </w:r>
          </w:p>
        </w:tc>
      </w:tr>
      <w:tr w14:paraId="729F6712">
        <w:tblPrEx>
          <w:tblCellMar>
            <w:top w:w="0" w:type="dxa"/>
            <w:left w:w="108" w:type="dxa"/>
            <w:bottom w:w="0" w:type="dxa"/>
            <w:right w:w="108" w:type="dxa"/>
          </w:tblCellMar>
        </w:tblPrEx>
        <w:trPr>
          <w:trHeight w:val="322"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1145D2C">
            <w:pPr>
              <w:widowControl/>
              <w:jc w:val="left"/>
              <w:rPr>
                <w:rFonts w:hint="eastAsia" w:ascii="黑体" w:hAnsi="黑体" w:eastAsia="黑体" w:cs="黑体"/>
                <w:kern w:val="0"/>
                <w:szCs w:val="21"/>
              </w:rPr>
            </w:pPr>
            <w:r>
              <w:rPr>
                <w:rFonts w:hint="eastAsia" w:ascii="黑体" w:hAnsi="黑体" w:eastAsia="黑体" w:cs="黑体"/>
                <w:kern w:val="0"/>
                <w:szCs w:val="21"/>
              </w:rPr>
              <w:t xml:space="preserve">4 </w:t>
            </w:r>
          </w:p>
        </w:tc>
        <w:tc>
          <w:tcPr>
            <w:tcW w:w="613"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54742C5">
            <w:pPr>
              <w:widowControl/>
              <w:jc w:val="left"/>
              <w:rPr>
                <w:rFonts w:hint="eastAsia" w:ascii="黑体" w:hAnsi="黑体" w:eastAsia="黑体" w:cs="黑体"/>
                <w:kern w:val="0"/>
                <w:szCs w:val="21"/>
              </w:rPr>
            </w:pPr>
            <w:r>
              <w:rPr>
                <w:rFonts w:hint="eastAsia" w:ascii="黑体" w:hAnsi="黑体" w:eastAsia="黑体" w:cs="黑体"/>
                <w:kern w:val="0"/>
                <w:szCs w:val="21"/>
              </w:rPr>
              <w:t>A020201 复印机</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9D9349D">
            <w:pPr>
              <w:widowControl/>
              <w:jc w:val="left"/>
              <w:rPr>
                <w:rFonts w:hint="eastAsia" w:ascii="黑体" w:hAnsi="黑体" w:eastAsia="黑体" w:cs="黑体"/>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CC45BF4">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4086F37">
            <w:pPr>
              <w:widowControl/>
              <w:jc w:val="left"/>
              <w:rPr>
                <w:rFonts w:hint="eastAsia" w:ascii="黑体" w:hAnsi="黑体" w:eastAsia="黑体" w:cs="黑体"/>
                <w:kern w:val="0"/>
                <w:szCs w:val="21"/>
              </w:rPr>
            </w:pPr>
            <w:r>
              <w:rPr>
                <w:rFonts w:hint="eastAsia" w:ascii="黑体" w:hAnsi="黑体" w:eastAsia="黑体" w:cs="黑体"/>
                <w:kern w:val="0"/>
                <w:szCs w:val="21"/>
              </w:rPr>
              <w:t>HJ424 数字式复印（包括多功能）设备</w:t>
            </w:r>
          </w:p>
        </w:tc>
      </w:tr>
      <w:tr w14:paraId="313B8F09">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6842126D">
            <w:pPr>
              <w:widowControl/>
              <w:jc w:val="left"/>
              <w:rPr>
                <w:rFonts w:hint="eastAsia" w:ascii="黑体" w:hAnsi="黑体" w:eastAsia="黑体" w:cs="黑体"/>
                <w:kern w:val="0"/>
                <w:szCs w:val="21"/>
              </w:rPr>
            </w:pPr>
            <w:r>
              <w:rPr>
                <w:rFonts w:hint="eastAsia" w:ascii="黑体" w:hAnsi="黑体" w:eastAsia="黑体" w:cs="黑体"/>
                <w:kern w:val="0"/>
                <w:szCs w:val="21"/>
              </w:rPr>
              <w:t xml:space="preserve">5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49C9C739">
            <w:pPr>
              <w:widowControl/>
              <w:jc w:val="left"/>
              <w:rPr>
                <w:rFonts w:hint="eastAsia" w:ascii="黑体" w:hAnsi="黑体" w:eastAsia="黑体" w:cs="黑体"/>
                <w:kern w:val="0"/>
                <w:szCs w:val="21"/>
              </w:rPr>
            </w:pPr>
            <w:r>
              <w:rPr>
                <w:rFonts w:hint="eastAsia" w:ascii="黑体" w:hAnsi="黑体" w:eastAsia="黑体" w:cs="黑体"/>
                <w:kern w:val="0"/>
                <w:szCs w:val="21"/>
              </w:rPr>
              <w:t>A020204 多功能一体机</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CECB790">
            <w:pPr>
              <w:widowControl/>
              <w:jc w:val="left"/>
              <w:rPr>
                <w:rFonts w:hint="eastAsia" w:ascii="黑体" w:hAnsi="黑体" w:eastAsia="黑体" w:cs="黑体"/>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04AF1B3">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6270018">
            <w:pPr>
              <w:widowControl/>
              <w:jc w:val="left"/>
              <w:rPr>
                <w:rFonts w:hint="eastAsia" w:ascii="黑体" w:hAnsi="黑体" w:eastAsia="黑体" w:cs="黑体"/>
                <w:kern w:val="0"/>
                <w:szCs w:val="21"/>
              </w:rPr>
            </w:pPr>
            <w:r>
              <w:rPr>
                <w:rFonts w:hint="eastAsia" w:ascii="黑体" w:hAnsi="黑体" w:eastAsia="黑体" w:cs="黑体"/>
                <w:kern w:val="0"/>
                <w:szCs w:val="21"/>
              </w:rPr>
              <w:t>HJ424 数字式复印（包括多功能）设备</w:t>
            </w:r>
          </w:p>
        </w:tc>
      </w:tr>
      <w:tr w14:paraId="3F82B0D0">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54EB06DD">
            <w:pPr>
              <w:widowControl/>
              <w:jc w:val="left"/>
              <w:rPr>
                <w:rFonts w:hint="eastAsia" w:ascii="黑体" w:hAnsi="黑体" w:eastAsia="黑体" w:cs="黑体"/>
                <w:kern w:val="0"/>
                <w:szCs w:val="21"/>
              </w:rPr>
            </w:pPr>
            <w:r>
              <w:rPr>
                <w:rFonts w:hint="eastAsia" w:ascii="黑体" w:hAnsi="黑体" w:eastAsia="黑体" w:cs="黑体"/>
                <w:kern w:val="0"/>
                <w:szCs w:val="21"/>
              </w:rPr>
              <w:t xml:space="preserve">6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577327C6">
            <w:pPr>
              <w:widowControl/>
              <w:jc w:val="left"/>
              <w:rPr>
                <w:rFonts w:hint="eastAsia" w:ascii="黑体" w:hAnsi="黑体" w:eastAsia="黑体" w:cs="黑体"/>
                <w:kern w:val="0"/>
                <w:szCs w:val="21"/>
              </w:rPr>
            </w:pPr>
            <w:r>
              <w:rPr>
                <w:rFonts w:hint="eastAsia" w:ascii="黑体" w:hAnsi="黑体" w:eastAsia="黑体" w:cs="黑体"/>
                <w:kern w:val="0"/>
                <w:szCs w:val="21"/>
              </w:rPr>
              <w:t>A020210 文印设备</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7C9A873">
            <w:pPr>
              <w:widowControl/>
              <w:jc w:val="left"/>
              <w:rPr>
                <w:rFonts w:hint="eastAsia" w:ascii="黑体" w:hAnsi="黑体" w:eastAsia="黑体" w:cs="黑体"/>
                <w:kern w:val="0"/>
                <w:szCs w:val="21"/>
              </w:rPr>
            </w:pPr>
            <w:r>
              <w:rPr>
                <w:rFonts w:hint="eastAsia" w:ascii="黑体" w:hAnsi="黑体" w:eastAsia="黑体" w:cs="黑体"/>
                <w:kern w:val="0"/>
                <w:szCs w:val="21"/>
              </w:rPr>
              <w:t>A02021001 速印机</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E503599">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624DEC3">
            <w:pPr>
              <w:widowControl/>
              <w:jc w:val="left"/>
              <w:rPr>
                <w:rFonts w:hint="eastAsia" w:ascii="黑体" w:hAnsi="黑体" w:eastAsia="黑体" w:cs="黑体"/>
                <w:kern w:val="0"/>
                <w:szCs w:val="21"/>
              </w:rPr>
            </w:pPr>
            <w:r>
              <w:rPr>
                <w:rFonts w:hint="eastAsia" w:ascii="黑体" w:hAnsi="黑体" w:eastAsia="黑体" w:cs="黑体"/>
                <w:kern w:val="0"/>
                <w:szCs w:val="21"/>
              </w:rPr>
              <w:t>HJ472 数字式一体化速印机</w:t>
            </w:r>
          </w:p>
        </w:tc>
      </w:tr>
      <w:tr w14:paraId="3487A105">
        <w:tblPrEx>
          <w:tblCellMar>
            <w:top w:w="0" w:type="dxa"/>
            <w:left w:w="108" w:type="dxa"/>
            <w:bottom w:w="0" w:type="dxa"/>
            <w:right w:w="108" w:type="dxa"/>
          </w:tblCellMar>
        </w:tblPrEx>
        <w:trPr>
          <w:trHeight w:val="670"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13C5EA77">
            <w:pPr>
              <w:widowControl/>
              <w:jc w:val="left"/>
              <w:rPr>
                <w:rFonts w:hint="eastAsia" w:ascii="黑体" w:hAnsi="黑体" w:eastAsia="黑体" w:cs="黑体"/>
                <w:kern w:val="0"/>
                <w:szCs w:val="21"/>
              </w:rPr>
            </w:pPr>
            <w:r>
              <w:rPr>
                <w:rFonts w:hint="eastAsia" w:ascii="黑体" w:hAnsi="黑体" w:eastAsia="黑体" w:cs="黑体"/>
                <w:kern w:val="0"/>
                <w:szCs w:val="21"/>
              </w:rPr>
              <w:t xml:space="preserve">7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2AC094F9">
            <w:pPr>
              <w:widowControl/>
              <w:jc w:val="left"/>
              <w:rPr>
                <w:rFonts w:hint="eastAsia" w:ascii="黑体" w:hAnsi="黑体" w:eastAsia="黑体" w:cs="黑体"/>
                <w:kern w:val="0"/>
                <w:szCs w:val="21"/>
              </w:rPr>
            </w:pPr>
            <w:r>
              <w:rPr>
                <w:rFonts w:hint="eastAsia" w:ascii="黑体" w:hAnsi="黑体" w:eastAsia="黑体" w:cs="黑体"/>
                <w:kern w:val="0"/>
                <w:szCs w:val="21"/>
              </w:rPr>
              <w:t>A020301 载货汽车（含自卸汽车）</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91FE1B5">
            <w:pPr>
              <w:widowControl/>
              <w:jc w:val="left"/>
              <w:rPr>
                <w:rFonts w:hint="eastAsia" w:ascii="黑体" w:hAnsi="黑体" w:eastAsia="黑体" w:cs="黑体"/>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722C103">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B5344EA">
            <w:pPr>
              <w:widowControl/>
              <w:jc w:val="left"/>
              <w:rPr>
                <w:rFonts w:hint="eastAsia" w:ascii="黑体" w:hAnsi="黑体" w:eastAsia="黑体" w:cs="黑体"/>
                <w:kern w:val="0"/>
                <w:szCs w:val="21"/>
              </w:rPr>
            </w:pPr>
            <w:r>
              <w:rPr>
                <w:rFonts w:hint="eastAsia" w:ascii="黑体" w:hAnsi="黑体" w:eastAsia="黑体" w:cs="黑体"/>
                <w:kern w:val="0"/>
                <w:szCs w:val="21"/>
              </w:rPr>
              <w:t>HJ2532 轻型汽车</w:t>
            </w:r>
          </w:p>
        </w:tc>
      </w:tr>
      <w:tr w14:paraId="507F09CE">
        <w:tblPrEx>
          <w:tblCellMar>
            <w:top w:w="0" w:type="dxa"/>
            <w:left w:w="108" w:type="dxa"/>
            <w:bottom w:w="0" w:type="dxa"/>
            <w:right w:w="108" w:type="dxa"/>
          </w:tblCellMar>
        </w:tblPrEx>
        <w:trPr>
          <w:trHeight w:val="401"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523918C1">
            <w:pPr>
              <w:widowControl/>
              <w:jc w:val="left"/>
              <w:rPr>
                <w:rFonts w:hint="eastAsia" w:ascii="黑体" w:hAnsi="黑体" w:eastAsia="黑体" w:cs="黑体"/>
                <w:kern w:val="0"/>
                <w:szCs w:val="21"/>
              </w:rPr>
            </w:pPr>
            <w:r>
              <w:rPr>
                <w:rFonts w:hint="eastAsia" w:ascii="黑体" w:hAnsi="黑体" w:eastAsia="黑体" w:cs="黑体"/>
                <w:kern w:val="0"/>
                <w:szCs w:val="21"/>
              </w:rPr>
              <w:t xml:space="preserve">8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73777914">
            <w:pPr>
              <w:widowControl/>
              <w:jc w:val="left"/>
              <w:rPr>
                <w:rFonts w:hint="eastAsia" w:ascii="黑体" w:hAnsi="黑体" w:eastAsia="黑体" w:cs="黑体"/>
                <w:kern w:val="0"/>
                <w:szCs w:val="21"/>
              </w:rPr>
            </w:pPr>
            <w:r>
              <w:rPr>
                <w:rFonts w:hint="eastAsia" w:ascii="黑体" w:hAnsi="黑体" w:eastAsia="黑体" w:cs="黑体"/>
                <w:kern w:val="0"/>
                <w:szCs w:val="21"/>
              </w:rPr>
              <w:t>A020305 乘用车</w:t>
            </w:r>
            <w:r>
              <w:rPr>
                <w:rFonts w:hint="eastAsia" w:ascii="黑体" w:hAnsi="黑体" w:eastAsia="黑体" w:cs="黑体"/>
                <w:kern w:val="0"/>
                <w:szCs w:val="21"/>
              </w:rPr>
              <w:br w:type="textWrapping"/>
            </w:r>
            <w:r>
              <w:rPr>
                <w:rFonts w:hint="eastAsia" w:ascii="黑体" w:hAnsi="黑体" w:eastAsia="黑体" w:cs="黑体"/>
                <w:kern w:val="0"/>
                <w:szCs w:val="21"/>
              </w:rPr>
              <w:t>（轿车）</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96CF3B8">
            <w:pPr>
              <w:widowControl/>
              <w:jc w:val="left"/>
              <w:rPr>
                <w:rFonts w:hint="eastAsia" w:ascii="黑体" w:hAnsi="黑体" w:eastAsia="黑体" w:cs="黑体"/>
                <w:kern w:val="0"/>
                <w:szCs w:val="21"/>
              </w:rPr>
            </w:pPr>
            <w:r>
              <w:rPr>
                <w:rFonts w:hint="eastAsia" w:ascii="黑体" w:hAnsi="黑体" w:eastAsia="黑体" w:cs="黑体"/>
                <w:kern w:val="0"/>
                <w:szCs w:val="21"/>
              </w:rPr>
              <w:t>A02030501 轿车</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3CEB2A2">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BA7D40E">
            <w:pPr>
              <w:widowControl/>
              <w:jc w:val="left"/>
              <w:rPr>
                <w:rFonts w:hint="eastAsia" w:ascii="黑体" w:hAnsi="黑体" w:eastAsia="黑体" w:cs="黑体"/>
                <w:kern w:val="0"/>
                <w:szCs w:val="21"/>
              </w:rPr>
            </w:pPr>
            <w:r>
              <w:rPr>
                <w:rFonts w:hint="eastAsia" w:ascii="黑体" w:hAnsi="黑体" w:eastAsia="黑体" w:cs="黑体"/>
                <w:kern w:val="0"/>
                <w:szCs w:val="21"/>
              </w:rPr>
              <w:t>HJ2532 轻型汽车</w:t>
            </w:r>
          </w:p>
        </w:tc>
      </w:tr>
      <w:tr w14:paraId="7E6ABC41">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4A8132E">
            <w:pPr>
              <w:widowControl/>
              <w:jc w:val="left"/>
              <w:rPr>
                <w:rFonts w:hint="eastAsia" w:ascii="黑体" w:hAnsi="黑体" w:eastAsia="黑体" w:cs="黑体"/>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EF4A268">
            <w:pPr>
              <w:widowControl/>
              <w:jc w:val="left"/>
              <w:rPr>
                <w:rFonts w:hint="eastAsia" w:ascii="黑体" w:hAnsi="黑体" w:eastAsia="黑体" w:cs="黑体"/>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A072953">
            <w:pPr>
              <w:widowControl/>
              <w:jc w:val="left"/>
              <w:rPr>
                <w:rFonts w:hint="eastAsia" w:ascii="黑体" w:hAnsi="黑体" w:eastAsia="黑体" w:cs="黑体"/>
                <w:kern w:val="0"/>
                <w:szCs w:val="21"/>
              </w:rPr>
            </w:pPr>
            <w:r>
              <w:rPr>
                <w:rFonts w:hint="eastAsia" w:ascii="黑体" w:hAnsi="黑体" w:eastAsia="黑体" w:cs="黑体"/>
                <w:kern w:val="0"/>
                <w:szCs w:val="21"/>
              </w:rPr>
              <w:t>A02030599 其他乘用车（轿车）</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FC9422B">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6FC76E9">
            <w:pPr>
              <w:widowControl/>
              <w:jc w:val="left"/>
              <w:rPr>
                <w:rFonts w:hint="eastAsia" w:ascii="黑体" w:hAnsi="黑体" w:eastAsia="黑体" w:cs="黑体"/>
                <w:kern w:val="0"/>
                <w:szCs w:val="21"/>
              </w:rPr>
            </w:pPr>
            <w:r>
              <w:rPr>
                <w:rFonts w:hint="eastAsia" w:ascii="黑体" w:hAnsi="黑体" w:eastAsia="黑体" w:cs="黑体"/>
                <w:kern w:val="0"/>
                <w:szCs w:val="21"/>
              </w:rPr>
              <w:t>HJ2532 轻型汽车</w:t>
            </w:r>
          </w:p>
        </w:tc>
      </w:tr>
      <w:tr w14:paraId="53D18A3A">
        <w:tblPrEx>
          <w:tblCellMar>
            <w:top w:w="0" w:type="dxa"/>
            <w:left w:w="108" w:type="dxa"/>
            <w:bottom w:w="0" w:type="dxa"/>
            <w:right w:w="108" w:type="dxa"/>
          </w:tblCellMar>
        </w:tblPrEx>
        <w:trPr>
          <w:trHeight w:val="410"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FC5143B">
            <w:pPr>
              <w:widowControl/>
              <w:jc w:val="left"/>
              <w:rPr>
                <w:rFonts w:hint="eastAsia" w:ascii="黑体" w:hAnsi="黑体" w:eastAsia="黑体" w:cs="黑体"/>
                <w:kern w:val="0"/>
                <w:szCs w:val="21"/>
              </w:rPr>
            </w:pPr>
            <w:r>
              <w:rPr>
                <w:rFonts w:hint="eastAsia" w:ascii="黑体" w:hAnsi="黑体" w:eastAsia="黑体" w:cs="黑体"/>
                <w:kern w:val="0"/>
                <w:szCs w:val="21"/>
              </w:rPr>
              <w:t xml:space="preserve">9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26A5F6C6">
            <w:pPr>
              <w:widowControl/>
              <w:jc w:val="left"/>
              <w:rPr>
                <w:rFonts w:hint="eastAsia" w:ascii="黑体" w:hAnsi="黑体" w:eastAsia="黑体" w:cs="黑体"/>
                <w:kern w:val="0"/>
                <w:szCs w:val="21"/>
              </w:rPr>
            </w:pPr>
            <w:r>
              <w:rPr>
                <w:rFonts w:hint="eastAsia" w:ascii="黑体" w:hAnsi="黑体" w:eastAsia="黑体" w:cs="黑体"/>
                <w:kern w:val="0"/>
                <w:szCs w:val="21"/>
              </w:rPr>
              <w:t>A020306 客车</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7F8CD84">
            <w:pPr>
              <w:widowControl/>
              <w:jc w:val="left"/>
              <w:rPr>
                <w:rFonts w:hint="eastAsia" w:ascii="黑体" w:hAnsi="黑体" w:eastAsia="黑体" w:cs="黑体"/>
                <w:kern w:val="0"/>
                <w:szCs w:val="21"/>
              </w:rPr>
            </w:pPr>
            <w:r>
              <w:rPr>
                <w:rFonts w:hint="eastAsia" w:ascii="黑体" w:hAnsi="黑体" w:eastAsia="黑体" w:cs="黑体"/>
                <w:kern w:val="0"/>
                <w:szCs w:val="21"/>
              </w:rPr>
              <w:t>A02030601 小型客车</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EF114A6">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1B1FA05">
            <w:pPr>
              <w:widowControl/>
              <w:jc w:val="left"/>
              <w:rPr>
                <w:rFonts w:hint="eastAsia" w:ascii="黑体" w:hAnsi="黑体" w:eastAsia="黑体" w:cs="黑体"/>
                <w:kern w:val="0"/>
                <w:szCs w:val="21"/>
              </w:rPr>
            </w:pPr>
            <w:r>
              <w:rPr>
                <w:rFonts w:hint="eastAsia" w:ascii="黑体" w:hAnsi="黑体" w:eastAsia="黑体" w:cs="黑体"/>
                <w:kern w:val="0"/>
                <w:szCs w:val="21"/>
              </w:rPr>
              <w:t>HJ2532 轻型汽车</w:t>
            </w:r>
          </w:p>
        </w:tc>
      </w:tr>
      <w:tr w14:paraId="427F8DA7">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28B0A904">
            <w:pPr>
              <w:widowControl/>
              <w:jc w:val="left"/>
              <w:rPr>
                <w:rFonts w:hint="eastAsia" w:ascii="黑体" w:hAnsi="黑体" w:eastAsia="黑体" w:cs="黑体"/>
                <w:kern w:val="0"/>
                <w:szCs w:val="21"/>
              </w:rPr>
            </w:pPr>
            <w:r>
              <w:rPr>
                <w:rFonts w:hint="eastAsia" w:ascii="黑体" w:hAnsi="黑体" w:eastAsia="黑体" w:cs="黑体"/>
                <w:kern w:val="0"/>
                <w:szCs w:val="21"/>
              </w:rPr>
              <w:t xml:space="preserve">10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1C50BF0B">
            <w:pPr>
              <w:widowControl/>
              <w:jc w:val="left"/>
              <w:rPr>
                <w:rFonts w:hint="eastAsia" w:ascii="黑体" w:hAnsi="黑体" w:eastAsia="黑体" w:cs="黑体"/>
                <w:kern w:val="0"/>
                <w:szCs w:val="21"/>
              </w:rPr>
            </w:pPr>
            <w:r>
              <w:rPr>
                <w:rFonts w:hint="eastAsia" w:ascii="黑体" w:hAnsi="黑体" w:eastAsia="黑体" w:cs="黑体"/>
                <w:kern w:val="0"/>
                <w:szCs w:val="21"/>
              </w:rPr>
              <w:t>A020307 专用车辆</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0BDD280">
            <w:pPr>
              <w:widowControl/>
              <w:jc w:val="left"/>
              <w:rPr>
                <w:rFonts w:hint="eastAsia" w:ascii="黑体" w:hAnsi="黑体" w:eastAsia="黑体" w:cs="黑体"/>
                <w:kern w:val="0"/>
                <w:szCs w:val="21"/>
              </w:rPr>
            </w:pPr>
            <w:r>
              <w:rPr>
                <w:rFonts w:hint="eastAsia" w:ascii="黑体" w:hAnsi="黑体" w:eastAsia="黑体" w:cs="黑体"/>
                <w:kern w:val="0"/>
                <w:szCs w:val="21"/>
              </w:rPr>
              <w:t>A02030799 其他专用汽车</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D41599B">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F1778BB">
            <w:pPr>
              <w:widowControl/>
              <w:jc w:val="left"/>
              <w:rPr>
                <w:rFonts w:hint="eastAsia" w:ascii="黑体" w:hAnsi="黑体" w:eastAsia="黑体" w:cs="黑体"/>
                <w:kern w:val="0"/>
                <w:szCs w:val="21"/>
              </w:rPr>
            </w:pPr>
            <w:r>
              <w:rPr>
                <w:rFonts w:hint="eastAsia" w:ascii="黑体" w:hAnsi="黑体" w:eastAsia="黑体" w:cs="黑体"/>
                <w:kern w:val="0"/>
                <w:szCs w:val="21"/>
              </w:rPr>
              <w:t>HJ2532 轻型汽车</w:t>
            </w:r>
          </w:p>
        </w:tc>
      </w:tr>
      <w:tr w14:paraId="69860A96">
        <w:tblPrEx>
          <w:tblCellMar>
            <w:top w:w="0" w:type="dxa"/>
            <w:left w:w="108" w:type="dxa"/>
            <w:bottom w:w="0" w:type="dxa"/>
            <w:right w:w="108" w:type="dxa"/>
          </w:tblCellMar>
        </w:tblPrEx>
        <w:trPr>
          <w:trHeight w:val="324"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326A12EA">
            <w:pPr>
              <w:widowControl/>
              <w:jc w:val="left"/>
              <w:rPr>
                <w:rFonts w:hint="eastAsia" w:ascii="黑体" w:hAnsi="黑体" w:eastAsia="黑体" w:cs="黑体"/>
                <w:kern w:val="0"/>
                <w:szCs w:val="21"/>
              </w:rPr>
            </w:pPr>
            <w:r>
              <w:rPr>
                <w:rFonts w:hint="eastAsia" w:ascii="黑体" w:hAnsi="黑体" w:eastAsia="黑体" w:cs="黑体"/>
                <w:kern w:val="0"/>
                <w:szCs w:val="21"/>
              </w:rPr>
              <w:t xml:space="preserve">11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2A646D48">
            <w:pPr>
              <w:widowControl/>
              <w:jc w:val="left"/>
              <w:rPr>
                <w:rFonts w:hint="eastAsia" w:ascii="黑体" w:hAnsi="黑体" w:eastAsia="黑体" w:cs="黑体"/>
                <w:kern w:val="0"/>
                <w:szCs w:val="21"/>
              </w:rPr>
            </w:pPr>
            <w:r>
              <w:rPr>
                <w:rFonts w:hint="eastAsia" w:ascii="黑体" w:hAnsi="黑体" w:eastAsia="黑体" w:cs="黑体"/>
                <w:kern w:val="0"/>
                <w:szCs w:val="21"/>
              </w:rPr>
              <w:t>A020523 制冷空调设备</w:t>
            </w:r>
          </w:p>
        </w:tc>
        <w:tc>
          <w:tcPr>
            <w:tcW w:w="126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9C12790">
            <w:pPr>
              <w:widowControl/>
              <w:jc w:val="left"/>
              <w:rPr>
                <w:rFonts w:hint="eastAsia" w:ascii="黑体" w:hAnsi="黑体" w:eastAsia="黑体" w:cs="黑体"/>
                <w:kern w:val="0"/>
                <w:szCs w:val="21"/>
              </w:rPr>
            </w:pPr>
            <w:r>
              <w:rPr>
                <w:rFonts w:hint="eastAsia" w:ascii="黑体" w:hAnsi="黑体" w:eastAsia="黑体" w:cs="黑体"/>
                <w:kern w:val="0"/>
                <w:szCs w:val="21"/>
              </w:rPr>
              <w:t>A02052301 制冷压缩机</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217B94C">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32C675C">
            <w:pPr>
              <w:widowControl/>
              <w:jc w:val="left"/>
              <w:rPr>
                <w:rFonts w:hint="eastAsia" w:ascii="黑体" w:hAnsi="黑体" w:eastAsia="黑体" w:cs="黑体"/>
                <w:kern w:val="0"/>
                <w:szCs w:val="21"/>
              </w:rPr>
            </w:pPr>
            <w:r>
              <w:rPr>
                <w:rFonts w:hint="eastAsia" w:ascii="黑体" w:hAnsi="黑体" w:eastAsia="黑体" w:cs="黑体"/>
                <w:kern w:val="0"/>
                <w:szCs w:val="21"/>
              </w:rPr>
              <w:t>HJ2531 工商用制冷设备</w:t>
            </w:r>
          </w:p>
        </w:tc>
      </w:tr>
      <w:tr w14:paraId="257EFC64">
        <w:tblPrEx>
          <w:tblCellMar>
            <w:top w:w="0" w:type="dxa"/>
            <w:left w:w="108" w:type="dxa"/>
            <w:bottom w:w="0" w:type="dxa"/>
            <w:right w:w="108" w:type="dxa"/>
          </w:tblCellMar>
        </w:tblPrEx>
        <w:trPr>
          <w:trHeight w:val="322"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6511859">
            <w:pPr>
              <w:widowControl/>
              <w:jc w:val="left"/>
              <w:rPr>
                <w:rFonts w:hint="eastAsia" w:ascii="黑体" w:hAnsi="黑体" w:eastAsia="黑体" w:cs="黑体"/>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01FF1D7">
            <w:pPr>
              <w:widowControl/>
              <w:jc w:val="left"/>
              <w:rPr>
                <w:rFonts w:hint="eastAsia" w:ascii="黑体" w:hAnsi="黑体" w:eastAsia="黑体" w:cs="黑体"/>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48D80F9">
            <w:pPr>
              <w:widowControl/>
              <w:jc w:val="left"/>
              <w:rPr>
                <w:rFonts w:hint="eastAsia" w:ascii="黑体" w:hAnsi="黑体" w:eastAsia="黑体" w:cs="黑体"/>
                <w:kern w:val="0"/>
                <w:szCs w:val="21"/>
              </w:rPr>
            </w:pPr>
            <w:r>
              <w:rPr>
                <w:rFonts w:hint="eastAsia" w:ascii="黑体" w:hAnsi="黑体" w:eastAsia="黑体" w:cs="黑体"/>
                <w:kern w:val="0"/>
                <w:szCs w:val="21"/>
              </w:rPr>
              <w:t>A02052305 空调机组</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399AF52">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9E79D00">
            <w:pPr>
              <w:widowControl/>
              <w:jc w:val="left"/>
              <w:rPr>
                <w:rFonts w:hint="eastAsia" w:ascii="黑体" w:hAnsi="黑体" w:eastAsia="黑体" w:cs="黑体"/>
                <w:kern w:val="0"/>
                <w:szCs w:val="21"/>
              </w:rPr>
            </w:pPr>
            <w:r>
              <w:rPr>
                <w:rFonts w:hint="eastAsia" w:ascii="黑体" w:hAnsi="黑体" w:eastAsia="黑体" w:cs="黑体"/>
                <w:kern w:val="0"/>
                <w:szCs w:val="21"/>
              </w:rPr>
              <w:t>HJ2531 工商用制冷设备</w:t>
            </w:r>
          </w:p>
        </w:tc>
      </w:tr>
      <w:tr w14:paraId="0DDCD3EA">
        <w:tblPrEx>
          <w:tblCellMar>
            <w:top w:w="0" w:type="dxa"/>
            <w:left w:w="108" w:type="dxa"/>
            <w:bottom w:w="0" w:type="dxa"/>
            <w:right w:w="108" w:type="dxa"/>
          </w:tblCellMar>
        </w:tblPrEx>
        <w:trPr>
          <w:trHeight w:val="322"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3A557AE">
            <w:pPr>
              <w:widowControl/>
              <w:jc w:val="left"/>
              <w:rPr>
                <w:rFonts w:hint="eastAsia" w:ascii="黑体" w:hAnsi="黑体" w:eastAsia="黑体" w:cs="黑体"/>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9216F66">
            <w:pPr>
              <w:widowControl/>
              <w:jc w:val="left"/>
              <w:rPr>
                <w:rFonts w:hint="eastAsia" w:ascii="黑体" w:hAnsi="黑体" w:eastAsia="黑体" w:cs="黑体"/>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2BB76F2">
            <w:pPr>
              <w:widowControl/>
              <w:jc w:val="left"/>
              <w:rPr>
                <w:rFonts w:hint="eastAsia" w:ascii="黑体" w:hAnsi="黑体" w:eastAsia="黑体" w:cs="黑体"/>
                <w:kern w:val="0"/>
                <w:szCs w:val="21"/>
              </w:rPr>
            </w:pPr>
            <w:r>
              <w:rPr>
                <w:rFonts w:hint="eastAsia" w:ascii="黑体" w:hAnsi="黑体" w:eastAsia="黑体" w:cs="黑体"/>
                <w:kern w:val="0"/>
                <w:szCs w:val="21"/>
              </w:rPr>
              <w:t>A02052309 专用制冷、空调设备</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CCEE20E">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7C2F924">
            <w:pPr>
              <w:widowControl/>
              <w:jc w:val="left"/>
              <w:rPr>
                <w:rFonts w:hint="eastAsia" w:ascii="黑体" w:hAnsi="黑体" w:eastAsia="黑体" w:cs="黑体"/>
                <w:kern w:val="0"/>
                <w:szCs w:val="21"/>
              </w:rPr>
            </w:pPr>
            <w:r>
              <w:rPr>
                <w:rFonts w:hint="eastAsia" w:ascii="黑体" w:hAnsi="黑体" w:eastAsia="黑体" w:cs="黑体"/>
                <w:kern w:val="0"/>
                <w:szCs w:val="21"/>
              </w:rPr>
              <w:t>HJ2531 工商用制冷设备</w:t>
            </w:r>
          </w:p>
        </w:tc>
      </w:tr>
      <w:tr w14:paraId="66EE9C41">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6BBA78F8">
            <w:pPr>
              <w:widowControl/>
              <w:jc w:val="left"/>
              <w:rPr>
                <w:rFonts w:hint="eastAsia" w:ascii="黑体" w:hAnsi="黑体" w:eastAsia="黑体" w:cs="黑体"/>
                <w:kern w:val="0"/>
                <w:szCs w:val="21"/>
              </w:rPr>
            </w:pPr>
            <w:r>
              <w:rPr>
                <w:rFonts w:hint="eastAsia" w:ascii="黑体" w:hAnsi="黑体" w:eastAsia="黑体" w:cs="黑体"/>
                <w:kern w:val="0"/>
                <w:szCs w:val="21"/>
              </w:rPr>
              <w:t xml:space="preserve">12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6BBFAE70">
            <w:pPr>
              <w:widowControl/>
              <w:jc w:val="left"/>
              <w:rPr>
                <w:rFonts w:hint="eastAsia" w:ascii="黑体" w:hAnsi="黑体" w:eastAsia="黑体" w:cs="黑体"/>
                <w:kern w:val="0"/>
                <w:szCs w:val="21"/>
              </w:rPr>
            </w:pPr>
            <w:r>
              <w:rPr>
                <w:rFonts w:hint="eastAsia" w:ascii="黑体" w:hAnsi="黑体" w:eastAsia="黑体" w:cs="黑体"/>
                <w:kern w:val="0"/>
                <w:szCs w:val="21"/>
              </w:rPr>
              <w:t>A020618 生活用电器</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393F1B4">
            <w:pPr>
              <w:widowControl/>
              <w:jc w:val="left"/>
              <w:rPr>
                <w:rFonts w:hint="eastAsia" w:ascii="黑体" w:hAnsi="黑体" w:eastAsia="黑体" w:cs="黑体"/>
                <w:kern w:val="0"/>
                <w:szCs w:val="21"/>
              </w:rPr>
            </w:pPr>
            <w:r>
              <w:rPr>
                <w:rFonts w:hint="eastAsia" w:ascii="黑体" w:hAnsi="黑体" w:eastAsia="黑体" w:cs="黑体"/>
                <w:kern w:val="0"/>
                <w:szCs w:val="21"/>
              </w:rPr>
              <w:t>A02061802 空气调节电器</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DAC5956">
            <w:pPr>
              <w:widowControl/>
              <w:jc w:val="left"/>
              <w:rPr>
                <w:rFonts w:hint="eastAsia" w:ascii="黑体" w:hAnsi="黑体" w:eastAsia="黑体" w:cs="黑体"/>
                <w:kern w:val="0"/>
                <w:szCs w:val="21"/>
              </w:rPr>
            </w:pPr>
            <w:r>
              <w:rPr>
                <w:rFonts w:hint="eastAsia" w:ascii="黑体" w:hAnsi="黑体" w:eastAsia="黑体" w:cs="黑体"/>
                <w:kern w:val="0"/>
                <w:szCs w:val="21"/>
              </w:rPr>
              <w:t>A0206180203 空调机</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7EC1500">
            <w:pPr>
              <w:widowControl/>
              <w:jc w:val="left"/>
              <w:rPr>
                <w:rFonts w:hint="eastAsia" w:ascii="黑体" w:hAnsi="黑体" w:eastAsia="黑体" w:cs="黑体"/>
                <w:kern w:val="0"/>
                <w:szCs w:val="21"/>
              </w:rPr>
            </w:pPr>
            <w:r>
              <w:rPr>
                <w:rFonts w:hint="eastAsia" w:ascii="黑体" w:hAnsi="黑体" w:eastAsia="黑体" w:cs="黑体"/>
                <w:kern w:val="0"/>
                <w:szCs w:val="21"/>
              </w:rPr>
              <w:t>HJ2535 房间空气调节器</w:t>
            </w:r>
          </w:p>
        </w:tc>
      </w:tr>
      <w:tr w14:paraId="1411CC56">
        <w:tblPrEx>
          <w:tblCellMar>
            <w:top w:w="0" w:type="dxa"/>
            <w:left w:w="108" w:type="dxa"/>
            <w:bottom w:w="0" w:type="dxa"/>
            <w:right w:w="108" w:type="dxa"/>
          </w:tblCellMar>
        </w:tblPrEx>
        <w:trPr>
          <w:trHeight w:val="415"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AED6218">
            <w:pPr>
              <w:widowControl/>
              <w:jc w:val="left"/>
              <w:rPr>
                <w:rFonts w:hint="eastAsia" w:ascii="黑体" w:hAnsi="黑体" w:eastAsia="黑体" w:cs="黑体"/>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FD935EB">
            <w:pPr>
              <w:widowControl/>
              <w:jc w:val="left"/>
              <w:rPr>
                <w:rFonts w:hint="eastAsia" w:ascii="黑体" w:hAnsi="黑体" w:eastAsia="黑体" w:cs="黑体"/>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AF6544F">
            <w:pPr>
              <w:widowControl/>
              <w:jc w:val="left"/>
              <w:rPr>
                <w:rFonts w:hint="eastAsia" w:ascii="黑体" w:hAnsi="黑体" w:eastAsia="黑体" w:cs="黑体"/>
                <w:kern w:val="0"/>
                <w:szCs w:val="21"/>
              </w:rPr>
            </w:pPr>
            <w:r>
              <w:rPr>
                <w:rFonts w:hint="eastAsia" w:ascii="黑体" w:hAnsi="黑体" w:eastAsia="黑体" w:cs="黑体"/>
                <w:kern w:val="0"/>
                <w:szCs w:val="21"/>
              </w:rPr>
              <w:t>A02061808 热水器</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70D2FAC">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FEA8C35">
            <w:pPr>
              <w:widowControl/>
              <w:jc w:val="left"/>
              <w:rPr>
                <w:rFonts w:hint="eastAsia" w:ascii="黑体" w:hAnsi="黑体" w:eastAsia="黑体" w:cs="黑体"/>
                <w:kern w:val="0"/>
                <w:szCs w:val="21"/>
              </w:rPr>
            </w:pPr>
            <w:r>
              <w:rPr>
                <w:rFonts w:hint="eastAsia" w:ascii="黑体" w:hAnsi="黑体" w:eastAsia="黑体" w:cs="黑体"/>
                <w:kern w:val="0"/>
                <w:szCs w:val="21"/>
              </w:rPr>
              <w:t>HJ/T362 太阳能集热器</w:t>
            </w:r>
          </w:p>
        </w:tc>
      </w:tr>
      <w:tr w14:paraId="5C10E65A">
        <w:tblPrEx>
          <w:tblCellMar>
            <w:top w:w="0" w:type="dxa"/>
            <w:left w:w="108" w:type="dxa"/>
            <w:bottom w:w="0" w:type="dxa"/>
            <w:right w:w="108" w:type="dxa"/>
          </w:tblCellMar>
        </w:tblPrEx>
        <w:trPr>
          <w:trHeight w:val="638"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09D8B51F">
            <w:pPr>
              <w:widowControl/>
              <w:jc w:val="left"/>
              <w:rPr>
                <w:rFonts w:hint="eastAsia" w:ascii="黑体" w:hAnsi="黑体" w:eastAsia="黑体" w:cs="黑体"/>
                <w:kern w:val="0"/>
                <w:szCs w:val="21"/>
              </w:rPr>
            </w:pPr>
            <w:r>
              <w:rPr>
                <w:rFonts w:hint="eastAsia" w:ascii="黑体" w:hAnsi="黑体" w:eastAsia="黑体" w:cs="黑体"/>
                <w:kern w:val="0"/>
                <w:szCs w:val="21"/>
              </w:rPr>
              <w:t xml:space="preserve">13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59A90A60">
            <w:pPr>
              <w:widowControl/>
              <w:jc w:val="left"/>
              <w:rPr>
                <w:rFonts w:hint="eastAsia" w:ascii="黑体" w:hAnsi="黑体" w:eastAsia="黑体" w:cs="黑体"/>
                <w:kern w:val="0"/>
                <w:szCs w:val="21"/>
              </w:rPr>
            </w:pPr>
            <w:r>
              <w:rPr>
                <w:rFonts w:hint="eastAsia" w:ascii="黑体" w:hAnsi="黑体" w:eastAsia="黑体" w:cs="黑体"/>
                <w:kern w:val="0"/>
                <w:szCs w:val="21"/>
              </w:rPr>
              <w:t>A020619 照 明设备</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4FFF3D8">
            <w:pPr>
              <w:widowControl/>
              <w:jc w:val="left"/>
              <w:rPr>
                <w:rFonts w:hint="eastAsia" w:ascii="黑体" w:hAnsi="黑体" w:eastAsia="黑体" w:cs="黑体"/>
                <w:kern w:val="0"/>
                <w:szCs w:val="21"/>
              </w:rPr>
            </w:pPr>
            <w:r>
              <w:rPr>
                <w:rFonts w:hint="eastAsia" w:ascii="黑体" w:hAnsi="黑体" w:eastAsia="黑体" w:cs="黑体"/>
                <w:kern w:val="0"/>
                <w:szCs w:val="21"/>
              </w:rPr>
              <w:t>A02061908 室内照明灯具</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A3A7FAF">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1412ABA">
            <w:pPr>
              <w:widowControl/>
              <w:jc w:val="left"/>
              <w:rPr>
                <w:rFonts w:hint="eastAsia" w:ascii="黑体" w:hAnsi="黑体" w:eastAsia="黑体" w:cs="黑体"/>
                <w:kern w:val="0"/>
                <w:szCs w:val="21"/>
              </w:rPr>
            </w:pPr>
            <w:r>
              <w:rPr>
                <w:rFonts w:hint="eastAsia" w:ascii="黑体" w:hAnsi="黑体" w:eastAsia="黑体" w:cs="黑体"/>
                <w:kern w:val="0"/>
                <w:szCs w:val="21"/>
              </w:rPr>
              <w:t>HJ2518 照明光源</w:t>
            </w:r>
          </w:p>
        </w:tc>
      </w:tr>
      <w:tr w14:paraId="258CB9D7">
        <w:tblPrEx>
          <w:tblCellMar>
            <w:top w:w="0" w:type="dxa"/>
            <w:left w:w="108" w:type="dxa"/>
            <w:bottom w:w="0" w:type="dxa"/>
            <w:right w:w="108" w:type="dxa"/>
          </w:tblCellMar>
        </w:tblPrEx>
        <w:trPr>
          <w:trHeight w:val="946"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0F620129">
            <w:pPr>
              <w:widowControl/>
              <w:jc w:val="left"/>
              <w:rPr>
                <w:rFonts w:hint="eastAsia" w:ascii="黑体" w:hAnsi="黑体" w:eastAsia="黑体" w:cs="黑体"/>
                <w:kern w:val="0"/>
                <w:szCs w:val="21"/>
              </w:rPr>
            </w:pPr>
            <w:r>
              <w:rPr>
                <w:rFonts w:hint="eastAsia" w:ascii="黑体" w:hAnsi="黑体" w:eastAsia="黑体" w:cs="黑体"/>
                <w:kern w:val="0"/>
                <w:szCs w:val="21"/>
              </w:rPr>
              <w:t xml:space="preserve">14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3DD33C0A">
            <w:pPr>
              <w:widowControl/>
              <w:jc w:val="left"/>
              <w:rPr>
                <w:rFonts w:hint="eastAsia" w:ascii="黑体" w:hAnsi="黑体" w:eastAsia="黑体" w:cs="黑体"/>
                <w:kern w:val="0"/>
                <w:szCs w:val="21"/>
              </w:rPr>
            </w:pPr>
            <w:r>
              <w:rPr>
                <w:rFonts w:hint="eastAsia" w:ascii="黑体" w:hAnsi="黑体" w:eastAsia="黑体" w:cs="黑体"/>
                <w:kern w:val="0"/>
                <w:szCs w:val="21"/>
              </w:rPr>
              <w:t>A020810 传真及数据数字通信设备</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BB323AC">
            <w:pPr>
              <w:widowControl/>
              <w:jc w:val="left"/>
              <w:rPr>
                <w:rFonts w:hint="eastAsia" w:ascii="黑体" w:hAnsi="黑体" w:eastAsia="黑体" w:cs="黑体"/>
                <w:kern w:val="0"/>
                <w:szCs w:val="21"/>
              </w:rPr>
            </w:pPr>
            <w:r>
              <w:rPr>
                <w:rFonts w:hint="eastAsia" w:ascii="黑体" w:hAnsi="黑体" w:eastAsia="黑体" w:cs="黑体"/>
                <w:kern w:val="0"/>
                <w:szCs w:val="21"/>
              </w:rPr>
              <w:t>A02081001 传真通信设备</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26C67BB">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3D460A7">
            <w:pPr>
              <w:widowControl/>
              <w:jc w:val="left"/>
              <w:rPr>
                <w:rFonts w:hint="eastAsia" w:ascii="黑体" w:hAnsi="黑体" w:eastAsia="黑体" w:cs="黑体"/>
                <w:kern w:val="0"/>
                <w:szCs w:val="21"/>
              </w:rPr>
            </w:pPr>
            <w:r>
              <w:rPr>
                <w:rFonts w:hint="eastAsia" w:ascii="黑体" w:hAnsi="黑体" w:eastAsia="黑体" w:cs="黑体"/>
                <w:kern w:val="0"/>
                <w:szCs w:val="21"/>
              </w:rPr>
              <w:t>HJ2512 打印机、传真机及多功能一体机</w:t>
            </w:r>
          </w:p>
        </w:tc>
      </w:tr>
      <w:tr w14:paraId="044EA733">
        <w:tblPrEx>
          <w:tblCellMar>
            <w:top w:w="0" w:type="dxa"/>
            <w:left w:w="108" w:type="dxa"/>
            <w:bottom w:w="0" w:type="dxa"/>
            <w:right w:w="108" w:type="dxa"/>
          </w:tblCellMar>
        </w:tblPrEx>
        <w:trPr>
          <w:trHeight w:val="634"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22C23869">
            <w:pPr>
              <w:widowControl/>
              <w:jc w:val="left"/>
              <w:rPr>
                <w:rFonts w:hint="eastAsia" w:ascii="黑体" w:hAnsi="黑体" w:eastAsia="黑体" w:cs="黑体"/>
                <w:kern w:val="0"/>
                <w:szCs w:val="21"/>
              </w:rPr>
            </w:pPr>
            <w:r>
              <w:rPr>
                <w:rFonts w:hint="eastAsia" w:ascii="黑体" w:hAnsi="黑体" w:eastAsia="黑体" w:cs="黑体"/>
                <w:kern w:val="0"/>
                <w:szCs w:val="21"/>
              </w:rPr>
              <w:t xml:space="preserve">15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0FFADCAE">
            <w:pPr>
              <w:widowControl/>
              <w:jc w:val="left"/>
              <w:rPr>
                <w:rFonts w:hint="eastAsia" w:ascii="黑体" w:hAnsi="黑体" w:eastAsia="黑体" w:cs="黑体"/>
                <w:kern w:val="0"/>
                <w:szCs w:val="21"/>
              </w:rPr>
            </w:pPr>
            <w:r>
              <w:rPr>
                <w:rFonts w:hint="eastAsia" w:ascii="黑体" w:hAnsi="黑体" w:eastAsia="黑体" w:cs="黑体"/>
                <w:kern w:val="0"/>
                <w:szCs w:val="21"/>
              </w:rPr>
              <w:t>A020910 电视设备</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5F0AC18">
            <w:pPr>
              <w:widowControl/>
              <w:jc w:val="left"/>
              <w:rPr>
                <w:rFonts w:hint="eastAsia" w:ascii="黑体" w:hAnsi="黑体" w:eastAsia="黑体" w:cs="黑体"/>
                <w:kern w:val="0"/>
                <w:szCs w:val="21"/>
              </w:rPr>
            </w:pPr>
            <w:r>
              <w:rPr>
                <w:rFonts w:hint="eastAsia" w:ascii="黑体" w:hAnsi="黑体" w:eastAsia="黑体" w:cs="黑体"/>
                <w:kern w:val="0"/>
                <w:szCs w:val="21"/>
              </w:rPr>
              <w:t>A02091001 普通电视设备（电视机）</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D06E6FE">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CD862AF">
            <w:pPr>
              <w:widowControl/>
              <w:jc w:val="left"/>
              <w:rPr>
                <w:rFonts w:hint="eastAsia" w:ascii="黑体" w:hAnsi="黑体" w:eastAsia="黑体" w:cs="黑体"/>
                <w:kern w:val="0"/>
                <w:szCs w:val="21"/>
              </w:rPr>
            </w:pPr>
            <w:r>
              <w:rPr>
                <w:rFonts w:hint="eastAsia" w:ascii="黑体" w:hAnsi="黑体" w:eastAsia="黑体" w:cs="黑体"/>
                <w:kern w:val="0"/>
                <w:szCs w:val="21"/>
              </w:rPr>
              <w:t>HJ2506 彩色电视广播接收机</w:t>
            </w:r>
          </w:p>
        </w:tc>
      </w:tr>
      <w:tr w14:paraId="2E7796FE">
        <w:tblPrEx>
          <w:tblCellMar>
            <w:top w:w="0" w:type="dxa"/>
            <w:left w:w="108" w:type="dxa"/>
            <w:bottom w:w="0" w:type="dxa"/>
            <w:right w:w="108" w:type="dxa"/>
          </w:tblCellMar>
        </w:tblPrEx>
        <w:trPr>
          <w:trHeight w:val="636"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870F7EA">
            <w:pPr>
              <w:widowControl/>
              <w:jc w:val="left"/>
              <w:rPr>
                <w:rFonts w:hint="eastAsia" w:ascii="黑体" w:hAnsi="黑体" w:eastAsia="黑体" w:cs="黑体"/>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0E3A22E">
            <w:pPr>
              <w:widowControl/>
              <w:jc w:val="left"/>
              <w:rPr>
                <w:rFonts w:hint="eastAsia" w:ascii="黑体" w:hAnsi="黑体" w:eastAsia="黑体" w:cs="黑体"/>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7D16DD7">
            <w:pPr>
              <w:widowControl/>
              <w:jc w:val="left"/>
              <w:rPr>
                <w:rFonts w:hint="eastAsia" w:ascii="黑体" w:hAnsi="黑体" w:eastAsia="黑体" w:cs="黑体"/>
                <w:kern w:val="0"/>
                <w:szCs w:val="21"/>
              </w:rPr>
            </w:pPr>
            <w:r>
              <w:rPr>
                <w:rFonts w:hint="eastAsia" w:ascii="黑体" w:hAnsi="黑体" w:eastAsia="黑体" w:cs="黑体"/>
                <w:kern w:val="0"/>
                <w:szCs w:val="21"/>
              </w:rPr>
              <w:t>A02091003 特殊功能应用电视设备</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86FB49C">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070B25D">
            <w:pPr>
              <w:widowControl/>
              <w:jc w:val="left"/>
              <w:rPr>
                <w:rFonts w:hint="eastAsia" w:ascii="黑体" w:hAnsi="黑体" w:eastAsia="黑体" w:cs="黑体"/>
                <w:kern w:val="0"/>
                <w:szCs w:val="21"/>
              </w:rPr>
            </w:pPr>
            <w:r>
              <w:rPr>
                <w:rFonts w:hint="eastAsia" w:ascii="黑体" w:hAnsi="黑体" w:eastAsia="黑体" w:cs="黑体"/>
                <w:kern w:val="0"/>
                <w:szCs w:val="21"/>
              </w:rPr>
              <w:t>HJ2506 彩色电视广播接收机</w:t>
            </w:r>
          </w:p>
        </w:tc>
      </w:tr>
      <w:tr w14:paraId="0C37DEAF">
        <w:tblPrEx>
          <w:tblCellMar>
            <w:top w:w="0" w:type="dxa"/>
            <w:left w:w="108" w:type="dxa"/>
            <w:bottom w:w="0" w:type="dxa"/>
            <w:right w:w="108" w:type="dxa"/>
          </w:tblCellMar>
        </w:tblPrEx>
        <w:trPr>
          <w:trHeight w:val="410"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3CE855D5">
            <w:pPr>
              <w:widowControl/>
              <w:jc w:val="left"/>
              <w:rPr>
                <w:rFonts w:hint="eastAsia" w:ascii="黑体" w:hAnsi="黑体" w:eastAsia="黑体" w:cs="黑体"/>
                <w:kern w:val="0"/>
                <w:szCs w:val="21"/>
              </w:rPr>
            </w:pPr>
            <w:r>
              <w:rPr>
                <w:rFonts w:hint="eastAsia" w:ascii="黑体" w:hAnsi="黑体" w:eastAsia="黑体" w:cs="黑体"/>
                <w:kern w:val="0"/>
                <w:szCs w:val="21"/>
              </w:rPr>
              <w:t xml:space="preserve">16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383191C3">
            <w:pPr>
              <w:widowControl/>
              <w:jc w:val="left"/>
              <w:rPr>
                <w:rFonts w:hint="eastAsia" w:ascii="黑体" w:hAnsi="黑体" w:eastAsia="黑体" w:cs="黑体"/>
                <w:kern w:val="0"/>
                <w:szCs w:val="21"/>
              </w:rPr>
            </w:pPr>
            <w:r>
              <w:rPr>
                <w:rFonts w:hint="eastAsia" w:ascii="黑体" w:hAnsi="黑体" w:eastAsia="黑体" w:cs="黑体"/>
                <w:kern w:val="0"/>
                <w:szCs w:val="21"/>
              </w:rPr>
              <w:t>A0601 床类</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0B1C752">
            <w:pPr>
              <w:widowControl/>
              <w:jc w:val="left"/>
              <w:rPr>
                <w:rFonts w:hint="eastAsia" w:ascii="黑体" w:hAnsi="黑体" w:eastAsia="黑体" w:cs="黑体"/>
                <w:kern w:val="0"/>
                <w:szCs w:val="21"/>
              </w:rPr>
            </w:pPr>
            <w:r>
              <w:rPr>
                <w:rFonts w:hint="eastAsia" w:ascii="黑体" w:hAnsi="黑体" w:eastAsia="黑体" w:cs="黑体"/>
                <w:kern w:val="0"/>
                <w:szCs w:val="21"/>
              </w:rPr>
              <w:t>A060101 钢木床类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F387AB2">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4C7B356">
            <w:pPr>
              <w:widowControl/>
              <w:jc w:val="left"/>
              <w:rPr>
                <w:rFonts w:hint="eastAsia" w:ascii="黑体" w:hAnsi="黑体" w:eastAsia="黑体" w:cs="黑体"/>
                <w:kern w:val="0"/>
                <w:szCs w:val="21"/>
              </w:rPr>
            </w:pPr>
            <w:r>
              <w:rPr>
                <w:rFonts w:hint="eastAsia" w:ascii="黑体" w:hAnsi="黑体" w:eastAsia="黑体" w:cs="黑体"/>
                <w:kern w:val="0"/>
                <w:szCs w:val="21"/>
              </w:rPr>
              <w:t>HJ2547 家具/HJ2540 木塑制品</w:t>
            </w:r>
          </w:p>
        </w:tc>
      </w:tr>
      <w:tr w14:paraId="7545B520">
        <w:tblPrEx>
          <w:tblCellMar>
            <w:top w:w="0" w:type="dxa"/>
            <w:left w:w="108" w:type="dxa"/>
            <w:bottom w:w="0" w:type="dxa"/>
            <w:right w:w="108" w:type="dxa"/>
          </w:tblCellMar>
        </w:tblPrEx>
        <w:trPr>
          <w:trHeight w:val="389"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6669D64">
            <w:pPr>
              <w:widowControl/>
              <w:jc w:val="left"/>
              <w:rPr>
                <w:rFonts w:hint="eastAsia" w:ascii="黑体" w:hAnsi="黑体" w:eastAsia="黑体" w:cs="黑体"/>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9B0D98C">
            <w:pPr>
              <w:widowControl/>
              <w:jc w:val="left"/>
              <w:rPr>
                <w:rFonts w:hint="eastAsia" w:ascii="黑体" w:hAnsi="黑体" w:eastAsia="黑体" w:cs="黑体"/>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096AFFE">
            <w:pPr>
              <w:widowControl/>
              <w:jc w:val="left"/>
              <w:rPr>
                <w:rFonts w:hint="eastAsia" w:ascii="黑体" w:hAnsi="黑体" w:eastAsia="黑体" w:cs="黑体"/>
                <w:kern w:val="0"/>
                <w:szCs w:val="21"/>
              </w:rPr>
            </w:pPr>
            <w:r>
              <w:rPr>
                <w:rFonts w:hint="eastAsia" w:ascii="黑体" w:hAnsi="黑体" w:eastAsia="黑体" w:cs="黑体"/>
                <w:kern w:val="0"/>
                <w:szCs w:val="21"/>
              </w:rPr>
              <w:t>A060104 木制床类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FEA7ED6">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210B03C">
            <w:pPr>
              <w:widowControl/>
              <w:jc w:val="left"/>
              <w:rPr>
                <w:rFonts w:hint="eastAsia" w:ascii="黑体" w:hAnsi="黑体" w:eastAsia="黑体" w:cs="黑体"/>
                <w:kern w:val="0"/>
                <w:szCs w:val="21"/>
              </w:rPr>
            </w:pPr>
            <w:r>
              <w:rPr>
                <w:rFonts w:hint="eastAsia" w:ascii="黑体" w:hAnsi="黑体" w:eastAsia="黑体" w:cs="黑体"/>
                <w:kern w:val="0"/>
                <w:szCs w:val="21"/>
              </w:rPr>
              <w:t>HJ2547 家具/HJ2540 木塑制品</w:t>
            </w:r>
          </w:p>
        </w:tc>
      </w:tr>
      <w:tr w14:paraId="33226862">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E4289D5">
            <w:pPr>
              <w:widowControl/>
              <w:jc w:val="left"/>
              <w:rPr>
                <w:rFonts w:hint="eastAsia" w:ascii="黑体" w:hAnsi="黑体" w:eastAsia="黑体" w:cs="黑体"/>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9AE77F0">
            <w:pPr>
              <w:widowControl/>
              <w:jc w:val="left"/>
              <w:rPr>
                <w:rFonts w:hint="eastAsia" w:ascii="黑体" w:hAnsi="黑体" w:eastAsia="黑体" w:cs="黑体"/>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53BF793">
            <w:pPr>
              <w:widowControl/>
              <w:jc w:val="left"/>
              <w:rPr>
                <w:rFonts w:hint="eastAsia" w:ascii="黑体" w:hAnsi="黑体" w:eastAsia="黑体" w:cs="黑体"/>
                <w:kern w:val="0"/>
                <w:szCs w:val="21"/>
              </w:rPr>
            </w:pPr>
            <w:r>
              <w:rPr>
                <w:rFonts w:hint="eastAsia" w:ascii="黑体" w:hAnsi="黑体" w:eastAsia="黑体" w:cs="黑体"/>
                <w:kern w:val="0"/>
                <w:szCs w:val="21"/>
              </w:rPr>
              <w:t>A060199 其他床类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8957D86">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9FD3D37">
            <w:pPr>
              <w:widowControl/>
              <w:jc w:val="left"/>
              <w:rPr>
                <w:rFonts w:hint="eastAsia" w:ascii="黑体" w:hAnsi="黑体" w:eastAsia="黑体" w:cs="黑体"/>
                <w:kern w:val="0"/>
                <w:szCs w:val="21"/>
              </w:rPr>
            </w:pPr>
            <w:r>
              <w:rPr>
                <w:rFonts w:hint="eastAsia" w:ascii="黑体" w:hAnsi="黑体" w:eastAsia="黑体" w:cs="黑体"/>
                <w:kern w:val="0"/>
                <w:szCs w:val="21"/>
              </w:rPr>
              <w:t>HJ2547 家具/HJ2540 木塑制品</w:t>
            </w:r>
          </w:p>
        </w:tc>
      </w:tr>
      <w:tr w14:paraId="5EBC4E4E">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4A0B45AD">
            <w:pPr>
              <w:widowControl/>
              <w:jc w:val="left"/>
              <w:rPr>
                <w:rFonts w:hint="eastAsia" w:ascii="黑体" w:hAnsi="黑体" w:eastAsia="黑体" w:cs="黑体"/>
                <w:kern w:val="0"/>
                <w:szCs w:val="21"/>
              </w:rPr>
            </w:pPr>
            <w:r>
              <w:rPr>
                <w:rFonts w:hint="eastAsia" w:ascii="黑体" w:hAnsi="黑体" w:eastAsia="黑体" w:cs="黑体"/>
                <w:kern w:val="0"/>
                <w:szCs w:val="21"/>
              </w:rPr>
              <w:t xml:space="preserve">17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2D7CE207">
            <w:pPr>
              <w:widowControl/>
              <w:jc w:val="left"/>
              <w:rPr>
                <w:rFonts w:hint="eastAsia" w:ascii="黑体" w:hAnsi="黑体" w:eastAsia="黑体" w:cs="黑体"/>
                <w:kern w:val="0"/>
                <w:szCs w:val="21"/>
              </w:rPr>
            </w:pPr>
            <w:r>
              <w:rPr>
                <w:rFonts w:hint="eastAsia" w:ascii="黑体" w:hAnsi="黑体" w:eastAsia="黑体" w:cs="黑体"/>
                <w:kern w:val="0"/>
                <w:szCs w:val="21"/>
              </w:rPr>
              <w:t>A0602 台、桌类</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AF7FAC4">
            <w:pPr>
              <w:widowControl/>
              <w:jc w:val="left"/>
              <w:rPr>
                <w:rFonts w:hint="eastAsia" w:ascii="黑体" w:hAnsi="黑体" w:eastAsia="黑体" w:cs="黑体"/>
                <w:kern w:val="0"/>
                <w:szCs w:val="21"/>
              </w:rPr>
            </w:pPr>
            <w:r>
              <w:rPr>
                <w:rFonts w:hint="eastAsia" w:ascii="黑体" w:hAnsi="黑体" w:eastAsia="黑体" w:cs="黑体"/>
                <w:kern w:val="0"/>
                <w:szCs w:val="21"/>
              </w:rPr>
              <w:t>A060201 钢木台、桌类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65BEAFA">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F522E06">
            <w:pPr>
              <w:widowControl/>
              <w:jc w:val="left"/>
              <w:rPr>
                <w:rFonts w:hint="eastAsia" w:ascii="黑体" w:hAnsi="黑体" w:eastAsia="黑体" w:cs="黑体"/>
                <w:kern w:val="0"/>
                <w:szCs w:val="21"/>
              </w:rPr>
            </w:pPr>
            <w:r>
              <w:rPr>
                <w:rFonts w:hint="eastAsia" w:ascii="黑体" w:hAnsi="黑体" w:eastAsia="黑体" w:cs="黑体"/>
                <w:kern w:val="0"/>
                <w:szCs w:val="21"/>
              </w:rPr>
              <w:t>HJ2547 家具/HJ2540 木塑制品</w:t>
            </w:r>
          </w:p>
        </w:tc>
      </w:tr>
      <w:tr w14:paraId="0B0E1D14">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914F407">
            <w:pPr>
              <w:widowControl/>
              <w:jc w:val="left"/>
              <w:rPr>
                <w:rFonts w:hint="eastAsia" w:ascii="黑体" w:hAnsi="黑体" w:eastAsia="黑体" w:cs="黑体"/>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3E2ADC0">
            <w:pPr>
              <w:widowControl/>
              <w:jc w:val="left"/>
              <w:rPr>
                <w:rFonts w:hint="eastAsia" w:ascii="黑体" w:hAnsi="黑体" w:eastAsia="黑体" w:cs="黑体"/>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A30664F">
            <w:pPr>
              <w:widowControl/>
              <w:jc w:val="left"/>
              <w:rPr>
                <w:rFonts w:hint="eastAsia" w:ascii="黑体" w:hAnsi="黑体" w:eastAsia="黑体" w:cs="黑体"/>
                <w:kern w:val="0"/>
                <w:szCs w:val="21"/>
              </w:rPr>
            </w:pPr>
            <w:r>
              <w:rPr>
                <w:rFonts w:hint="eastAsia" w:ascii="黑体" w:hAnsi="黑体" w:eastAsia="黑体" w:cs="黑体"/>
                <w:kern w:val="0"/>
                <w:szCs w:val="21"/>
              </w:rPr>
              <w:t>A060205 木制台、桌类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DD1AA15">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F76C91B">
            <w:pPr>
              <w:widowControl/>
              <w:jc w:val="left"/>
              <w:rPr>
                <w:rFonts w:hint="eastAsia" w:ascii="黑体" w:hAnsi="黑体" w:eastAsia="黑体" w:cs="黑体"/>
                <w:kern w:val="0"/>
                <w:szCs w:val="21"/>
              </w:rPr>
            </w:pPr>
            <w:r>
              <w:rPr>
                <w:rFonts w:hint="eastAsia" w:ascii="黑体" w:hAnsi="黑体" w:eastAsia="黑体" w:cs="黑体"/>
                <w:kern w:val="0"/>
                <w:szCs w:val="21"/>
              </w:rPr>
              <w:t>HJ2547 家具/HJ2540 木塑制品</w:t>
            </w:r>
          </w:p>
        </w:tc>
      </w:tr>
      <w:tr w14:paraId="5258C69E">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77E3CF1">
            <w:pPr>
              <w:widowControl/>
              <w:jc w:val="left"/>
              <w:rPr>
                <w:rFonts w:hint="eastAsia" w:ascii="黑体" w:hAnsi="黑体" w:eastAsia="黑体" w:cs="黑体"/>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0F4B7A1">
            <w:pPr>
              <w:widowControl/>
              <w:jc w:val="left"/>
              <w:rPr>
                <w:rFonts w:hint="eastAsia" w:ascii="黑体" w:hAnsi="黑体" w:eastAsia="黑体" w:cs="黑体"/>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735594E">
            <w:pPr>
              <w:widowControl/>
              <w:jc w:val="left"/>
              <w:rPr>
                <w:rFonts w:hint="eastAsia" w:ascii="黑体" w:hAnsi="黑体" w:eastAsia="黑体" w:cs="黑体"/>
                <w:kern w:val="0"/>
                <w:szCs w:val="21"/>
              </w:rPr>
            </w:pPr>
            <w:r>
              <w:rPr>
                <w:rFonts w:hint="eastAsia" w:ascii="黑体" w:hAnsi="黑体" w:eastAsia="黑体" w:cs="黑体"/>
                <w:kern w:val="0"/>
                <w:szCs w:val="21"/>
              </w:rPr>
              <w:t>A060299 其他台、桌类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4AFD98E">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93A082F">
            <w:pPr>
              <w:widowControl/>
              <w:jc w:val="left"/>
              <w:rPr>
                <w:rFonts w:hint="eastAsia" w:ascii="黑体" w:hAnsi="黑体" w:eastAsia="黑体" w:cs="黑体"/>
                <w:kern w:val="0"/>
                <w:szCs w:val="21"/>
              </w:rPr>
            </w:pPr>
            <w:r>
              <w:rPr>
                <w:rFonts w:hint="eastAsia" w:ascii="黑体" w:hAnsi="黑体" w:eastAsia="黑体" w:cs="黑体"/>
                <w:kern w:val="0"/>
                <w:szCs w:val="21"/>
              </w:rPr>
              <w:t>HJ2547 家具/HJ2540 木塑制品</w:t>
            </w:r>
          </w:p>
        </w:tc>
      </w:tr>
      <w:tr w14:paraId="67C01E1F">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32C8898B">
            <w:pPr>
              <w:widowControl/>
              <w:jc w:val="left"/>
              <w:rPr>
                <w:rFonts w:hint="eastAsia" w:ascii="黑体" w:hAnsi="黑体" w:eastAsia="黑体" w:cs="黑体"/>
                <w:kern w:val="0"/>
                <w:szCs w:val="21"/>
              </w:rPr>
            </w:pPr>
            <w:r>
              <w:rPr>
                <w:rFonts w:hint="eastAsia" w:ascii="黑体" w:hAnsi="黑体" w:eastAsia="黑体" w:cs="黑体"/>
                <w:kern w:val="0"/>
                <w:szCs w:val="21"/>
              </w:rPr>
              <w:t xml:space="preserve">18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525173C9">
            <w:pPr>
              <w:widowControl/>
              <w:jc w:val="left"/>
              <w:rPr>
                <w:rFonts w:hint="eastAsia" w:ascii="黑体" w:hAnsi="黑体" w:eastAsia="黑体" w:cs="黑体"/>
                <w:kern w:val="0"/>
                <w:szCs w:val="21"/>
              </w:rPr>
            </w:pPr>
            <w:r>
              <w:rPr>
                <w:rFonts w:hint="eastAsia" w:ascii="黑体" w:hAnsi="黑体" w:eastAsia="黑体" w:cs="黑体"/>
                <w:kern w:val="0"/>
                <w:szCs w:val="21"/>
              </w:rPr>
              <w:t>A0603 椅凳类</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9D3BB24">
            <w:pPr>
              <w:widowControl/>
              <w:jc w:val="left"/>
              <w:rPr>
                <w:rFonts w:hint="eastAsia" w:ascii="黑体" w:hAnsi="黑体" w:eastAsia="黑体" w:cs="黑体"/>
                <w:kern w:val="0"/>
                <w:szCs w:val="21"/>
              </w:rPr>
            </w:pPr>
            <w:r>
              <w:rPr>
                <w:rFonts w:hint="eastAsia" w:ascii="黑体" w:hAnsi="黑体" w:eastAsia="黑体" w:cs="黑体"/>
                <w:kern w:val="0"/>
                <w:szCs w:val="21"/>
              </w:rPr>
              <w:t>A060301 金属骨架为主的椅凳类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ABF14BD">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F8B8D7F">
            <w:pPr>
              <w:widowControl/>
              <w:jc w:val="left"/>
              <w:rPr>
                <w:rFonts w:hint="eastAsia" w:ascii="黑体" w:hAnsi="黑体" w:eastAsia="黑体" w:cs="黑体"/>
                <w:kern w:val="0"/>
                <w:szCs w:val="21"/>
              </w:rPr>
            </w:pPr>
            <w:r>
              <w:rPr>
                <w:rFonts w:hint="eastAsia" w:ascii="黑体" w:hAnsi="黑体" w:eastAsia="黑体" w:cs="黑体"/>
                <w:kern w:val="0"/>
                <w:szCs w:val="21"/>
              </w:rPr>
              <w:t>HJ2547 家具/HJ2540 木塑制品</w:t>
            </w:r>
          </w:p>
        </w:tc>
      </w:tr>
      <w:tr w14:paraId="50CD3105">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050750F">
            <w:pPr>
              <w:widowControl/>
              <w:jc w:val="left"/>
              <w:rPr>
                <w:rFonts w:hint="eastAsia" w:ascii="黑体" w:hAnsi="黑体" w:eastAsia="黑体" w:cs="黑体"/>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9A7AC92">
            <w:pPr>
              <w:widowControl/>
              <w:jc w:val="left"/>
              <w:rPr>
                <w:rFonts w:hint="eastAsia" w:ascii="黑体" w:hAnsi="黑体" w:eastAsia="黑体" w:cs="黑体"/>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0943AFF">
            <w:pPr>
              <w:widowControl/>
              <w:jc w:val="left"/>
              <w:rPr>
                <w:rFonts w:hint="eastAsia" w:ascii="黑体" w:hAnsi="黑体" w:eastAsia="黑体" w:cs="黑体"/>
                <w:kern w:val="0"/>
                <w:szCs w:val="21"/>
              </w:rPr>
            </w:pPr>
            <w:r>
              <w:rPr>
                <w:rFonts w:hint="eastAsia" w:ascii="黑体" w:hAnsi="黑体" w:eastAsia="黑体" w:cs="黑体"/>
                <w:kern w:val="0"/>
                <w:szCs w:val="21"/>
              </w:rPr>
              <w:t>A060302 木骨架为主的椅凳类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1A8404D">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EB78099">
            <w:pPr>
              <w:widowControl/>
              <w:jc w:val="left"/>
              <w:rPr>
                <w:rFonts w:hint="eastAsia" w:ascii="黑体" w:hAnsi="黑体" w:eastAsia="黑体" w:cs="黑体"/>
                <w:kern w:val="0"/>
                <w:szCs w:val="21"/>
              </w:rPr>
            </w:pPr>
            <w:r>
              <w:rPr>
                <w:rFonts w:hint="eastAsia" w:ascii="黑体" w:hAnsi="黑体" w:eastAsia="黑体" w:cs="黑体"/>
                <w:kern w:val="0"/>
                <w:szCs w:val="21"/>
              </w:rPr>
              <w:t>HJ2547 家具/HJ2540 木塑制品</w:t>
            </w:r>
          </w:p>
        </w:tc>
      </w:tr>
      <w:tr w14:paraId="2549C79A">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ADE5E13">
            <w:pPr>
              <w:widowControl/>
              <w:jc w:val="left"/>
              <w:rPr>
                <w:rFonts w:hint="eastAsia" w:ascii="黑体" w:hAnsi="黑体" w:eastAsia="黑体" w:cs="黑体"/>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FCBEB8C">
            <w:pPr>
              <w:widowControl/>
              <w:jc w:val="left"/>
              <w:rPr>
                <w:rFonts w:hint="eastAsia" w:ascii="黑体" w:hAnsi="黑体" w:eastAsia="黑体" w:cs="黑体"/>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D184262">
            <w:pPr>
              <w:widowControl/>
              <w:jc w:val="left"/>
              <w:rPr>
                <w:rFonts w:hint="eastAsia" w:ascii="黑体" w:hAnsi="黑体" w:eastAsia="黑体" w:cs="黑体"/>
                <w:kern w:val="0"/>
                <w:szCs w:val="21"/>
              </w:rPr>
            </w:pPr>
            <w:r>
              <w:rPr>
                <w:rFonts w:hint="eastAsia" w:ascii="黑体" w:hAnsi="黑体" w:eastAsia="黑体" w:cs="黑体"/>
                <w:kern w:val="0"/>
                <w:szCs w:val="21"/>
              </w:rPr>
              <w:t>A060399 其他椅凳类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6B7926E">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B793DEE">
            <w:pPr>
              <w:widowControl/>
              <w:jc w:val="left"/>
              <w:rPr>
                <w:rFonts w:hint="eastAsia" w:ascii="黑体" w:hAnsi="黑体" w:eastAsia="黑体" w:cs="黑体"/>
                <w:kern w:val="0"/>
                <w:szCs w:val="21"/>
              </w:rPr>
            </w:pPr>
            <w:r>
              <w:rPr>
                <w:rFonts w:hint="eastAsia" w:ascii="黑体" w:hAnsi="黑体" w:eastAsia="黑体" w:cs="黑体"/>
                <w:kern w:val="0"/>
                <w:szCs w:val="21"/>
              </w:rPr>
              <w:t>HJ2547 家具/HJ2540 木塑制品</w:t>
            </w:r>
          </w:p>
        </w:tc>
      </w:tr>
      <w:tr w14:paraId="65CF2CE0">
        <w:tblPrEx>
          <w:tblCellMar>
            <w:top w:w="0" w:type="dxa"/>
            <w:left w:w="108" w:type="dxa"/>
            <w:bottom w:w="0" w:type="dxa"/>
            <w:right w:w="108" w:type="dxa"/>
          </w:tblCellMar>
        </w:tblPrEx>
        <w:trPr>
          <w:trHeight w:val="413"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A7B2767">
            <w:pPr>
              <w:widowControl/>
              <w:jc w:val="left"/>
              <w:rPr>
                <w:rFonts w:hint="eastAsia" w:ascii="黑体" w:hAnsi="黑体" w:eastAsia="黑体" w:cs="黑体"/>
                <w:kern w:val="0"/>
                <w:szCs w:val="21"/>
              </w:rPr>
            </w:pPr>
            <w:r>
              <w:rPr>
                <w:rFonts w:hint="eastAsia" w:ascii="黑体" w:hAnsi="黑体" w:eastAsia="黑体" w:cs="黑体"/>
                <w:kern w:val="0"/>
                <w:szCs w:val="21"/>
              </w:rPr>
              <w:t xml:space="preserve">19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01A366B3">
            <w:pPr>
              <w:widowControl/>
              <w:jc w:val="left"/>
              <w:rPr>
                <w:rFonts w:hint="eastAsia" w:ascii="黑体" w:hAnsi="黑体" w:eastAsia="黑体" w:cs="黑体"/>
                <w:kern w:val="0"/>
                <w:szCs w:val="21"/>
              </w:rPr>
            </w:pPr>
            <w:r>
              <w:rPr>
                <w:rFonts w:hint="eastAsia" w:ascii="黑体" w:hAnsi="黑体" w:eastAsia="黑体" w:cs="黑体"/>
                <w:kern w:val="0"/>
                <w:szCs w:val="21"/>
              </w:rPr>
              <w:t>A0604 沙发类</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4A7910E">
            <w:pPr>
              <w:widowControl/>
              <w:jc w:val="left"/>
              <w:rPr>
                <w:rFonts w:hint="eastAsia" w:ascii="黑体" w:hAnsi="黑体" w:eastAsia="黑体" w:cs="黑体"/>
                <w:kern w:val="0"/>
                <w:szCs w:val="21"/>
              </w:rPr>
            </w:pPr>
            <w:r>
              <w:rPr>
                <w:rFonts w:hint="eastAsia" w:ascii="黑体" w:hAnsi="黑体" w:eastAsia="黑体" w:cs="黑体"/>
                <w:kern w:val="0"/>
                <w:szCs w:val="21"/>
              </w:rPr>
              <w:t>A060499 其他沙发类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B74B07C">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6A367BB">
            <w:pPr>
              <w:widowControl/>
              <w:jc w:val="left"/>
              <w:rPr>
                <w:rFonts w:hint="eastAsia" w:ascii="黑体" w:hAnsi="黑体" w:eastAsia="黑体" w:cs="黑体"/>
                <w:kern w:val="0"/>
                <w:szCs w:val="21"/>
              </w:rPr>
            </w:pPr>
            <w:r>
              <w:rPr>
                <w:rFonts w:hint="eastAsia" w:ascii="黑体" w:hAnsi="黑体" w:eastAsia="黑体" w:cs="黑体"/>
                <w:kern w:val="0"/>
                <w:szCs w:val="21"/>
              </w:rPr>
              <w:t>HJ2547 家具/HJ2540 木塑制品</w:t>
            </w:r>
          </w:p>
        </w:tc>
      </w:tr>
      <w:tr w14:paraId="5558B7F4">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57F97334">
            <w:pPr>
              <w:widowControl/>
              <w:jc w:val="left"/>
              <w:rPr>
                <w:rFonts w:hint="eastAsia" w:ascii="黑体" w:hAnsi="黑体" w:eastAsia="黑体" w:cs="黑体"/>
                <w:kern w:val="0"/>
                <w:szCs w:val="21"/>
              </w:rPr>
            </w:pPr>
            <w:r>
              <w:rPr>
                <w:rFonts w:hint="eastAsia" w:ascii="黑体" w:hAnsi="黑体" w:eastAsia="黑体" w:cs="黑体"/>
                <w:kern w:val="0"/>
                <w:szCs w:val="21"/>
              </w:rPr>
              <w:t xml:space="preserve">20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17C565F7">
            <w:pPr>
              <w:widowControl/>
              <w:jc w:val="left"/>
              <w:rPr>
                <w:rFonts w:hint="eastAsia" w:ascii="黑体" w:hAnsi="黑体" w:eastAsia="黑体" w:cs="黑体"/>
                <w:kern w:val="0"/>
                <w:szCs w:val="21"/>
              </w:rPr>
            </w:pPr>
            <w:r>
              <w:rPr>
                <w:rFonts w:hint="eastAsia" w:ascii="黑体" w:hAnsi="黑体" w:eastAsia="黑体" w:cs="黑体"/>
                <w:kern w:val="0"/>
                <w:szCs w:val="21"/>
              </w:rPr>
              <w:t>A0605 柜类</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0AE56091">
            <w:pPr>
              <w:widowControl/>
              <w:jc w:val="left"/>
              <w:rPr>
                <w:rFonts w:hint="eastAsia" w:ascii="黑体" w:hAnsi="黑体" w:eastAsia="黑体" w:cs="黑体"/>
                <w:kern w:val="0"/>
                <w:szCs w:val="21"/>
              </w:rPr>
            </w:pPr>
            <w:r>
              <w:rPr>
                <w:rFonts w:hint="eastAsia" w:ascii="黑体" w:hAnsi="黑体" w:eastAsia="黑体" w:cs="黑体"/>
                <w:kern w:val="0"/>
                <w:szCs w:val="21"/>
              </w:rPr>
              <w:t>A060501 木质柜类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CB6581F">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A5F4EA4">
            <w:pPr>
              <w:widowControl/>
              <w:jc w:val="left"/>
              <w:rPr>
                <w:rFonts w:hint="eastAsia" w:ascii="黑体" w:hAnsi="黑体" w:eastAsia="黑体" w:cs="黑体"/>
                <w:kern w:val="0"/>
                <w:szCs w:val="21"/>
              </w:rPr>
            </w:pPr>
            <w:r>
              <w:rPr>
                <w:rFonts w:hint="eastAsia" w:ascii="黑体" w:hAnsi="黑体" w:eastAsia="黑体" w:cs="黑体"/>
                <w:kern w:val="0"/>
                <w:szCs w:val="21"/>
              </w:rPr>
              <w:t>HJ2547 家具/HJ2540 木塑制品</w:t>
            </w:r>
          </w:p>
        </w:tc>
      </w:tr>
      <w:tr w14:paraId="5B7AF5CE">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795E554">
            <w:pPr>
              <w:widowControl/>
              <w:jc w:val="left"/>
              <w:rPr>
                <w:rFonts w:hint="eastAsia" w:ascii="黑体" w:hAnsi="黑体" w:eastAsia="黑体" w:cs="黑体"/>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C8BB19D">
            <w:pPr>
              <w:widowControl/>
              <w:jc w:val="left"/>
              <w:rPr>
                <w:rFonts w:hint="eastAsia" w:ascii="黑体" w:hAnsi="黑体" w:eastAsia="黑体" w:cs="黑体"/>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629B5AA">
            <w:pPr>
              <w:widowControl/>
              <w:jc w:val="left"/>
              <w:rPr>
                <w:rFonts w:hint="eastAsia" w:ascii="黑体" w:hAnsi="黑体" w:eastAsia="黑体" w:cs="黑体"/>
                <w:kern w:val="0"/>
                <w:szCs w:val="21"/>
              </w:rPr>
            </w:pPr>
            <w:r>
              <w:rPr>
                <w:rFonts w:hint="eastAsia" w:ascii="黑体" w:hAnsi="黑体" w:eastAsia="黑体" w:cs="黑体"/>
                <w:kern w:val="0"/>
                <w:szCs w:val="21"/>
              </w:rPr>
              <w:t>A060503 金属质柜类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92B2E99">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8A77687">
            <w:pPr>
              <w:widowControl/>
              <w:jc w:val="left"/>
              <w:rPr>
                <w:rFonts w:hint="eastAsia" w:ascii="黑体" w:hAnsi="黑体" w:eastAsia="黑体" w:cs="黑体"/>
                <w:kern w:val="0"/>
                <w:szCs w:val="21"/>
              </w:rPr>
            </w:pPr>
            <w:r>
              <w:rPr>
                <w:rFonts w:hint="eastAsia" w:ascii="黑体" w:hAnsi="黑体" w:eastAsia="黑体" w:cs="黑体"/>
                <w:kern w:val="0"/>
                <w:szCs w:val="21"/>
              </w:rPr>
              <w:t>HJ2547 家具/HJ2540 木塑制品</w:t>
            </w:r>
          </w:p>
        </w:tc>
      </w:tr>
      <w:tr w14:paraId="07C56616">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734B4BC">
            <w:pPr>
              <w:widowControl/>
              <w:jc w:val="left"/>
              <w:rPr>
                <w:rFonts w:hint="eastAsia" w:ascii="黑体" w:hAnsi="黑体" w:eastAsia="黑体" w:cs="黑体"/>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C063C0E">
            <w:pPr>
              <w:widowControl/>
              <w:jc w:val="left"/>
              <w:rPr>
                <w:rFonts w:hint="eastAsia" w:ascii="黑体" w:hAnsi="黑体" w:eastAsia="黑体" w:cs="黑体"/>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63AC1EB">
            <w:pPr>
              <w:widowControl/>
              <w:jc w:val="left"/>
              <w:rPr>
                <w:rFonts w:hint="eastAsia" w:ascii="黑体" w:hAnsi="黑体" w:eastAsia="黑体" w:cs="黑体"/>
                <w:kern w:val="0"/>
                <w:szCs w:val="21"/>
              </w:rPr>
            </w:pPr>
            <w:r>
              <w:rPr>
                <w:rFonts w:hint="eastAsia" w:ascii="黑体" w:hAnsi="黑体" w:eastAsia="黑体" w:cs="黑体"/>
                <w:kern w:val="0"/>
                <w:szCs w:val="21"/>
              </w:rPr>
              <w:t>A060599 其他柜类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72E5699">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7BCF9BB">
            <w:pPr>
              <w:widowControl/>
              <w:jc w:val="left"/>
              <w:rPr>
                <w:rFonts w:hint="eastAsia" w:ascii="黑体" w:hAnsi="黑体" w:eastAsia="黑体" w:cs="黑体"/>
                <w:kern w:val="0"/>
                <w:szCs w:val="21"/>
              </w:rPr>
            </w:pPr>
            <w:r>
              <w:rPr>
                <w:rFonts w:hint="eastAsia" w:ascii="黑体" w:hAnsi="黑体" w:eastAsia="黑体" w:cs="黑体"/>
                <w:kern w:val="0"/>
                <w:szCs w:val="21"/>
              </w:rPr>
              <w:t>HJ2547 家具/HJ2540 木塑制品</w:t>
            </w:r>
          </w:p>
        </w:tc>
      </w:tr>
      <w:tr w14:paraId="25909343">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3AEA03BA">
            <w:pPr>
              <w:widowControl/>
              <w:jc w:val="left"/>
              <w:rPr>
                <w:rFonts w:hint="eastAsia" w:ascii="黑体" w:hAnsi="黑体" w:eastAsia="黑体" w:cs="黑体"/>
                <w:kern w:val="0"/>
                <w:szCs w:val="21"/>
              </w:rPr>
            </w:pPr>
            <w:r>
              <w:rPr>
                <w:rFonts w:hint="eastAsia" w:ascii="黑体" w:hAnsi="黑体" w:eastAsia="黑体" w:cs="黑体"/>
                <w:kern w:val="0"/>
                <w:szCs w:val="21"/>
              </w:rPr>
              <w:t xml:space="preserve">21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3E9DD714">
            <w:pPr>
              <w:widowControl/>
              <w:jc w:val="left"/>
              <w:rPr>
                <w:rFonts w:hint="eastAsia" w:ascii="黑体" w:hAnsi="黑体" w:eastAsia="黑体" w:cs="黑体"/>
                <w:kern w:val="0"/>
                <w:szCs w:val="21"/>
              </w:rPr>
            </w:pPr>
            <w:r>
              <w:rPr>
                <w:rFonts w:hint="eastAsia" w:ascii="黑体" w:hAnsi="黑体" w:eastAsia="黑体" w:cs="黑体"/>
                <w:kern w:val="0"/>
                <w:szCs w:val="21"/>
              </w:rPr>
              <w:t>A0606 架类</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850F24E">
            <w:pPr>
              <w:widowControl/>
              <w:jc w:val="left"/>
              <w:rPr>
                <w:rFonts w:hint="eastAsia" w:ascii="黑体" w:hAnsi="黑体" w:eastAsia="黑体" w:cs="黑体"/>
                <w:kern w:val="0"/>
                <w:szCs w:val="21"/>
              </w:rPr>
            </w:pPr>
            <w:r>
              <w:rPr>
                <w:rFonts w:hint="eastAsia" w:ascii="黑体" w:hAnsi="黑体" w:eastAsia="黑体" w:cs="黑体"/>
                <w:kern w:val="0"/>
                <w:szCs w:val="21"/>
              </w:rPr>
              <w:t>A060601 木质架类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46C8495">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22737B3">
            <w:pPr>
              <w:widowControl/>
              <w:jc w:val="left"/>
              <w:rPr>
                <w:rFonts w:hint="eastAsia" w:ascii="黑体" w:hAnsi="黑体" w:eastAsia="黑体" w:cs="黑体"/>
                <w:kern w:val="0"/>
                <w:szCs w:val="21"/>
              </w:rPr>
            </w:pPr>
            <w:r>
              <w:rPr>
                <w:rFonts w:hint="eastAsia" w:ascii="黑体" w:hAnsi="黑体" w:eastAsia="黑体" w:cs="黑体"/>
                <w:kern w:val="0"/>
                <w:szCs w:val="21"/>
              </w:rPr>
              <w:t>HJ2547 家具/HJ2540 木塑制品</w:t>
            </w:r>
          </w:p>
        </w:tc>
      </w:tr>
      <w:tr w14:paraId="46636273">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66E44E3">
            <w:pPr>
              <w:widowControl/>
              <w:jc w:val="left"/>
              <w:rPr>
                <w:rFonts w:hint="eastAsia" w:ascii="黑体" w:hAnsi="黑体" w:eastAsia="黑体" w:cs="黑体"/>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F55803F">
            <w:pPr>
              <w:widowControl/>
              <w:jc w:val="left"/>
              <w:rPr>
                <w:rFonts w:hint="eastAsia" w:ascii="黑体" w:hAnsi="黑体" w:eastAsia="黑体" w:cs="黑体"/>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E25CB2D">
            <w:pPr>
              <w:widowControl/>
              <w:jc w:val="left"/>
              <w:rPr>
                <w:rFonts w:hint="eastAsia" w:ascii="黑体" w:hAnsi="黑体" w:eastAsia="黑体" w:cs="黑体"/>
                <w:kern w:val="0"/>
                <w:szCs w:val="21"/>
              </w:rPr>
            </w:pPr>
            <w:r>
              <w:rPr>
                <w:rFonts w:hint="eastAsia" w:ascii="黑体" w:hAnsi="黑体" w:eastAsia="黑体" w:cs="黑体"/>
                <w:kern w:val="0"/>
                <w:szCs w:val="21"/>
              </w:rPr>
              <w:t>A060602 金属质架类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AF05278">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0988643">
            <w:pPr>
              <w:widowControl/>
              <w:jc w:val="left"/>
              <w:rPr>
                <w:rFonts w:hint="eastAsia" w:ascii="黑体" w:hAnsi="黑体" w:eastAsia="黑体" w:cs="黑体"/>
                <w:kern w:val="0"/>
                <w:szCs w:val="21"/>
              </w:rPr>
            </w:pPr>
            <w:r>
              <w:rPr>
                <w:rFonts w:hint="eastAsia" w:ascii="黑体" w:hAnsi="黑体" w:eastAsia="黑体" w:cs="黑体"/>
                <w:kern w:val="0"/>
                <w:szCs w:val="21"/>
              </w:rPr>
              <w:t>HJ2547 家具/HJ2540 木塑制品</w:t>
            </w:r>
          </w:p>
        </w:tc>
      </w:tr>
      <w:tr w14:paraId="499B4C17">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6DC4B2C3">
            <w:pPr>
              <w:widowControl/>
              <w:jc w:val="left"/>
              <w:rPr>
                <w:rFonts w:hint="eastAsia" w:ascii="黑体" w:hAnsi="黑体" w:eastAsia="黑体" w:cs="黑体"/>
                <w:kern w:val="0"/>
                <w:szCs w:val="21"/>
              </w:rPr>
            </w:pPr>
            <w:r>
              <w:rPr>
                <w:rFonts w:hint="eastAsia" w:ascii="黑体" w:hAnsi="黑体" w:eastAsia="黑体" w:cs="黑体"/>
                <w:kern w:val="0"/>
                <w:szCs w:val="21"/>
              </w:rPr>
              <w:t xml:space="preserve">22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2E0ACCA4">
            <w:pPr>
              <w:widowControl/>
              <w:jc w:val="left"/>
              <w:rPr>
                <w:rFonts w:hint="eastAsia" w:ascii="黑体" w:hAnsi="黑体" w:eastAsia="黑体" w:cs="黑体"/>
                <w:kern w:val="0"/>
                <w:szCs w:val="21"/>
              </w:rPr>
            </w:pPr>
            <w:r>
              <w:rPr>
                <w:rFonts w:hint="eastAsia" w:ascii="黑体" w:hAnsi="黑体" w:eastAsia="黑体" w:cs="黑体"/>
                <w:kern w:val="0"/>
                <w:szCs w:val="21"/>
              </w:rPr>
              <w:t>A0607 屏风类</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F597555">
            <w:pPr>
              <w:widowControl/>
              <w:jc w:val="left"/>
              <w:rPr>
                <w:rFonts w:hint="eastAsia" w:ascii="黑体" w:hAnsi="黑体" w:eastAsia="黑体" w:cs="黑体"/>
                <w:kern w:val="0"/>
                <w:szCs w:val="21"/>
              </w:rPr>
            </w:pPr>
            <w:r>
              <w:rPr>
                <w:rFonts w:hint="eastAsia" w:ascii="黑体" w:hAnsi="黑体" w:eastAsia="黑体" w:cs="黑体"/>
                <w:kern w:val="0"/>
                <w:szCs w:val="21"/>
              </w:rPr>
              <w:t>A060701 木质屏风类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5F74234">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9B39657">
            <w:pPr>
              <w:widowControl/>
              <w:jc w:val="left"/>
              <w:rPr>
                <w:rFonts w:hint="eastAsia" w:ascii="黑体" w:hAnsi="黑体" w:eastAsia="黑体" w:cs="黑体"/>
                <w:kern w:val="0"/>
                <w:szCs w:val="21"/>
              </w:rPr>
            </w:pPr>
            <w:r>
              <w:rPr>
                <w:rFonts w:hint="eastAsia" w:ascii="黑体" w:hAnsi="黑体" w:eastAsia="黑体" w:cs="黑体"/>
                <w:kern w:val="0"/>
                <w:szCs w:val="21"/>
              </w:rPr>
              <w:t>HJ2547 家具/HJ2540 木塑制品</w:t>
            </w:r>
          </w:p>
        </w:tc>
      </w:tr>
      <w:tr w14:paraId="0F057C9F">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5C2E8F1">
            <w:pPr>
              <w:widowControl/>
              <w:jc w:val="left"/>
              <w:rPr>
                <w:rFonts w:hint="eastAsia" w:ascii="黑体" w:hAnsi="黑体" w:eastAsia="黑体" w:cs="黑体"/>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16F568C">
            <w:pPr>
              <w:widowControl/>
              <w:jc w:val="left"/>
              <w:rPr>
                <w:rFonts w:hint="eastAsia" w:ascii="黑体" w:hAnsi="黑体" w:eastAsia="黑体" w:cs="黑体"/>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757E90A">
            <w:pPr>
              <w:widowControl/>
              <w:jc w:val="left"/>
              <w:rPr>
                <w:rFonts w:hint="eastAsia" w:ascii="黑体" w:hAnsi="黑体" w:eastAsia="黑体" w:cs="黑体"/>
                <w:kern w:val="0"/>
                <w:szCs w:val="21"/>
              </w:rPr>
            </w:pPr>
            <w:r>
              <w:rPr>
                <w:rFonts w:hint="eastAsia" w:ascii="黑体" w:hAnsi="黑体" w:eastAsia="黑体" w:cs="黑体"/>
                <w:kern w:val="0"/>
                <w:szCs w:val="21"/>
              </w:rPr>
              <w:t>A060702 金属质屏风类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293F69A">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16872B6">
            <w:pPr>
              <w:widowControl/>
              <w:jc w:val="left"/>
              <w:rPr>
                <w:rFonts w:hint="eastAsia" w:ascii="黑体" w:hAnsi="黑体" w:eastAsia="黑体" w:cs="黑体"/>
                <w:kern w:val="0"/>
                <w:szCs w:val="21"/>
              </w:rPr>
            </w:pPr>
            <w:r>
              <w:rPr>
                <w:rFonts w:hint="eastAsia" w:ascii="黑体" w:hAnsi="黑体" w:eastAsia="黑体" w:cs="黑体"/>
                <w:kern w:val="0"/>
                <w:szCs w:val="21"/>
              </w:rPr>
              <w:t>HJ2547 家具/HJ2540 木塑制品</w:t>
            </w:r>
          </w:p>
        </w:tc>
      </w:tr>
      <w:tr w14:paraId="774FF5AD">
        <w:tblPrEx>
          <w:tblCellMar>
            <w:top w:w="0" w:type="dxa"/>
            <w:left w:w="108" w:type="dxa"/>
            <w:bottom w:w="0" w:type="dxa"/>
            <w:right w:w="108" w:type="dxa"/>
          </w:tblCellMar>
        </w:tblPrEx>
        <w:trPr>
          <w:trHeight w:val="410"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08AA4B2">
            <w:pPr>
              <w:widowControl/>
              <w:jc w:val="left"/>
              <w:rPr>
                <w:rFonts w:hint="eastAsia" w:ascii="黑体" w:hAnsi="黑体" w:eastAsia="黑体" w:cs="黑体"/>
                <w:kern w:val="0"/>
                <w:szCs w:val="21"/>
              </w:rPr>
            </w:pPr>
            <w:r>
              <w:rPr>
                <w:rFonts w:hint="eastAsia" w:ascii="黑体" w:hAnsi="黑体" w:eastAsia="黑体" w:cs="黑体"/>
                <w:kern w:val="0"/>
                <w:szCs w:val="21"/>
              </w:rPr>
              <w:t xml:space="preserve">23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41DD1EB3">
            <w:pPr>
              <w:widowControl/>
              <w:jc w:val="left"/>
              <w:rPr>
                <w:rFonts w:hint="eastAsia" w:ascii="黑体" w:hAnsi="黑体" w:eastAsia="黑体" w:cs="黑体"/>
                <w:kern w:val="0"/>
                <w:szCs w:val="21"/>
              </w:rPr>
            </w:pPr>
            <w:r>
              <w:rPr>
                <w:rFonts w:hint="eastAsia" w:ascii="黑体" w:hAnsi="黑体" w:eastAsia="黑体" w:cs="黑体"/>
                <w:kern w:val="0"/>
                <w:szCs w:val="21"/>
              </w:rPr>
              <w:t>A060804 水池</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AEF914B">
            <w:pPr>
              <w:widowControl/>
              <w:jc w:val="left"/>
              <w:rPr>
                <w:rFonts w:hint="eastAsia" w:ascii="黑体" w:hAnsi="黑体" w:eastAsia="黑体" w:cs="黑体"/>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3A5C30A">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9381379">
            <w:pPr>
              <w:widowControl/>
              <w:jc w:val="left"/>
              <w:rPr>
                <w:rFonts w:hint="eastAsia" w:ascii="黑体" w:hAnsi="黑体" w:eastAsia="黑体" w:cs="黑体"/>
                <w:kern w:val="0"/>
                <w:szCs w:val="21"/>
              </w:rPr>
            </w:pPr>
            <w:r>
              <w:rPr>
                <w:rFonts w:hint="eastAsia" w:ascii="黑体" w:hAnsi="黑体" w:eastAsia="黑体" w:cs="黑体"/>
                <w:kern w:val="0"/>
                <w:szCs w:val="21"/>
              </w:rPr>
              <w:t>HJ/T296 卫生陶瓷</w:t>
            </w:r>
          </w:p>
        </w:tc>
      </w:tr>
      <w:tr w14:paraId="16562F5E">
        <w:tblPrEx>
          <w:tblCellMar>
            <w:top w:w="0" w:type="dxa"/>
            <w:left w:w="108" w:type="dxa"/>
            <w:bottom w:w="0" w:type="dxa"/>
            <w:right w:w="108" w:type="dxa"/>
          </w:tblCellMar>
        </w:tblPrEx>
        <w:trPr>
          <w:trHeight w:val="413"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190DD44">
            <w:pPr>
              <w:widowControl/>
              <w:jc w:val="left"/>
              <w:rPr>
                <w:rFonts w:hint="eastAsia" w:ascii="黑体" w:hAnsi="黑体" w:eastAsia="黑体" w:cs="黑体"/>
                <w:kern w:val="0"/>
                <w:szCs w:val="21"/>
              </w:rPr>
            </w:pPr>
            <w:r>
              <w:rPr>
                <w:rFonts w:hint="eastAsia" w:ascii="黑体" w:hAnsi="黑体" w:eastAsia="黑体" w:cs="黑体"/>
                <w:kern w:val="0"/>
                <w:szCs w:val="21"/>
              </w:rPr>
              <w:t xml:space="preserve">24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3D855770">
            <w:pPr>
              <w:widowControl/>
              <w:jc w:val="left"/>
              <w:rPr>
                <w:rFonts w:hint="eastAsia" w:ascii="黑体" w:hAnsi="黑体" w:eastAsia="黑体" w:cs="黑体"/>
                <w:kern w:val="0"/>
                <w:szCs w:val="21"/>
              </w:rPr>
            </w:pPr>
            <w:r>
              <w:rPr>
                <w:rFonts w:hint="eastAsia" w:ascii="黑体" w:hAnsi="黑体" w:eastAsia="黑体" w:cs="黑体"/>
                <w:kern w:val="0"/>
                <w:szCs w:val="21"/>
              </w:rPr>
              <w:t>A060805 便器</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F784671">
            <w:pPr>
              <w:widowControl/>
              <w:jc w:val="left"/>
              <w:rPr>
                <w:rFonts w:hint="eastAsia" w:ascii="黑体" w:hAnsi="黑体" w:eastAsia="黑体" w:cs="黑体"/>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4334654">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E1DBFDC">
            <w:pPr>
              <w:widowControl/>
              <w:jc w:val="left"/>
              <w:rPr>
                <w:rFonts w:hint="eastAsia" w:ascii="黑体" w:hAnsi="黑体" w:eastAsia="黑体" w:cs="黑体"/>
                <w:kern w:val="0"/>
                <w:szCs w:val="21"/>
              </w:rPr>
            </w:pPr>
            <w:r>
              <w:rPr>
                <w:rFonts w:hint="eastAsia" w:ascii="黑体" w:hAnsi="黑体" w:eastAsia="黑体" w:cs="黑体"/>
                <w:kern w:val="0"/>
                <w:szCs w:val="21"/>
              </w:rPr>
              <w:t>HJ/T296 卫生陶瓷</w:t>
            </w:r>
          </w:p>
        </w:tc>
      </w:tr>
      <w:tr w14:paraId="14959452">
        <w:tblPrEx>
          <w:tblCellMar>
            <w:top w:w="0" w:type="dxa"/>
            <w:left w:w="108" w:type="dxa"/>
            <w:bottom w:w="0" w:type="dxa"/>
            <w:right w:w="108" w:type="dxa"/>
          </w:tblCellMar>
        </w:tblPrEx>
        <w:trPr>
          <w:trHeight w:val="413"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363F7D4">
            <w:pPr>
              <w:widowControl/>
              <w:jc w:val="left"/>
              <w:rPr>
                <w:rFonts w:hint="eastAsia" w:ascii="黑体" w:hAnsi="黑体" w:eastAsia="黑体" w:cs="黑体"/>
                <w:kern w:val="0"/>
                <w:szCs w:val="21"/>
              </w:rPr>
            </w:pPr>
            <w:r>
              <w:rPr>
                <w:rFonts w:hint="eastAsia" w:ascii="黑体" w:hAnsi="黑体" w:eastAsia="黑体" w:cs="黑体"/>
                <w:kern w:val="0"/>
                <w:szCs w:val="21"/>
              </w:rPr>
              <w:t xml:space="preserve">25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2D2728DA">
            <w:pPr>
              <w:widowControl/>
              <w:jc w:val="left"/>
              <w:rPr>
                <w:rFonts w:hint="eastAsia" w:ascii="黑体" w:hAnsi="黑体" w:eastAsia="黑体" w:cs="黑体"/>
                <w:kern w:val="0"/>
                <w:szCs w:val="21"/>
              </w:rPr>
            </w:pPr>
            <w:r>
              <w:rPr>
                <w:rFonts w:hint="eastAsia" w:ascii="黑体" w:hAnsi="黑体" w:eastAsia="黑体" w:cs="黑体"/>
                <w:kern w:val="0"/>
                <w:szCs w:val="21"/>
              </w:rPr>
              <w:t>A060806 水嘴</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2570CCF">
            <w:pPr>
              <w:widowControl/>
              <w:jc w:val="left"/>
              <w:rPr>
                <w:rFonts w:hint="eastAsia" w:ascii="黑体" w:hAnsi="黑体" w:eastAsia="黑体" w:cs="黑体"/>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0934454">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CB13044">
            <w:pPr>
              <w:widowControl/>
              <w:jc w:val="left"/>
              <w:rPr>
                <w:rFonts w:hint="eastAsia" w:ascii="黑体" w:hAnsi="黑体" w:eastAsia="黑体" w:cs="黑体"/>
                <w:kern w:val="0"/>
                <w:szCs w:val="21"/>
              </w:rPr>
            </w:pPr>
            <w:r>
              <w:rPr>
                <w:rFonts w:hint="eastAsia" w:ascii="黑体" w:hAnsi="黑体" w:eastAsia="黑体" w:cs="黑体"/>
                <w:kern w:val="0"/>
                <w:szCs w:val="21"/>
              </w:rPr>
              <w:t>HJ/T411 水嘴</w:t>
            </w:r>
          </w:p>
        </w:tc>
      </w:tr>
      <w:tr w14:paraId="741904D2">
        <w:tblPrEx>
          <w:tblCellMar>
            <w:top w:w="0" w:type="dxa"/>
            <w:left w:w="108" w:type="dxa"/>
            <w:bottom w:w="0" w:type="dxa"/>
            <w:right w:w="108" w:type="dxa"/>
          </w:tblCellMar>
        </w:tblPrEx>
        <w:trPr>
          <w:trHeight w:val="410"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967CBAE">
            <w:pPr>
              <w:widowControl/>
              <w:jc w:val="left"/>
              <w:rPr>
                <w:rFonts w:hint="eastAsia" w:ascii="黑体" w:hAnsi="黑体" w:eastAsia="黑体" w:cs="黑体"/>
                <w:kern w:val="0"/>
                <w:szCs w:val="21"/>
              </w:rPr>
            </w:pPr>
            <w:r>
              <w:rPr>
                <w:rFonts w:hint="eastAsia" w:ascii="黑体" w:hAnsi="黑体" w:eastAsia="黑体" w:cs="黑体"/>
                <w:kern w:val="0"/>
                <w:szCs w:val="21"/>
              </w:rPr>
              <w:t xml:space="preserve">26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2DFDAD66">
            <w:pPr>
              <w:widowControl/>
              <w:jc w:val="left"/>
              <w:rPr>
                <w:rFonts w:hint="eastAsia" w:ascii="黑体" w:hAnsi="黑体" w:eastAsia="黑体" w:cs="黑体"/>
                <w:kern w:val="0"/>
                <w:szCs w:val="21"/>
              </w:rPr>
            </w:pPr>
            <w:r>
              <w:rPr>
                <w:rFonts w:hint="eastAsia" w:ascii="黑体" w:hAnsi="黑体" w:eastAsia="黑体" w:cs="黑体"/>
                <w:kern w:val="0"/>
                <w:szCs w:val="21"/>
              </w:rPr>
              <w:t>A0609 组合家具</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7F1FE10">
            <w:pPr>
              <w:widowControl/>
              <w:jc w:val="left"/>
              <w:rPr>
                <w:rFonts w:hint="eastAsia" w:ascii="黑体" w:hAnsi="黑体" w:eastAsia="黑体" w:cs="黑体"/>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9ACAE1E">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0A06395">
            <w:pPr>
              <w:widowControl/>
              <w:jc w:val="left"/>
              <w:rPr>
                <w:rFonts w:hint="eastAsia" w:ascii="黑体" w:hAnsi="黑体" w:eastAsia="黑体" w:cs="黑体"/>
                <w:kern w:val="0"/>
                <w:szCs w:val="21"/>
              </w:rPr>
            </w:pPr>
            <w:r>
              <w:rPr>
                <w:rFonts w:hint="eastAsia" w:ascii="黑体" w:hAnsi="黑体" w:eastAsia="黑体" w:cs="黑体"/>
                <w:kern w:val="0"/>
                <w:szCs w:val="21"/>
              </w:rPr>
              <w:t>HJ2547 家具/HJ2540 木塑制品</w:t>
            </w:r>
          </w:p>
        </w:tc>
      </w:tr>
      <w:tr w14:paraId="0D5049C7">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7EDAE73E">
            <w:pPr>
              <w:widowControl/>
              <w:jc w:val="left"/>
              <w:rPr>
                <w:rFonts w:hint="eastAsia" w:ascii="黑体" w:hAnsi="黑体" w:eastAsia="黑体" w:cs="黑体"/>
                <w:kern w:val="0"/>
                <w:szCs w:val="21"/>
              </w:rPr>
            </w:pPr>
            <w:r>
              <w:rPr>
                <w:rFonts w:hint="eastAsia" w:ascii="黑体" w:hAnsi="黑体" w:eastAsia="黑体" w:cs="黑体"/>
                <w:kern w:val="0"/>
                <w:szCs w:val="21"/>
              </w:rPr>
              <w:t xml:space="preserve">27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2EE63893">
            <w:pPr>
              <w:widowControl/>
              <w:jc w:val="left"/>
              <w:rPr>
                <w:rFonts w:hint="eastAsia" w:ascii="黑体" w:hAnsi="黑体" w:eastAsia="黑体" w:cs="黑体"/>
                <w:kern w:val="0"/>
                <w:szCs w:val="21"/>
              </w:rPr>
            </w:pPr>
            <w:r>
              <w:rPr>
                <w:rFonts w:hint="eastAsia" w:ascii="黑体" w:hAnsi="黑体" w:eastAsia="黑体" w:cs="黑体"/>
                <w:kern w:val="0"/>
                <w:szCs w:val="21"/>
              </w:rPr>
              <w:t>A0610 家用家具零配件</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1152D67">
            <w:pPr>
              <w:widowControl/>
              <w:jc w:val="left"/>
              <w:rPr>
                <w:rFonts w:hint="eastAsia" w:ascii="黑体" w:hAnsi="黑体" w:eastAsia="黑体" w:cs="黑体"/>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47BA5A1">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68DE9D5">
            <w:pPr>
              <w:widowControl/>
              <w:jc w:val="left"/>
              <w:rPr>
                <w:rFonts w:hint="eastAsia" w:ascii="黑体" w:hAnsi="黑体" w:eastAsia="黑体" w:cs="黑体"/>
                <w:kern w:val="0"/>
                <w:szCs w:val="21"/>
              </w:rPr>
            </w:pPr>
            <w:r>
              <w:rPr>
                <w:rFonts w:hint="eastAsia" w:ascii="黑体" w:hAnsi="黑体" w:eastAsia="黑体" w:cs="黑体"/>
                <w:kern w:val="0"/>
                <w:szCs w:val="21"/>
              </w:rPr>
              <w:t>HJ2547 家具/HJ2540 木塑制品</w:t>
            </w:r>
          </w:p>
        </w:tc>
      </w:tr>
      <w:tr w14:paraId="5E404EB9">
        <w:tblPrEx>
          <w:tblCellMar>
            <w:top w:w="0" w:type="dxa"/>
            <w:left w:w="108" w:type="dxa"/>
            <w:bottom w:w="0" w:type="dxa"/>
            <w:right w:w="108" w:type="dxa"/>
          </w:tblCellMar>
        </w:tblPrEx>
        <w:trPr>
          <w:trHeight w:val="636"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5C2B1003">
            <w:pPr>
              <w:widowControl/>
              <w:jc w:val="left"/>
              <w:rPr>
                <w:rFonts w:hint="eastAsia" w:ascii="黑体" w:hAnsi="黑体" w:eastAsia="黑体" w:cs="黑体"/>
                <w:kern w:val="0"/>
                <w:szCs w:val="21"/>
              </w:rPr>
            </w:pPr>
            <w:r>
              <w:rPr>
                <w:rFonts w:hint="eastAsia" w:ascii="黑体" w:hAnsi="黑体" w:eastAsia="黑体" w:cs="黑体"/>
                <w:kern w:val="0"/>
                <w:szCs w:val="21"/>
              </w:rPr>
              <w:t xml:space="preserve">28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7B12302F">
            <w:pPr>
              <w:widowControl/>
              <w:jc w:val="left"/>
              <w:rPr>
                <w:rFonts w:hint="eastAsia" w:ascii="黑体" w:hAnsi="黑体" w:eastAsia="黑体" w:cs="黑体"/>
                <w:kern w:val="0"/>
                <w:szCs w:val="21"/>
              </w:rPr>
            </w:pPr>
            <w:r>
              <w:rPr>
                <w:rFonts w:hint="eastAsia" w:ascii="黑体" w:hAnsi="黑体" w:eastAsia="黑体" w:cs="黑体"/>
                <w:kern w:val="0"/>
                <w:szCs w:val="21"/>
              </w:rPr>
              <w:t>A0699 其他家具用具</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03CF66E6">
            <w:pPr>
              <w:widowControl/>
              <w:jc w:val="left"/>
              <w:rPr>
                <w:rFonts w:hint="eastAsia" w:ascii="黑体" w:hAnsi="黑体" w:eastAsia="黑体" w:cs="黑体"/>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6AB47B7">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3EB203B">
            <w:pPr>
              <w:widowControl/>
              <w:jc w:val="left"/>
              <w:rPr>
                <w:rFonts w:hint="eastAsia" w:ascii="黑体" w:hAnsi="黑体" w:eastAsia="黑体" w:cs="黑体"/>
                <w:kern w:val="0"/>
                <w:szCs w:val="21"/>
              </w:rPr>
            </w:pPr>
            <w:r>
              <w:rPr>
                <w:rFonts w:hint="eastAsia" w:ascii="黑体" w:hAnsi="黑体" w:eastAsia="黑体" w:cs="黑体"/>
                <w:kern w:val="0"/>
                <w:szCs w:val="21"/>
              </w:rPr>
              <w:t>HJ2547 家具/HJ2540 木塑制品</w:t>
            </w:r>
          </w:p>
        </w:tc>
      </w:tr>
      <w:tr w14:paraId="4AC052D4">
        <w:tblPrEx>
          <w:tblCellMar>
            <w:top w:w="0" w:type="dxa"/>
            <w:left w:w="108" w:type="dxa"/>
            <w:bottom w:w="0" w:type="dxa"/>
            <w:right w:w="108" w:type="dxa"/>
          </w:tblCellMar>
        </w:tblPrEx>
        <w:trPr>
          <w:trHeight w:val="638"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6419007F">
            <w:pPr>
              <w:widowControl/>
              <w:jc w:val="left"/>
              <w:rPr>
                <w:rFonts w:hint="eastAsia" w:ascii="黑体" w:hAnsi="黑体" w:eastAsia="黑体" w:cs="黑体"/>
                <w:kern w:val="0"/>
                <w:szCs w:val="21"/>
              </w:rPr>
            </w:pPr>
            <w:r>
              <w:rPr>
                <w:rFonts w:hint="eastAsia" w:ascii="黑体" w:hAnsi="黑体" w:eastAsia="黑体" w:cs="黑体"/>
                <w:kern w:val="0"/>
                <w:szCs w:val="21"/>
              </w:rPr>
              <w:t xml:space="preserve">29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2E34FA8E">
            <w:pPr>
              <w:widowControl/>
              <w:jc w:val="left"/>
              <w:rPr>
                <w:rFonts w:hint="eastAsia" w:ascii="黑体" w:hAnsi="黑体" w:eastAsia="黑体" w:cs="黑体"/>
                <w:kern w:val="0"/>
                <w:szCs w:val="21"/>
              </w:rPr>
            </w:pPr>
            <w:r>
              <w:rPr>
                <w:rFonts w:hint="eastAsia" w:ascii="黑体" w:hAnsi="黑体" w:eastAsia="黑体" w:cs="黑体"/>
                <w:kern w:val="0"/>
                <w:szCs w:val="21"/>
              </w:rPr>
              <w:t>A070101 棉、化纤纺织及印染原料</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17CDB13">
            <w:pPr>
              <w:widowControl/>
              <w:jc w:val="left"/>
              <w:rPr>
                <w:rFonts w:hint="eastAsia" w:ascii="黑体" w:hAnsi="黑体" w:eastAsia="黑体" w:cs="黑体"/>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DED384C">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095B7FE">
            <w:pPr>
              <w:widowControl/>
              <w:jc w:val="left"/>
              <w:rPr>
                <w:rFonts w:hint="eastAsia" w:ascii="黑体" w:hAnsi="黑体" w:eastAsia="黑体" w:cs="黑体"/>
                <w:kern w:val="0"/>
                <w:szCs w:val="21"/>
              </w:rPr>
            </w:pPr>
            <w:r>
              <w:rPr>
                <w:rFonts w:hint="eastAsia" w:ascii="黑体" w:hAnsi="黑体" w:eastAsia="黑体" w:cs="黑体"/>
                <w:kern w:val="0"/>
                <w:szCs w:val="21"/>
              </w:rPr>
              <w:t>HJ2546 纺织产品</w:t>
            </w:r>
          </w:p>
        </w:tc>
      </w:tr>
      <w:tr w14:paraId="1F0E5264">
        <w:tblPrEx>
          <w:tblCellMar>
            <w:top w:w="0" w:type="dxa"/>
            <w:left w:w="108" w:type="dxa"/>
            <w:bottom w:w="0" w:type="dxa"/>
            <w:right w:w="108" w:type="dxa"/>
          </w:tblCellMar>
        </w:tblPrEx>
        <w:trPr>
          <w:trHeight w:val="950"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4F367AC3">
            <w:pPr>
              <w:widowControl/>
              <w:jc w:val="left"/>
              <w:rPr>
                <w:rFonts w:hint="eastAsia" w:ascii="黑体" w:hAnsi="黑体" w:eastAsia="黑体" w:cs="黑体"/>
                <w:kern w:val="0"/>
                <w:szCs w:val="21"/>
              </w:rPr>
            </w:pPr>
            <w:r>
              <w:rPr>
                <w:rFonts w:hint="eastAsia" w:ascii="黑体" w:hAnsi="黑体" w:eastAsia="黑体" w:cs="黑体"/>
                <w:kern w:val="0"/>
                <w:szCs w:val="21"/>
              </w:rPr>
              <w:t xml:space="preserve">30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78106C52">
            <w:pPr>
              <w:widowControl/>
              <w:jc w:val="left"/>
              <w:rPr>
                <w:rFonts w:hint="eastAsia" w:ascii="黑体" w:hAnsi="黑体" w:eastAsia="黑体" w:cs="黑体"/>
                <w:kern w:val="0"/>
                <w:szCs w:val="21"/>
              </w:rPr>
            </w:pPr>
            <w:r>
              <w:rPr>
                <w:rFonts w:hint="eastAsia" w:ascii="黑体" w:hAnsi="黑体" w:eastAsia="黑体" w:cs="黑体"/>
                <w:kern w:val="0"/>
                <w:szCs w:val="21"/>
              </w:rPr>
              <w:t>A090101 复 印纸（包括再生复印纸）</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9186BB1">
            <w:pPr>
              <w:widowControl/>
              <w:jc w:val="left"/>
              <w:rPr>
                <w:rFonts w:hint="eastAsia" w:ascii="黑体" w:hAnsi="黑体" w:eastAsia="黑体" w:cs="黑体"/>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8E84057">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0F917AE">
            <w:pPr>
              <w:widowControl/>
              <w:jc w:val="left"/>
              <w:rPr>
                <w:rFonts w:hint="eastAsia" w:ascii="黑体" w:hAnsi="黑体" w:eastAsia="黑体" w:cs="黑体"/>
                <w:kern w:val="0"/>
                <w:szCs w:val="21"/>
              </w:rPr>
            </w:pPr>
            <w:r>
              <w:rPr>
                <w:rFonts w:hint="eastAsia" w:ascii="黑体" w:hAnsi="黑体" w:eastAsia="黑体" w:cs="黑体"/>
                <w:kern w:val="0"/>
                <w:szCs w:val="21"/>
              </w:rPr>
              <w:t>HJ410 文化用纸</w:t>
            </w:r>
          </w:p>
        </w:tc>
      </w:tr>
      <w:tr w14:paraId="3B1979BD">
        <w:tblPrEx>
          <w:tblCellMar>
            <w:top w:w="0" w:type="dxa"/>
            <w:left w:w="108" w:type="dxa"/>
            <w:bottom w:w="0" w:type="dxa"/>
            <w:right w:w="108" w:type="dxa"/>
          </w:tblCellMar>
        </w:tblPrEx>
        <w:trPr>
          <w:trHeight w:val="946"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037B9AA0">
            <w:pPr>
              <w:widowControl/>
              <w:jc w:val="left"/>
              <w:rPr>
                <w:rFonts w:hint="eastAsia" w:ascii="黑体" w:hAnsi="黑体" w:eastAsia="黑体" w:cs="黑体"/>
                <w:kern w:val="0"/>
                <w:szCs w:val="21"/>
              </w:rPr>
            </w:pPr>
            <w:r>
              <w:rPr>
                <w:rFonts w:hint="eastAsia" w:ascii="黑体" w:hAnsi="黑体" w:eastAsia="黑体" w:cs="黑体"/>
                <w:kern w:val="0"/>
                <w:szCs w:val="21"/>
              </w:rPr>
              <w:t xml:space="preserve">31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37E7ACDD">
            <w:pPr>
              <w:widowControl/>
              <w:jc w:val="left"/>
              <w:rPr>
                <w:rFonts w:hint="eastAsia" w:ascii="黑体" w:hAnsi="黑体" w:eastAsia="黑体" w:cs="黑体"/>
                <w:kern w:val="0"/>
                <w:szCs w:val="21"/>
                <w:lang w:val="pt-BR"/>
              </w:rPr>
            </w:pPr>
            <w:r>
              <w:rPr>
                <w:rFonts w:hint="eastAsia" w:ascii="黑体" w:hAnsi="黑体" w:eastAsia="黑体" w:cs="黑体"/>
                <w:kern w:val="0"/>
                <w:szCs w:val="21"/>
                <w:lang w:val="pt-BR"/>
              </w:rPr>
              <w:t xml:space="preserve">A090201 </w:t>
            </w:r>
            <w:r>
              <w:rPr>
                <w:rFonts w:hint="eastAsia" w:ascii="黑体" w:hAnsi="黑体" w:eastAsia="黑体" w:cs="黑体"/>
                <w:kern w:val="0"/>
                <w:szCs w:val="21"/>
              </w:rPr>
              <w:t>鼓粉盒</w:t>
            </w:r>
            <w:r>
              <w:rPr>
                <w:rFonts w:hint="eastAsia" w:ascii="黑体" w:hAnsi="黑体" w:eastAsia="黑体" w:cs="黑体"/>
                <w:kern w:val="0"/>
                <w:szCs w:val="21"/>
                <w:lang w:val="pt-BR"/>
              </w:rPr>
              <w:t>（</w:t>
            </w:r>
            <w:r>
              <w:rPr>
                <w:rFonts w:hint="eastAsia" w:ascii="黑体" w:hAnsi="黑体" w:eastAsia="黑体" w:cs="黑体"/>
                <w:kern w:val="0"/>
                <w:szCs w:val="21"/>
              </w:rPr>
              <w:t>包括再生鼓粉盒</w:t>
            </w:r>
            <w:r>
              <w:rPr>
                <w:rFonts w:hint="eastAsia" w:ascii="黑体" w:hAnsi="黑体" w:eastAsia="黑体" w:cs="黑体"/>
                <w:kern w:val="0"/>
                <w:szCs w:val="21"/>
                <w:lang w:val="pt-BR"/>
              </w:rPr>
              <w:t>）</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DDF71BA">
            <w:pPr>
              <w:widowControl/>
              <w:jc w:val="left"/>
              <w:rPr>
                <w:rFonts w:hint="eastAsia" w:ascii="黑体" w:hAnsi="黑体" w:eastAsia="黑体" w:cs="黑体"/>
                <w:kern w:val="0"/>
                <w:szCs w:val="21"/>
                <w:lang w:val="pt-BR"/>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01AC570">
            <w:pPr>
              <w:widowControl/>
              <w:jc w:val="left"/>
              <w:rPr>
                <w:rFonts w:hint="eastAsia" w:ascii="黑体" w:hAnsi="黑体" w:eastAsia="黑体" w:cs="黑体"/>
                <w:kern w:val="0"/>
                <w:szCs w:val="21"/>
                <w:lang w:val="pt-BR"/>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E151D7F">
            <w:pPr>
              <w:widowControl/>
              <w:jc w:val="left"/>
              <w:rPr>
                <w:rFonts w:hint="eastAsia" w:ascii="黑体" w:hAnsi="黑体" w:eastAsia="黑体" w:cs="黑体"/>
                <w:kern w:val="0"/>
                <w:szCs w:val="21"/>
              </w:rPr>
            </w:pPr>
            <w:r>
              <w:rPr>
                <w:rFonts w:hint="eastAsia" w:ascii="黑体" w:hAnsi="黑体" w:eastAsia="黑体" w:cs="黑体"/>
                <w:kern w:val="0"/>
                <w:szCs w:val="21"/>
              </w:rPr>
              <w:t>HJ/T413 再生鼓粉盒</w:t>
            </w:r>
          </w:p>
        </w:tc>
      </w:tr>
      <w:tr w14:paraId="1B137917">
        <w:tblPrEx>
          <w:tblCellMar>
            <w:top w:w="0" w:type="dxa"/>
            <w:left w:w="108" w:type="dxa"/>
            <w:bottom w:w="0" w:type="dxa"/>
            <w:right w:w="108" w:type="dxa"/>
          </w:tblCellMar>
        </w:tblPrEx>
        <w:trPr>
          <w:trHeight w:val="466"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5B601103">
            <w:pPr>
              <w:widowControl/>
              <w:jc w:val="left"/>
              <w:rPr>
                <w:rFonts w:hint="eastAsia" w:ascii="黑体" w:hAnsi="黑体" w:eastAsia="黑体" w:cs="黑体"/>
                <w:kern w:val="0"/>
                <w:szCs w:val="21"/>
              </w:rPr>
            </w:pPr>
            <w:r>
              <w:rPr>
                <w:rFonts w:hint="eastAsia" w:ascii="黑体" w:hAnsi="黑体" w:eastAsia="黑体" w:cs="黑体"/>
                <w:kern w:val="0"/>
                <w:szCs w:val="21"/>
              </w:rPr>
              <w:t xml:space="preserve">32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0F7999A0">
            <w:pPr>
              <w:widowControl/>
              <w:jc w:val="left"/>
              <w:rPr>
                <w:rFonts w:hint="eastAsia" w:ascii="黑体" w:hAnsi="黑体" w:eastAsia="黑体" w:cs="黑体"/>
                <w:kern w:val="0"/>
                <w:szCs w:val="21"/>
              </w:rPr>
            </w:pPr>
            <w:r>
              <w:rPr>
                <w:rFonts w:hint="eastAsia" w:ascii="黑体" w:hAnsi="黑体" w:eastAsia="黑体" w:cs="黑体"/>
                <w:kern w:val="0"/>
                <w:szCs w:val="21"/>
              </w:rPr>
              <w:t>A100203 人造板</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7075A6E">
            <w:pPr>
              <w:widowControl/>
              <w:jc w:val="left"/>
              <w:rPr>
                <w:rFonts w:hint="eastAsia" w:ascii="黑体" w:hAnsi="黑体" w:eastAsia="黑体" w:cs="黑体"/>
                <w:kern w:val="0"/>
                <w:szCs w:val="21"/>
              </w:rPr>
            </w:pPr>
            <w:r>
              <w:rPr>
                <w:rFonts w:hint="eastAsia" w:ascii="黑体" w:hAnsi="黑体" w:eastAsia="黑体" w:cs="黑体"/>
                <w:kern w:val="0"/>
                <w:szCs w:val="21"/>
              </w:rPr>
              <w:t>A10020301 胶合板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024F67F">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5111305">
            <w:pPr>
              <w:widowControl/>
              <w:jc w:val="left"/>
              <w:rPr>
                <w:rFonts w:hint="eastAsia" w:ascii="黑体" w:hAnsi="黑体" w:eastAsia="黑体" w:cs="黑体"/>
                <w:kern w:val="0"/>
                <w:szCs w:val="21"/>
              </w:rPr>
            </w:pPr>
            <w:r>
              <w:rPr>
                <w:rFonts w:hint="eastAsia" w:ascii="黑体" w:hAnsi="黑体" w:eastAsia="黑体" w:cs="黑体"/>
                <w:kern w:val="0"/>
                <w:szCs w:val="21"/>
              </w:rPr>
              <w:t>HJ571 人造板及其制品</w:t>
            </w:r>
          </w:p>
        </w:tc>
      </w:tr>
      <w:tr w14:paraId="1E1336D5">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5193A26">
            <w:pPr>
              <w:widowControl/>
              <w:jc w:val="left"/>
              <w:rPr>
                <w:rFonts w:hint="eastAsia" w:ascii="黑体" w:hAnsi="黑体" w:eastAsia="黑体" w:cs="黑体"/>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3D8B8FE">
            <w:pPr>
              <w:widowControl/>
              <w:jc w:val="left"/>
              <w:rPr>
                <w:rFonts w:hint="eastAsia" w:ascii="黑体" w:hAnsi="黑体" w:eastAsia="黑体" w:cs="黑体"/>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C3DC568">
            <w:pPr>
              <w:widowControl/>
              <w:jc w:val="left"/>
              <w:rPr>
                <w:rFonts w:hint="eastAsia" w:ascii="黑体" w:hAnsi="黑体" w:eastAsia="黑体" w:cs="黑体"/>
                <w:kern w:val="0"/>
                <w:szCs w:val="21"/>
              </w:rPr>
            </w:pPr>
            <w:r>
              <w:rPr>
                <w:rFonts w:hint="eastAsia" w:ascii="黑体" w:hAnsi="黑体" w:eastAsia="黑体" w:cs="黑体"/>
                <w:kern w:val="0"/>
                <w:szCs w:val="21"/>
              </w:rPr>
              <w:t>A10020302 纤维板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8CB1E85">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35E91FC">
            <w:pPr>
              <w:widowControl/>
              <w:jc w:val="left"/>
              <w:rPr>
                <w:rFonts w:hint="eastAsia" w:ascii="黑体" w:hAnsi="黑体" w:eastAsia="黑体" w:cs="黑体"/>
                <w:kern w:val="0"/>
                <w:szCs w:val="21"/>
              </w:rPr>
            </w:pPr>
            <w:r>
              <w:rPr>
                <w:rFonts w:hint="eastAsia" w:ascii="黑体" w:hAnsi="黑体" w:eastAsia="黑体" w:cs="黑体"/>
                <w:kern w:val="0"/>
                <w:szCs w:val="21"/>
              </w:rPr>
              <w:t>HJ571 人造板及其制品</w:t>
            </w:r>
          </w:p>
        </w:tc>
      </w:tr>
      <w:tr w14:paraId="556CD3AD">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22B4B64">
            <w:pPr>
              <w:widowControl/>
              <w:jc w:val="left"/>
              <w:rPr>
                <w:rFonts w:hint="eastAsia" w:ascii="黑体" w:hAnsi="黑体" w:eastAsia="黑体" w:cs="黑体"/>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1F81624">
            <w:pPr>
              <w:widowControl/>
              <w:jc w:val="left"/>
              <w:rPr>
                <w:rFonts w:hint="eastAsia" w:ascii="黑体" w:hAnsi="黑体" w:eastAsia="黑体" w:cs="黑体"/>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576429D">
            <w:pPr>
              <w:widowControl/>
              <w:jc w:val="left"/>
              <w:rPr>
                <w:rFonts w:hint="eastAsia" w:ascii="黑体" w:hAnsi="黑体" w:eastAsia="黑体" w:cs="黑体"/>
                <w:kern w:val="0"/>
                <w:szCs w:val="21"/>
              </w:rPr>
            </w:pPr>
            <w:r>
              <w:rPr>
                <w:rFonts w:hint="eastAsia" w:ascii="黑体" w:hAnsi="黑体" w:eastAsia="黑体" w:cs="黑体"/>
                <w:kern w:val="0"/>
                <w:szCs w:val="21"/>
              </w:rPr>
              <w:t>A10020303 刨花板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4E64B36">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1E05013">
            <w:pPr>
              <w:widowControl/>
              <w:jc w:val="left"/>
              <w:rPr>
                <w:rFonts w:hint="eastAsia" w:ascii="黑体" w:hAnsi="黑体" w:eastAsia="黑体" w:cs="黑体"/>
                <w:kern w:val="0"/>
                <w:szCs w:val="21"/>
              </w:rPr>
            </w:pPr>
            <w:r>
              <w:rPr>
                <w:rFonts w:hint="eastAsia" w:ascii="黑体" w:hAnsi="黑体" w:eastAsia="黑体" w:cs="黑体"/>
                <w:kern w:val="0"/>
                <w:szCs w:val="21"/>
              </w:rPr>
              <w:t>HJ571 人造板及其制品</w:t>
            </w:r>
          </w:p>
        </w:tc>
      </w:tr>
      <w:tr w14:paraId="1EB40FB6">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B016778">
            <w:pPr>
              <w:widowControl/>
              <w:jc w:val="left"/>
              <w:rPr>
                <w:rFonts w:hint="eastAsia" w:ascii="黑体" w:hAnsi="黑体" w:eastAsia="黑体" w:cs="黑体"/>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FEB3559">
            <w:pPr>
              <w:widowControl/>
              <w:jc w:val="left"/>
              <w:rPr>
                <w:rFonts w:hint="eastAsia" w:ascii="黑体" w:hAnsi="黑体" w:eastAsia="黑体" w:cs="黑体"/>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D6A4723">
            <w:pPr>
              <w:widowControl/>
              <w:jc w:val="left"/>
              <w:rPr>
                <w:rFonts w:hint="eastAsia" w:ascii="黑体" w:hAnsi="黑体" w:eastAsia="黑体" w:cs="黑体"/>
                <w:kern w:val="0"/>
                <w:szCs w:val="21"/>
              </w:rPr>
            </w:pPr>
            <w:r>
              <w:rPr>
                <w:rFonts w:hint="eastAsia" w:ascii="黑体" w:hAnsi="黑体" w:eastAsia="黑体" w:cs="黑体"/>
                <w:kern w:val="0"/>
                <w:szCs w:val="21"/>
              </w:rPr>
              <w:t>A10020304 细木工板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137DF36">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77AD7C2">
            <w:pPr>
              <w:widowControl/>
              <w:jc w:val="left"/>
              <w:rPr>
                <w:rFonts w:hint="eastAsia" w:ascii="黑体" w:hAnsi="黑体" w:eastAsia="黑体" w:cs="黑体"/>
                <w:kern w:val="0"/>
                <w:szCs w:val="21"/>
              </w:rPr>
            </w:pPr>
            <w:r>
              <w:rPr>
                <w:rFonts w:hint="eastAsia" w:ascii="黑体" w:hAnsi="黑体" w:eastAsia="黑体" w:cs="黑体"/>
                <w:kern w:val="0"/>
                <w:szCs w:val="21"/>
              </w:rPr>
              <w:t>HJ571 人造板及其制品</w:t>
            </w:r>
          </w:p>
        </w:tc>
      </w:tr>
      <w:tr w14:paraId="6F393D8B">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CCB7D13">
            <w:pPr>
              <w:widowControl/>
              <w:jc w:val="left"/>
              <w:rPr>
                <w:rFonts w:hint="eastAsia" w:ascii="黑体" w:hAnsi="黑体" w:eastAsia="黑体" w:cs="黑体"/>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58A3871">
            <w:pPr>
              <w:widowControl/>
              <w:jc w:val="left"/>
              <w:rPr>
                <w:rFonts w:hint="eastAsia" w:ascii="黑体" w:hAnsi="黑体" w:eastAsia="黑体" w:cs="黑体"/>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2A40850">
            <w:pPr>
              <w:widowControl/>
              <w:jc w:val="left"/>
              <w:rPr>
                <w:rFonts w:hint="eastAsia" w:ascii="黑体" w:hAnsi="黑体" w:eastAsia="黑体" w:cs="黑体"/>
                <w:kern w:val="0"/>
                <w:szCs w:val="21"/>
              </w:rPr>
            </w:pPr>
            <w:r>
              <w:rPr>
                <w:rFonts w:hint="eastAsia" w:ascii="黑体" w:hAnsi="黑体" w:eastAsia="黑体" w:cs="黑体"/>
                <w:kern w:val="0"/>
                <w:szCs w:val="21"/>
              </w:rPr>
              <w:t>A10020399 其他人造板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9DFC6EC">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8DF07C1">
            <w:pPr>
              <w:widowControl/>
              <w:jc w:val="left"/>
              <w:rPr>
                <w:rFonts w:hint="eastAsia" w:ascii="黑体" w:hAnsi="黑体" w:eastAsia="黑体" w:cs="黑体"/>
                <w:kern w:val="0"/>
                <w:szCs w:val="21"/>
              </w:rPr>
            </w:pPr>
            <w:r>
              <w:rPr>
                <w:rFonts w:hint="eastAsia" w:ascii="黑体" w:hAnsi="黑体" w:eastAsia="黑体" w:cs="黑体"/>
                <w:kern w:val="0"/>
                <w:szCs w:val="21"/>
              </w:rPr>
              <w:t>HJ571 人造板及其制品</w:t>
            </w:r>
          </w:p>
        </w:tc>
      </w:tr>
      <w:tr w14:paraId="58099BDF">
        <w:tblPrEx>
          <w:tblCellMar>
            <w:top w:w="0" w:type="dxa"/>
            <w:left w:w="108" w:type="dxa"/>
            <w:bottom w:w="0" w:type="dxa"/>
            <w:right w:w="108" w:type="dxa"/>
          </w:tblCellMar>
        </w:tblPrEx>
        <w:trPr>
          <w:trHeight w:val="578"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01FAF3D0">
            <w:pPr>
              <w:widowControl/>
              <w:jc w:val="left"/>
              <w:rPr>
                <w:rFonts w:hint="eastAsia" w:ascii="黑体" w:hAnsi="黑体" w:eastAsia="黑体" w:cs="黑体"/>
                <w:kern w:val="0"/>
                <w:szCs w:val="21"/>
              </w:rPr>
            </w:pPr>
            <w:r>
              <w:rPr>
                <w:rFonts w:hint="eastAsia" w:ascii="黑体" w:hAnsi="黑体" w:eastAsia="黑体" w:cs="黑体"/>
                <w:kern w:val="0"/>
                <w:szCs w:val="21"/>
              </w:rPr>
              <w:t xml:space="preserve">33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13681ED9">
            <w:pPr>
              <w:widowControl/>
              <w:jc w:val="left"/>
              <w:rPr>
                <w:rFonts w:hint="eastAsia" w:ascii="黑体" w:hAnsi="黑体" w:eastAsia="黑体" w:cs="黑体"/>
                <w:kern w:val="0"/>
                <w:szCs w:val="21"/>
              </w:rPr>
            </w:pPr>
            <w:r>
              <w:rPr>
                <w:rFonts w:hint="eastAsia" w:ascii="黑体" w:hAnsi="黑体" w:eastAsia="黑体" w:cs="黑体"/>
                <w:kern w:val="0"/>
                <w:szCs w:val="21"/>
              </w:rPr>
              <w:t>A100204 二次加工材,相关板材</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C742BBA">
            <w:pPr>
              <w:widowControl/>
              <w:jc w:val="left"/>
              <w:rPr>
                <w:rFonts w:hint="eastAsia" w:ascii="黑体" w:hAnsi="黑体" w:eastAsia="黑体" w:cs="黑体"/>
                <w:kern w:val="0"/>
                <w:szCs w:val="21"/>
              </w:rPr>
            </w:pPr>
            <w:r>
              <w:rPr>
                <w:rFonts w:hint="eastAsia" w:ascii="黑体" w:hAnsi="黑体" w:eastAsia="黑体" w:cs="黑体"/>
                <w:kern w:val="0"/>
                <w:szCs w:val="21"/>
              </w:rPr>
              <w:t>A10020404 人造板表面装饰板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FBE2E3A">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E002EA1">
            <w:pPr>
              <w:widowControl/>
              <w:jc w:val="left"/>
              <w:rPr>
                <w:rFonts w:hint="eastAsia" w:ascii="黑体" w:hAnsi="黑体" w:eastAsia="黑体" w:cs="黑体"/>
                <w:kern w:val="0"/>
                <w:szCs w:val="21"/>
              </w:rPr>
            </w:pPr>
            <w:r>
              <w:rPr>
                <w:rFonts w:hint="eastAsia" w:ascii="黑体" w:hAnsi="黑体" w:eastAsia="黑体" w:cs="黑体"/>
                <w:kern w:val="0"/>
                <w:szCs w:val="21"/>
              </w:rPr>
              <w:t>HJ571 人造板及其制品/HJ2540 木塑制品</w:t>
            </w:r>
          </w:p>
        </w:tc>
      </w:tr>
      <w:tr w14:paraId="6E8C9648">
        <w:tblPrEx>
          <w:tblCellMar>
            <w:top w:w="0" w:type="dxa"/>
            <w:left w:w="108" w:type="dxa"/>
            <w:bottom w:w="0" w:type="dxa"/>
            <w:right w:w="108" w:type="dxa"/>
          </w:tblCellMar>
        </w:tblPrEx>
        <w:trPr>
          <w:trHeight w:val="636"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3AD9B7F">
            <w:pPr>
              <w:widowControl/>
              <w:jc w:val="left"/>
              <w:rPr>
                <w:rFonts w:hint="eastAsia" w:ascii="黑体" w:hAnsi="黑体" w:eastAsia="黑体" w:cs="黑体"/>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63316AD">
            <w:pPr>
              <w:widowControl/>
              <w:jc w:val="left"/>
              <w:rPr>
                <w:rFonts w:hint="eastAsia" w:ascii="黑体" w:hAnsi="黑体" w:eastAsia="黑体" w:cs="黑体"/>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0F9C5E2">
            <w:pPr>
              <w:widowControl/>
              <w:jc w:val="left"/>
              <w:rPr>
                <w:rFonts w:hint="eastAsia" w:ascii="黑体" w:hAnsi="黑体" w:eastAsia="黑体" w:cs="黑体"/>
                <w:kern w:val="0"/>
                <w:szCs w:val="21"/>
              </w:rPr>
            </w:pPr>
            <w:r>
              <w:rPr>
                <w:rFonts w:hint="eastAsia" w:ascii="黑体" w:hAnsi="黑体" w:eastAsia="黑体" w:cs="黑体"/>
                <w:kern w:val="0"/>
                <w:szCs w:val="21"/>
              </w:rPr>
              <w:t>A10020404 人造板表面装饰板（地板）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929638A">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3DC894F">
            <w:pPr>
              <w:widowControl/>
              <w:jc w:val="left"/>
              <w:rPr>
                <w:rFonts w:hint="eastAsia" w:ascii="黑体" w:hAnsi="黑体" w:eastAsia="黑体" w:cs="黑体"/>
                <w:kern w:val="0"/>
                <w:szCs w:val="21"/>
              </w:rPr>
            </w:pPr>
            <w:r>
              <w:rPr>
                <w:rFonts w:hint="eastAsia" w:ascii="黑体" w:hAnsi="黑体" w:eastAsia="黑体" w:cs="黑体"/>
                <w:kern w:val="0"/>
                <w:szCs w:val="21"/>
              </w:rPr>
              <w:t>HJ571 人造板及其制品/HJ2540 木塑制品</w:t>
            </w:r>
          </w:p>
        </w:tc>
      </w:tr>
      <w:tr w14:paraId="1D56515F">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226E284B">
            <w:pPr>
              <w:widowControl/>
              <w:jc w:val="left"/>
              <w:rPr>
                <w:rFonts w:hint="eastAsia" w:ascii="黑体" w:hAnsi="黑体" w:eastAsia="黑体" w:cs="黑体"/>
                <w:kern w:val="0"/>
                <w:szCs w:val="21"/>
              </w:rPr>
            </w:pPr>
            <w:r>
              <w:rPr>
                <w:rFonts w:hint="eastAsia" w:ascii="黑体" w:hAnsi="黑体" w:eastAsia="黑体" w:cs="黑体"/>
                <w:kern w:val="0"/>
                <w:szCs w:val="21"/>
              </w:rPr>
              <w:t xml:space="preserve">34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770C7A84">
            <w:pPr>
              <w:widowControl/>
              <w:jc w:val="left"/>
              <w:rPr>
                <w:rFonts w:hint="eastAsia" w:ascii="黑体" w:hAnsi="黑体" w:eastAsia="黑体" w:cs="黑体"/>
                <w:kern w:val="0"/>
                <w:szCs w:val="21"/>
              </w:rPr>
            </w:pPr>
            <w:r>
              <w:rPr>
                <w:rFonts w:hint="eastAsia" w:ascii="黑体" w:hAnsi="黑体" w:eastAsia="黑体" w:cs="黑体"/>
                <w:kern w:val="0"/>
                <w:szCs w:val="21"/>
              </w:rPr>
              <w:t>A100301 水泥熟料及水泥</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4C51FC7">
            <w:pPr>
              <w:widowControl/>
              <w:jc w:val="left"/>
              <w:rPr>
                <w:rFonts w:hint="eastAsia" w:ascii="黑体" w:hAnsi="黑体" w:eastAsia="黑体" w:cs="黑体"/>
                <w:kern w:val="0"/>
                <w:szCs w:val="21"/>
              </w:rPr>
            </w:pPr>
            <w:r>
              <w:rPr>
                <w:rFonts w:hint="eastAsia" w:ascii="黑体" w:hAnsi="黑体" w:eastAsia="黑体" w:cs="黑体"/>
                <w:kern w:val="0"/>
                <w:szCs w:val="21"/>
              </w:rPr>
              <w:t>A10030102 水泥</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960D8A8">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36463D2">
            <w:pPr>
              <w:widowControl/>
              <w:jc w:val="left"/>
              <w:rPr>
                <w:rFonts w:hint="eastAsia" w:ascii="黑体" w:hAnsi="黑体" w:eastAsia="黑体" w:cs="黑体"/>
                <w:kern w:val="0"/>
                <w:szCs w:val="21"/>
              </w:rPr>
            </w:pPr>
            <w:r>
              <w:rPr>
                <w:rFonts w:hint="eastAsia" w:ascii="黑体" w:hAnsi="黑体" w:eastAsia="黑体" w:cs="黑体"/>
                <w:kern w:val="0"/>
                <w:szCs w:val="21"/>
              </w:rPr>
              <w:t>HJ2519 水泥</w:t>
            </w:r>
          </w:p>
        </w:tc>
      </w:tr>
      <w:tr w14:paraId="51BA8D75">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137C7A70">
            <w:pPr>
              <w:widowControl/>
              <w:jc w:val="left"/>
              <w:rPr>
                <w:rFonts w:hint="eastAsia" w:ascii="黑体" w:hAnsi="黑体" w:eastAsia="黑体" w:cs="黑体"/>
                <w:kern w:val="0"/>
                <w:szCs w:val="21"/>
              </w:rPr>
            </w:pPr>
            <w:r>
              <w:rPr>
                <w:rFonts w:hint="eastAsia" w:ascii="黑体" w:hAnsi="黑体" w:eastAsia="黑体" w:cs="黑体"/>
                <w:kern w:val="0"/>
                <w:szCs w:val="21"/>
              </w:rPr>
              <w:t xml:space="preserve">35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2971D4C2">
            <w:pPr>
              <w:widowControl/>
              <w:jc w:val="left"/>
              <w:rPr>
                <w:rFonts w:hint="eastAsia" w:ascii="黑体" w:hAnsi="黑体" w:eastAsia="黑体" w:cs="黑体"/>
                <w:kern w:val="0"/>
                <w:szCs w:val="21"/>
              </w:rPr>
            </w:pPr>
            <w:r>
              <w:rPr>
                <w:rFonts w:hint="eastAsia" w:ascii="黑体" w:hAnsi="黑体" w:eastAsia="黑体" w:cs="黑体"/>
                <w:kern w:val="0"/>
                <w:szCs w:val="21"/>
              </w:rPr>
              <w:t>A100303 水泥混凝土制品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0EFBE78D">
            <w:pPr>
              <w:widowControl/>
              <w:jc w:val="left"/>
              <w:rPr>
                <w:rFonts w:hint="eastAsia" w:ascii="黑体" w:hAnsi="黑体" w:eastAsia="黑体" w:cs="黑体"/>
                <w:kern w:val="0"/>
                <w:szCs w:val="21"/>
              </w:rPr>
            </w:pPr>
            <w:r>
              <w:rPr>
                <w:rFonts w:hint="eastAsia" w:ascii="黑体" w:hAnsi="黑体" w:eastAsia="黑体" w:cs="黑体"/>
                <w:kern w:val="0"/>
                <w:szCs w:val="21"/>
              </w:rPr>
              <w:t>A10030301 商品混凝土</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0EED43A">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550A444">
            <w:pPr>
              <w:widowControl/>
              <w:jc w:val="left"/>
              <w:rPr>
                <w:rFonts w:hint="eastAsia" w:ascii="黑体" w:hAnsi="黑体" w:eastAsia="黑体" w:cs="黑体"/>
                <w:kern w:val="0"/>
                <w:szCs w:val="21"/>
              </w:rPr>
            </w:pPr>
            <w:r>
              <w:rPr>
                <w:rFonts w:hint="eastAsia" w:ascii="黑体" w:hAnsi="黑体" w:eastAsia="黑体" w:cs="黑体"/>
                <w:kern w:val="0"/>
                <w:szCs w:val="21"/>
              </w:rPr>
              <w:t>HJ/T412 预拌混凝土</w:t>
            </w:r>
          </w:p>
        </w:tc>
      </w:tr>
      <w:tr w14:paraId="4EE5A0CE">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7CD1A9A7">
            <w:pPr>
              <w:widowControl/>
              <w:jc w:val="left"/>
              <w:rPr>
                <w:rFonts w:hint="eastAsia" w:ascii="黑体" w:hAnsi="黑体" w:eastAsia="黑体" w:cs="黑体"/>
                <w:kern w:val="0"/>
                <w:szCs w:val="21"/>
              </w:rPr>
            </w:pPr>
            <w:r>
              <w:rPr>
                <w:rFonts w:hint="eastAsia" w:ascii="黑体" w:hAnsi="黑体" w:eastAsia="黑体" w:cs="黑体"/>
                <w:kern w:val="0"/>
                <w:szCs w:val="21"/>
              </w:rPr>
              <w:t xml:space="preserve">36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126657F1">
            <w:pPr>
              <w:widowControl/>
              <w:jc w:val="left"/>
              <w:rPr>
                <w:rFonts w:hint="eastAsia" w:ascii="黑体" w:hAnsi="黑体" w:eastAsia="黑体" w:cs="黑体"/>
                <w:kern w:val="0"/>
                <w:szCs w:val="21"/>
              </w:rPr>
            </w:pPr>
            <w:r>
              <w:rPr>
                <w:rFonts w:hint="eastAsia" w:ascii="黑体" w:hAnsi="黑体" w:eastAsia="黑体" w:cs="黑体"/>
                <w:kern w:val="0"/>
                <w:szCs w:val="21"/>
              </w:rPr>
              <w:t>A100304 纤维增强水泥制品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B487E28">
            <w:pPr>
              <w:widowControl/>
              <w:jc w:val="left"/>
              <w:rPr>
                <w:rFonts w:hint="eastAsia" w:ascii="黑体" w:hAnsi="黑体" w:eastAsia="黑体" w:cs="黑体"/>
                <w:kern w:val="0"/>
                <w:szCs w:val="21"/>
              </w:rPr>
            </w:pPr>
            <w:r>
              <w:rPr>
                <w:rFonts w:hint="eastAsia" w:ascii="黑体" w:hAnsi="黑体" w:eastAsia="黑体" w:cs="黑体"/>
                <w:kern w:val="0"/>
                <w:szCs w:val="21"/>
              </w:rPr>
              <w:t>A10030402 纤维增强硅酸钙板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71CBAEB">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43BA2EA">
            <w:pPr>
              <w:widowControl/>
              <w:jc w:val="left"/>
              <w:rPr>
                <w:rFonts w:hint="eastAsia" w:ascii="黑体" w:hAnsi="黑体" w:eastAsia="黑体" w:cs="黑体"/>
                <w:kern w:val="0"/>
                <w:szCs w:val="21"/>
              </w:rPr>
            </w:pPr>
            <w:r>
              <w:rPr>
                <w:rFonts w:hint="eastAsia" w:ascii="黑体" w:hAnsi="黑体" w:eastAsia="黑体" w:cs="黑体"/>
                <w:kern w:val="0"/>
                <w:szCs w:val="21"/>
              </w:rPr>
              <w:t>HJ/T223 轻质墙体板材</w:t>
            </w:r>
          </w:p>
        </w:tc>
      </w:tr>
      <w:tr w14:paraId="7EF38724">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A56E8B5">
            <w:pPr>
              <w:widowControl/>
              <w:jc w:val="left"/>
              <w:rPr>
                <w:rFonts w:hint="eastAsia" w:ascii="黑体" w:hAnsi="黑体" w:eastAsia="黑体" w:cs="黑体"/>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32A5AD8">
            <w:pPr>
              <w:widowControl/>
              <w:jc w:val="left"/>
              <w:rPr>
                <w:rFonts w:hint="eastAsia" w:ascii="黑体" w:hAnsi="黑体" w:eastAsia="黑体" w:cs="黑体"/>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AEBEA4F">
            <w:pPr>
              <w:widowControl/>
              <w:jc w:val="left"/>
              <w:rPr>
                <w:rFonts w:hint="eastAsia" w:ascii="黑体" w:hAnsi="黑体" w:eastAsia="黑体" w:cs="黑体"/>
                <w:kern w:val="0"/>
                <w:szCs w:val="21"/>
              </w:rPr>
            </w:pPr>
            <w:r>
              <w:rPr>
                <w:rFonts w:hint="eastAsia" w:ascii="黑体" w:hAnsi="黑体" w:eastAsia="黑体" w:cs="黑体"/>
                <w:kern w:val="0"/>
                <w:szCs w:val="21"/>
              </w:rPr>
              <w:t>A10030403 无石棉纤维水泥制品</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788AA5E">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0FCD7E8">
            <w:pPr>
              <w:widowControl/>
              <w:jc w:val="left"/>
              <w:rPr>
                <w:rFonts w:hint="eastAsia" w:ascii="黑体" w:hAnsi="黑体" w:eastAsia="黑体" w:cs="黑体"/>
                <w:kern w:val="0"/>
                <w:szCs w:val="21"/>
              </w:rPr>
            </w:pPr>
            <w:r>
              <w:rPr>
                <w:rFonts w:hint="eastAsia" w:ascii="黑体" w:hAnsi="黑体" w:eastAsia="黑体" w:cs="黑体"/>
                <w:kern w:val="0"/>
                <w:szCs w:val="21"/>
              </w:rPr>
              <w:t>HJ/T223 轻质墙体板材</w:t>
            </w:r>
          </w:p>
        </w:tc>
      </w:tr>
      <w:tr w14:paraId="4D760B98">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5F946232">
            <w:pPr>
              <w:widowControl/>
              <w:jc w:val="left"/>
              <w:rPr>
                <w:rFonts w:hint="eastAsia" w:ascii="黑体" w:hAnsi="黑体" w:eastAsia="黑体" w:cs="黑体"/>
                <w:kern w:val="0"/>
                <w:szCs w:val="21"/>
              </w:rPr>
            </w:pPr>
            <w:r>
              <w:rPr>
                <w:rFonts w:hint="eastAsia" w:ascii="黑体" w:hAnsi="黑体" w:eastAsia="黑体" w:cs="黑体"/>
                <w:kern w:val="0"/>
                <w:szCs w:val="21"/>
              </w:rPr>
              <w:t xml:space="preserve">37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5A87EFC1">
            <w:pPr>
              <w:widowControl/>
              <w:jc w:val="left"/>
              <w:rPr>
                <w:rFonts w:hint="eastAsia" w:ascii="黑体" w:hAnsi="黑体" w:eastAsia="黑体" w:cs="黑体"/>
                <w:kern w:val="0"/>
                <w:szCs w:val="21"/>
              </w:rPr>
            </w:pPr>
            <w:r>
              <w:rPr>
                <w:rFonts w:hint="eastAsia" w:ascii="黑体" w:hAnsi="黑体" w:eastAsia="黑体" w:cs="黑体"/>
                <w:kern w:val="0"/>
                <w:szCs w:val="21"/>
              </w:rPr>
              <w:t>A100305 轻质建筑材料及制品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C05A5EB">
            <w:pPr>
              <w:widowControl/>
              <w:jc w:val="left"/>
              <w:rPr>
                <w:rFonts w:hint="eastAsia" w:ascii="黑体" w:hAnsi="黑体" w:eastAsia="黑体" w:cs="黑体"/>
                <w:kern w:val="0"/>
                <w:szCs w:val="21"/>
              </w:rPr>
            </w:pPr>
            <w:r>
              <w:rPr>
                <w:rFonts w:hint="eastAsia" w:ascii="黑体" w:hAnsi="黑体" w:eastAsia="黑体" w:cs="黑体"/>
                <w:kern w:val="0"/>
                <w:szCs w:val="21"/>
              </w:rPr>
              <w:t>A10030501 石膏板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FBAE3F0">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FC75789">
            <w:pPr>
              <w:widowControl/>
              <w:jc w:val="left"/>
              <w:rPr>
                <w:rFonts w:hint="eastAsia" w:ascii="黑体" w:hAnsi="黑体" w:eastAsia="黑体" w:cs="黑体"/>
                <w:kern w:val="0"/>
                <w:szCs w:val="21"/>
              </w:rPr>
            </w:pPr>
            <w:r>
              <w:rPr>
                <w:rFonts w:hint="eastAsia" w:ascii="黑体" w:hAnsi="黑体" w:eastAsia="黑体" w:cs="黑体"/>
                <w:kern w:val="0"/>
                <w:szCs w:val="21"/>
              </w:rPr>
              <w:t>HJ/T223 轻质墙体板材</w:t>
            </w:r>
          </w:p>
        </w:tc>
      </w:tr>
      <w:tr w14:paraId="05863F2C">
        <w:tblPrEx>
          <w:tblCellMar>
            <w:top w:w="0" w:type="dxa"/>
            <w:left w:w="108" w:type="dxa"/>
            <w:bottom w:w="0" w:type="dxa"/>
            <w:right w:w="108" w:type="dxa"/>
          </w:tblCellMar>
        </w:tblPrEx>
        <w:trPr>
          <w:trHeight w:val="40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4A7A48E">
            <w:pPr>
              <w:widowControl/>
              <w:jc w:val="left"/>
              <w:rPr>
                <w:rFonts w:hint="eastAsia" w:ascii="黑体" w:hAnsi="黑体" w:eastAsia="黑体" w:cs="黑体"/>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E60A95C">
            <w:pPr>
              <w:widowControl/>
              <w:jc w:val="left"/>
              <w:rPr>
                <w:rFonts w:hint="eastAsia" w:ascii="黑体" w:hAnsi="黑体" w:eastAsia="黑体" w:cs="黑体"/>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0D4E1D18">
            <w:pPr>
              <w:widowControl/>
              <w:jc w:val="left"/>
              <w:rPr>
                <w:rFonts w:hint="eastAsia" w:ascii="黑体" w:hAnsi="黑体" w:eastAsia="黑体" w:cs="黑体"/>
                <w:kern w:val="0"/>
                <w:szCs w:val="21"/>
              </w:rPr>
            </w:pPr>
            <w:r>
              <w:rPr>
                <w:rFonts w:hint="eastAsia" w:ascii="黑体" w:hAnsi="黑体" w:eastAsia="黑体" w:cs="黑体"/>
                <w:kern w:val="0"/>
                <w:szCs w:val="21"/>
              </w:rPr>
              <w:t>A10030503 轻质隔墙条板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8BEE023">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DA95DF5">
            <w:pPr>
              <w:widowControl/>
              <w:jc w:val="left"/>
              <w:rPr>
                <w:rFonts w:hint="eastAsia" w:ascii="黑体" w:hAnsi="黑体" w:eastAsia="黑体" w:cs="黑体"/>
                <w:kern w:val="0"/>
                <w:szCs w:val="21"/>
              </w:rPr>
            </w:pPr>
            <w:r>
              <w:rPr>
                <w:rFonts w:hint="eastAsia" w:ascii="黑体" w:hAnsi="黑体" w:eastAsia="黑体" w:cs="黑体"/>
                <w:kern w:val="0"/>
                <w:szCs w:val="21"/>
              </w:rPr>
              <w:t>HJ/T223 轻质墙体板材</w:t>
            </w:r>
          </w:p>
        </w:tc>
      </w:tr>
      <w:tr w14:paraId="0350F73A">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0A32332F">
            <w:pPr>
              <w:widowControl/>
              <w:jc w:val="left"/>
              <w:rPr>
                <w:rFonts w:hint="eastAsia" w:ascii="黑体" w:hAnsi="黑体" w:eastAsia="黑体" w:cs="黑体"/>
                <w:kern w:val="0"/>
                <w:szCs w:val="21"/>
              </w:rPr>
            </w:pPr>
            <w:r>
              <w:rPr>
                <w:rFonts w:hint="eastAsia" w:ascii="黑体" w:hAnsi="黑体" w:eastAsia="黑体" w:cs="黑体"/>
                <w:kern w:val="0"/>
                <w:szCs w:val="21"/>
              </w:rPr>
              <w:t xml:space="preserve">38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42E24E64">
            <w:pPr>
              <w:widowControl/>
              <w:jc w:val="left"/>
              <w:rPr>
                <w:rFonts w:hint="eastAsia" w:ascii="黑体" w:hAnsi="黑体" w:eastAsia="黑体" w:cs="黑体"/>
                <w:kern w:val="0"/>
                <w:szCs w:val="21"/>
              </w:rPr>
            </w:pPr>
            <w:r>
              <w:rPr>
                <w:rFonts w:hint="eastAsia" w:ascii="黑体" w:hAnsi="黑体" w:eastAsia="黑体" w:cs="黑体"/>
                <w:kern w:val="0"/>
                <w:szCs w:val="21"/>
              </w:rPr>
              <w:t>A100307 建筑 陶瓷制品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EE634A1">
            <w:pPr>
              <w:widowControl/>
              <w:jc w:val="left"/>
              <w:rPr>
                <w:rFonts w:hint="eastAsia" w:ascii="黑体" w:hAnsi="黑体" w:eastAsia="黑体" w:cs="黑体"/>
                <w:kern w:val="0"/>
                <w:szCs w:val="21"/>
              </w:rPr>
            </w:pPr>
            <w:r>
              <w:rPr>
                <w:rFonts w:hint="eastAsia" w:ascii="黑体" w:hAnsi="黑体" w:eastAsia="黑体" w:cs="黑体"/>
                <w:kern w:val="0"/>
                <w:szCs w:val="21"/>
              </w:rPr>
              <w:t>A10030701 瓷质砖</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07E10AD">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F52B75B">
            <w:pPr>
              <w:widowControl/>
              <w:jc w:val="left"/>
              <w:rPr>
                <w:rFonts w:hint="eastAsia" w:ascii="黑体" w:hAnsi="黑体" w:eastAsia="黑体" w:cs="黑体"/>
                <w:kern w:val="0"/>
                <w:szCs w:val="21"/>
              </w:rPr>
            </w:pPr>
            <w:r>
              <w:rPr>
                <w:rFonts w:hint="eastAsia" w:ascii="黑体" w:hAnsi="黑体" w:eastAsia="黑体" w:cs="黑体"/>
                <w:kern w:val="0"/>
                <w:szCs w:val="21"/>
              </w:rPr>
              <w:t>HJ/T297 陶瓷砖</w:t>
            </w:r>
          </w:p>
        </w:tc>
      </w:tr>
      <w:tr w14:paraId="7B6D8A90">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4292564">
            <w:pPr>
              <w:widowControl/>
              <w:jc w:val="left"/>
              <w:rPr>
                <w:rFonts w:hint="eastAsia" w:ascii="黑体" w:hAnsi="黑体" w:eastAsia="黑体" w:cs="黑体"/>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98C4572">
            <w:pPr>
              <w:widowControl/>
              <w:jc w:val="left"/>
              <w:rPr>
                <w:rFonts w:hint="eastAsia" w:ascii="黑体" w:hAnsi="黑体" w:eastAsia="黑体" w:cs="黑体"/>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5510846">
            <w:pPr>
              <w:widowControl/>
              <w:jc w:val="left"/>
              <w:rPr>
                <w:rFonts w:hint="eastAsia" w:ascii="黑体" w:hAnsi="黑体" w:eastAsia="黑体" w:cs="黑体"/>
                <w:kern w:val="0"/>
                <w:szCs w:val="21"/>
              </w:rPr>
            </w:pPr>
            <w:r>
              <w:rPr>
                <w:rFonts w:hint="eastAsia" w:ascii="黑体" w:hAnsi="黑体" w:eastAsia="黑体" w:cs="黑体"/>
                <w:kern w:val="0"/>
                <w:szCs w:val="21"/>
              </w:rPr>
              <w:t>A10030704 炻质砖</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0B72173">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C8AFF35">
            <w:pPr>
              <w:widowControl/>
              <w:jc w:val="left"/>
              <w:rPr>
                <w:rFonts w:hint="eastAsia" w:ascii="黑体" w:hAnsi="黑体" w:eastAsia="黑体" w:cs="黑体"/>
                <w:kern w:val="0"/>
                <w:szCs w:val="21"/>
              </w:rPr>
            </w:pPr>
            <w:r>
              <w:rPr>
                <w:rFonts w:hint="eastAsia" w:ascii="黑体" w:hAnsi="黑体" w:eastAsia="黑体" w:cs="黑体"/>
                <w:kern w:val="0"/>
                <w:szCs w:val="21"/>
              </w:rPr>
              <w:t>HJ/T297 陶瓷砖</w:t>
            </w:r>
          </w:p>
        </w:tc>
      </w:tr>
      <w:tr w14:paraId="77457D6D">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469AF53">
            <w:pPr>
              <w:widowControl/>
              <w:jc w:val="left"/>
              <w:rPr>
                <w:rFonts w:hint="eastAsia" w:ascii="黑体" w:hAnsi="黑体" w:eastAsia="黑体" w:cs="黑体"/>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577C41D">
            <w:pPr>
              <w:widowControl/>
              <w:jc w:val="left"/>
              <w:rPr>
                <w:rFonts w:hint="eastAsia" w:ascii="黑体" w:hAnsi="黑体" w:eastAsia="黑体" w:cs="黑体"/>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EAB78E1">
            <w:pPr>
              <w:widowControl/>
              <w:jc w:val="left"/>
              <w:rPr>
                <w:rFonts w:hint="eastAsia" w:ascii="黑体" w:hAnsi="黑体" w:eastAsia="黑体" w:cs="黑体"/>
                <w:kern w:val="0"/>
                <w:szCs w:val="21"/>
              </w:rPr>
            </w:pPr>
            <w:r>
              <w:rPr>
                <w:rFonts w:hint="eastAsia" w:ascii="黑体" w:hAnsi="黑体" w:eastAsia="黑体" w:cs="黑体"/>
                <w:kern w:val="0"/>
                <w:szCs w:val="21"/>
              </w:rPr>
              <w:t>A10030705 陶质砖</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349429A">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C8CF951">
            <w:pPr>
              <w:widowControl/>
              <w:jc w:val="left"/>
              <w:rPr>
                <w:rFonts w:hint="eastAsia" w:ascii="黑体" w:hAnsi="黑体" w:eastAsia="黑体" w:cs="黑体"/>
                <w:kern w:val="0"/>
                <w:szCs w:val="21"/>
              </w:rPr>
            </w:pPr>
            <w:r>
              <w:rPr>
                <w:rFonts w:hint="eastAsia" w:ascii="黑体" w:hAnsi="黑体" w:eastAsia="黑体" w:cs="黑体"/>
                <w:kern w:val="0"/>
                <w:szCs w:val="21"/>
              </w:rPr>
              <w:t>HJ/T297 陶瓷砖</w:t>
            </w:r>
          </w:p>
        </w:tc>
      </w:tr>
      <w:tr w14:paraId="757B1F44">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FE9B91B">
            <w:pPr>
              <w:widowControl/>
              <w:jc w:val="left"/>
              <w:rPr>
                <w:rFonts w:hint="eastAsia" w:ascii="黑体" w:hAnsi="黑体" w:eastAsia="黑体" w:cs="黑体"/>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46F1A0D">
            <w:pPr>
              <w:widowControl/>
              <w:jc w:val="left"/>
              <w:rPr>
                <w:rFonts w:hint="eastAsia" w:ascii="黑体" w:hAnsi="黑体" w:eastAsia="黑体" w:cs="黑体"/>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5472503">
            <w:pPr>
              <w:widowControl/>
              <w:jc w:val="left"/>
              <w:rPr>
                <w:rFonts w:hint="eastAsia" w:ascii="黑体" w:hAnsi="黑体" w:eastAsia="黑体" w:cs="黑体"/>
                <w:kern w:val="0"/>
                <w:szCs w:val="21"/>
              </w:rPr>
            </w:pPr>
            <w:r>
              <w:rPr>
                <w:rFonts w:hint="eastAsia" w:ascii="黑体" w:hAnsi="黑体" w:eastAsia="黑体" w:cs="黑体"/>
                <w:kern w:val="0"/>
                <w:szCs w:val="21"/>
              </w:rPr>
              <w:t>A10030799 其他建筑陶瓷制品</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563B817">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D99EF38">
            <w:pPr>
              <w:widowControl/>
              <w:jc w:val="left"/>
              <w:rPr>
                <w:rFonts w:hint="eastAsia" w:ascii="黑体" w:hAnsi="黑体" w:eastAsia="黑体" w:cs="黑体"/>
                <w:kern w:val="0"/>
                <w:szCs w:val="21"/>
              </w:rPr>
            </w:pPr>
            <w:r>
              <w:rPr>
                <w:rFonts w:hint="eastAsia" w:ascii="黑体" w:hAnsi="黑体" w:eastAsia="黑体" w:cs="黑体"/>
                <w:kern w:val="0"/>
                <w:szCs w:val="21"/>
              </w:rPr>
              <w:t>HJ/T297 陶瓷砖</w:t>
            </w:r>
          </w:p>
        </w:tc>
      </w:tr>
      <w:tr w14:paraId="74B7B19C">
        <w:tblPrEx>
          <w:tblCellMar>
            <w:top w:w="0" w:type="dxa"/>
            <w:left w:w="108" w:type="dxa"/>
            <w:bottom w:w="0" w:type="dxa"/>
            <w:right w:w="108" w:type="dxa"/>
          </w:tblCellMar>
        </w:tblPrEx>
        <w:trPr>
          <w:trHeight w:val="634"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0F6B7170">
            <w:pPr>
              <w:widowControl/>
              <w:jc w:val="left"/>
              <w:rPr>
                <w:rFonts w:hint="eastAsia" w:ascii="黑体" w:hAnsi="黑体" w:eastAsia="黑体" w:cs="黑体"/>
                <w:kern w:val="0"/>
                <w:szCs w:val="21"/>
              </w:rPr>
            </w:pPr>
            <w:r>
              <w:rPr>
                <w:rFonts w:hint="eastAsia" w:ascii="黑体" w:hAnsi="黑体" w:eastAsia="黑体" w:cs="黑体"/>
                <w:kern w:val="0"/>
                <w:szCs w:val="21"/>
              </w:rPr>
              <w:t xml:space="preserve">39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27EB815F">
            <w:pPr>
              <w:widowControl/>
              <w:jc w:val="left"/>
              <w:rPr>
                <w:rFonts w:hint="eastAsia" w:ascii="黑体" w:hAnsi="黑体" w:eastAsia="黑体" w:cs="黑体"/>
                <w:kern w:val="0"/>
                <w:szCs w:val="21"/>
                <w:lang w:val="pt-BR"/>
              </w:rPr>
            </w:pPr>
            <w:r>
              <w:rPr>
                <w:rFonts w:hint="eastAsia" w:ascii="黑体" w:hAnsi="黑体" w:eastAsia="黑体" w:cs="黑体"/>
                <w:kern w:val="0"/>
                <w:szCs w:val="21"/>
                <w:lang w:val="pt-BR"/>
              </w:rPr>
              <w:t xml:space="preserve">A100309 </w:t>
            </w:r>
            <w:r>
              <w:rPr>
                <w:rFonts w:hint="eastAsia" w:ascii="黑体" w:hAnsi="黑体" w:eastAsia="黑体" w:cs="黑体"/>
                <w:kern w:val="0"/>
                <w:szCs w:val="21"/>
              </w:rPr>
              <w:t>建筑</w:t>
            </w:r>
            <w:r>
              <w:rPr>
                <w:rFonts w:hint="eastAsia" w:ascii="黑体" w:hAnsi="黑体" w:eastAsia="黑体" w:cs="黑体"/>
                <w:kern w:val="0"/>
                <w:szCs w:val="21"/>
                <w:lang w:val="pt-BR"/>
              </w:rPr>
              <w:t xml:space="preserve"> </w:t>
            </w:r>
            <w:r>
              <w:rPr>
                <w:rFonts w:hint="eastAsia" w:ascii="黑体" w:hAnsi="黑体" w:eastAsia="黑体" w:cs="黑体"/>
                <w:kern w:val="0"/>
                <w:szCs w:val="21"/>
              </w:rPr>
              <w:t>防水卷材及制品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0CEEF62">
            <w:pPr>
              <w:widowControl/>
              <w:jc w:val="left"/>
              <w:rPr>
                <w:rFonts w:hint="eastAsia" w:ascii="黑体" w:hAnsi="黑体" w:eastAsia="黑体" w:cs="黑体"/>
                <w:kern w:val="0"/>
                <w:szCs w:val="21"/>
              </w:rPr>
            </w:pPr>
            <w:r>
              <w:rPr>
                <w:rFonts w:hint="eastAsia" w:ascii="黑体" w:hAnsi="黑体" w:eastAsia="黑体" w:cs="黑体"/>
                <w:kern w:val="0"/>
                <w:szCs w:val="21"/>
              </w:rPr>
              <w:t>A10030901 沥青和改性沥青防水卷材</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DC23C38">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F8D2455">
            <w:pPr>
              <w:widowControl/>
              <w:jc w:val="left"/>
              <w:rPr>
                <w:rFonts w:hint="eastAsia" w:ascii="黑体" w:hAnsi="黑体" w:eastAsia="黑体" w:cs="黑体"/>
                <w:kern w:val="0"/>
                <w:szCs w:val="21"/>
              </w:rPr>
            </w:pPr>
            <w:r>
              <w:rPr>
                <w:rFonts w:hint="eastAsia" w:ascii="黑体" w:hAnsi="黑体" w:eastAsia="黑体" w:cs="黑体"/>
                <w:kern w:val="0"/>
                <w:szCs w:val="21"/>
              </w:rPr>
              <w:t>HJ455 防水卷材</w:t>
            </w:r>
          </w:p>
        </w:tc>
      </w:tr>
      <w:tr w14:paraId="66C6F129">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6259A9E">
            <w:pPr>
              <w:widowControl/>
              <w:jc w:val="left"/>
              <w:rPr>
                <w:rFonts w:hint="eastAsia" w:ascii="黑体" w:hAnsi="黑体" w:eastAsia="黑体" w:cs="黑体"/>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BA97D6F">
            <w:pPr>
              <w:widowControl/>
              <w:jc w:val="left"/>
              <w:rPr>
                <w:rFonts w:hint="eastAsia" w:ascii="黑体" w:hAnsi="黑体" w:eastAsia="黑体" w:cs="黑体"/>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03DE398">
            <w:pPr>
              <w:widowControl/>
              <w:jc w:val="left"/>
              <w:rPr>
                <w:rFonts w:hint="eastAsia" w:ascii="黑体" w:hAnsi="黑体" w:eastAsia="黑体" w:cs="黑体"/>
                <w:kern w:val="0"/>
                <w:szCs w:val="21"/>
              </w:rPr>
            </w:pPr>
            <w:r>
              <w:rPr>
                <w:rFonts w:hint="eastAsia" w:ascii="黑体" w:hAnsi="黑体" w:eastAsia="黑体" w:cs="黑体"/>
                <w:kern w:val="0"/>
                <w:szCs w:val="21"/>
              </w:rPr>
              <w:t>A10030903 自粘防水卷材</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150F0A6">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92CCD26">
            <w:pPr>
              <w:widowControl/>
              <w:jc w:val="left"/>
              <w:rPr>
                <w:rFonts w:hint="eastAsia" w:ascii="黑体" w:hAnsi="黑体" w:eastAsia="黑体" w:cs="黑体"/>
                <w:kern w:val="0"/>
                <w:szCs w:val="21"/>
              </w:rPr>
            </w:pPr>
            <w:r>
              <w:rPr>
                <w:rFonts w:hint="eastAsia" w:ascii="黑体" w:hAnsi="黑体" w:eastAsia="黑体" w:cs="黑体"/>
                <w:kern w:val="0"/>
                <w:szCs w:val="21"/>
              </w:rPr>
              <w:t>HJ455 防水卷材</w:t>
            </w:r>
          </w:p>
        </w:tc>
      </w:tr>
      <w:tr w14:paraId="33AF16A8">
        <w:tblPrEx>
          <w:tblCellMar>
            <w:top w:w="0" w:type="dxa"/>
            <w:left w:w="108" w:type="dxa"/>
            <w:bottom w:w="0" w:type="dxa"/>
            <w:right w:w="108" w:type="dxa"/>
          </w:tblCellMar>
        </w:tblPrEx>
        <w:trPr>
          <w:trHeight w:val="634"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91EACBC">
            <w:pPr>
              <w:widowControl/>
              <w:jc w:val="left"/>
              <w:rPr>
                <w:rFonts w:hint="eastAsia" w:ascii="黑体" w:hAnsi="黑体" w:eastAsia="黑体" w:cs="黑体"/>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8D5B3F7">
            <w:pPr>
              <w:widowControl/>
              <w:jc w:val="left"/>
              <w:rPr>
                <w:rFonts w:hint="eastAsia" w:ascii="黑体" w:hAnsi="黑体" w:eastAsia="黑体" w:cs="黑体"/>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965D463">
            <w:pPr>
              <w:widowControl/>
              <w:jc w:val="left"/>
              <w:rPr>
                <w:rFonts w:hint="eastAsia" w:ascii="黑体" w:hAnsi="黑体" w:eastAsia="黑体" w:cs="黑体"/>
                <w:kern w:val="0"/>
                <w:szCs w:val="21"/>
                <w:lang w:val="pt-BR"/>
              </w:rPr>
            </w:pPr>
            <w:r>
              <w:rPr>
                <w:rFonts w:hint="eastAsia" w:ascii="黑体" w:hAnsi="黑体" w:eastAsia="黑体" w:cs="黑体"/>
                <w:kern w:val="0"/>
                <w:szCs w:val="21"/>
                <w:lang w:val="pt-BR"/>
              </w:rPr>
              <w:t xml:space="preserve">A10030906 </w:t>
            </w:r>
            <w:r>
              <w:rPr>
                <w:rFonts w:hint="eastAsia" w:ascii="黑体" w:hAnsi="黑体" w:eastAsia="黑体" w:cs="黑体"/>
                <w:kern w:val="0"/>
                <w:szCs w:val="21"/>
              </w:rPr>
              <w:t>高分子防水卷</w:t>
            </w:r>
            <w:r>
              <w:rPr>
                <w:rFonts w:hint="eastAsia" w:ascii="黑体" w:hAnsi="黑体" w:eastAsia="黑体" w:cs="黑体"/>
                <w:kern w:val="0"/>
                <w:szCs w:val="21"/>
                <w:lang w:val="pt-BR"/>
              </w:rPr>
              <w:t>（</w:t>
            </w:r>
            <w:r>
              <w:rPr>
                <w:rFonts w:hint="eastAsia" w:ascii="黑体" w:hAnsi="黑体" w:eastAsia="黑体" w:cs="黑体"/>
                <w:kern w:val="0"/>
                <w:szCs w:val="21"/>
              </w:rPr>
              <w:t>片</w:t>
            </w:r>
            <w:r>
              <w:rPr>
                <w:rFonts w:hint="eastAsia" w:ascii="黑体" w:hAnsi="黑体" w:eastAsia="黑体" w:cs="黑体"/>
                <w:kern w:val="0"/>
                <w:szCs w:val="21"/>
                <w:lang w:val="pt-BR"/>
              </w:rPr>
              <w:t>）</w:t>
            </w:r>
            <w:r>
              <w:rPr>
                <w:rFonts w:hint="eastAsia" w:ascii="黑体" w:hAnsi="黑体" w:eastAsia="黑体" w:cs="黑体"/>
                <w:kern w:val="0"/>
                <w:szCs w:val="21"/>
              </w:rPr>
              <w:t>材</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291A2A5">
            <w:pPr>
              <w:widowControl/>
              <w:jc w:val="left"/>
              <w:rPr>
                <w:rFonts w:hint="eastAsia" w:ascii="黑体" w:hAnsi="黑体" w:eastAsia="黑体" w:cs="黑体"/>
                <w:kern w:val="0"/>
                <w:szCs w:val="21"/>
                <w:lang w:val="pt-BR"/>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819751F">
            <w:pPr>
              <w:widowControl/>
              <w:jc w:val="left"/>
              <w:rPr>
                <w:rFonts w:hint="eastAsia" w:ascii="黑体" w:hAnsi="黑体" w:eastAsia="黑体" w:cs="黑体"/>
                <w:kern w:val="0"/>
                <w:szCs w:val="21"/>
              </w:rPr>
            </w:pPr>
            <w:r>
              <w:rPr>
                <w:rFonts w:hint="eastAsia" w:ascii="黑体" w:hAnsi="黑体" w:eastAsia="黑体" w:cs="黑体"/>
                <w:kern w:val="0"/>
                <w:szCs w:val="21"/>
              </w:rPr>
              <w:t>HJ455 防水卷材</w:t>
            </w:r>
          </w:p>
        </w:tc>
      </w:tr>
      <w:tr w14:paraId="64E71946">
        <w:tblPrEx>
          <w:tblCellMar>
            <w:top w:w="0" w:type="dxa"/>
            <w:left w:w="108" w:type="dxa"/>
            <w:bottom w:w="0" w:type="dxa"/>
            <w:right w:w="108" w:type="dxa"/>
          </w:tblCellMar>
        </w:tblPrEx>
        <w:trPr>
          <w:trHeight w:val="634"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5F04F030">
            <w:pPr>
              <w:widowControl/>
              <w:jc w:val="left"/>
              <w:rPr>
                <w:rFonts w:hint="eastAsia" w:ascii="黑体" w:hAnsi="黑体" w:eastAsia="黑体" w:cs="黑体"/>
                <w:kern w:val="0"/>
                <w:szCs w:val="21"/>
              </w:rPr>
            </w:pPr>
            <w:r>
              <w:rPr>
                <w:rFonts w:hint="eastAsia" w:ascii="黑体" w:hAnsi="黑体" w:eastAsia="黑体" w:cs="黑体"/>
                <w:kern w:val="0"/>
                <w:szCs w:val="21"/>
              </w:rPr>
              <w:t xml:space="preserve">40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5B7F5460">
            <w:pPr>
              <w:widowControl/>
              <w:jc w:val="left"/>
              <w:rPr>
                <w:rFonts w:hint="eastAsia" w:ascii="黑体" w:hAnsi="黑体" w:eastAsia="黑体" w:cs="黑体"/>
                <w:kern w:val="0"/>
                <w:szCs w:val="21"/>
              </w:rPr>
            </w:pPr>
            <w:r>
              <w:rPr>
                <w:rFonts w:hint="eastAsia" w:ascii="黑体" w:hAnsi="黑体" w:eastAsia="黑体" w:cs="黑体"/>
                <w:kern w:val="0"/>
                <w:szCs w:val="21"/>
              </w:rPr>
              <w:t>A100310 隔热、隔音人造矿物材料及其制品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ED4D924">
            <w:pPr>
              <w:widowControl/>
              <w:jc w:val="left"/>
              <w:rPr>
                <w:rFonts w:hint="eastAsia" w:ascii="黑体" w:hAnsi="黑体" w:eastAsia="黑体" w:cs="黑体"/>
                <w:kern w:val="0"/>
                <w:szCs w:val="21"/>
              </w:rPr>
            </w:pPr>
            <w:r>
              <w:rPr>
                <w:rFonts w:hint="eastAsia" w:ascii="黑体" w:hAnsi="黑体" w:eastAsia="黑体" w:cs="黑体"/>
                <w:kern w:val="0"/>
                <w:szCs w:val="21"/>
              </w:rPr>
              <w:t>A10031001 矿物绝热和吸声材料</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69B13FF">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65ACFEB">
            <w:pPr>
              <w:widowControl/>
              <w:jc w:val="left"/>
              <w:rPr>
                <w:rFonts w:hint="eastAsia" w:ascii="黑体" w:hAnsi="黑体" w:eastAsia="黑体" w:cs="黑体"/>
                <w:kern w:val="0"/>
                <w:szCs w:val="21"/>
              </w:rPr>
            </w:pPr>
            <w:r>
              <w:rPr>
                <w:rFonts w:hint="eastAsia" w:ascii="黑体" w:hAnsi="黑体" w:eastAsia="黑体" w:cs="黑体"/>
                <w:kern w:val="0"/>
                <w:szCs w:val="21"/>
              </w:rPr>
              <w:t>HJ/T223 轻质墙体板材</w:t>
            </w:r>
          </w:p>
        </w:tc>
      </w:tr>
      <w:tr w14:paraId="56B6E2E8">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0C18765">
            <w:pPr>
              <w:widowControl/>
              <w:jc w:val="left"/>
              <w:rPr>
                <w:rFonts w:hint="eastAsia" w:ascii="黑体" w:hAnsi="黑体" w:eastAsia="黑体" w:cs="黑体"/>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B73F5EC">
            <w:pPr>
              <w:widowControl/>
              <w:jc w:val="left"/>
              <w:rPr>
                <w:rFonts w:hint="eastAsia" w:ascii="黑体" w:hAnsi="黑体" w:eastAsia="黑体" w:cs="黑体"/>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AAE3C78">
            <w:pPr>
              <w:widowControl/>
              <w:jc w:val="left"/>
              <w:rPr>
                <w:rFonts w:hint="eastAsia" w:ascii="黑体" w:hAnsi="黑体" w:eastAsia="黑体" w:cs="黑体"/>
                <w:kern w:val="0"/>
                <w:szCs w:val="21"/>
              </w:rPr>
            </w:pPr>
            <w:r>
              <w:rPr>
                <w:rFonts w:hint="eastAsia" w:ascii="黑体" w:hAnsi="黑体" w:eastAsia="黑体" w:cs="黑体"/>
                <w:kern w:val="0"/>
                <w:szCs w:val="21"/>
              </w:rPr>
              <w:t>A10031002 矿物材料制品</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952AA6C">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360E17B">
            <w:pPr>
              <w:widowControl/>
              <w:jc w:val="left"/>
              <w:rPr>
                <w:rFonts w:hint="eastAsia" w:ascii="黑体" w:hAnsi="黑体" w:eastAsia="黑体" w:cs="黑体"/>
                <w:kern w:val="0"/>
                <w:szCs w:val="21"/>
              </w:rPr>
            </w:pPr>
            <w:r>
              <w:rPr>
                <w:rFonts w:hint="eastAsia" w:ascii="黑体" w:hAnsi="黑体" w:eastAsia="黑体" w:cs="黑体"/>
                <w:kern w:val="0"/>
                <w:szCs w:val="21"/>
              </w:rPr>
              <w:t>HJ/T223 轻质墙体板材</w:t>
            </w:r>
          </w:p>
        </w:tc>
      </w:tr>
      <w:tr w14:paraId="5F5AAAF9">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412BB31A">
            <w:pPr>
              <w:widowControl/>
              <w:jc w:val="left"/>
              <w:rPr>
                <w:rFonts w:hint="eastAsia" w:ascii="黑体" w:hAnsi="黑体" w:eastAsia="黑体" w:cs="黑体"/>
                <w:kern w:val="0"/>
                <w:szCs w:val="21"/>
              </w:rPr>
            </w:pPr>
            <w:r>
              <w:rPr>
                <w:rFonts w:hint="eastAsia" w:ascii="黑体" w:hAnsi="黑体" w:eastAsia="黑体" w:cs="黑体"/>
                <w:kern w:val="0"/>
                <w:szCs w:val="21"/>
              </w:rPr>
              <w:t xml:space="preserve">41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4482B799">
            <w:pPr>
              <w:widowControl/>
              <w:jc w:val="left"/>
              <w:rPr>
                <w:rFonts w:hint="eastAsia" w:ascii="黑体" w:hAnsi="黑体" w:eastAsia="黑体" w:cs="黑体"/>
                <w:kern w:val="0"/>
                <w:szCs w:val="21"/>
              </w:rPr>
            </w:pPr>
            <w:r>
              <w:rPr>
                <w:rFonts w:hint="eastAsia" w:ascii="黑体" w:hAnsi="黑体" w:eastAsia="黑体" w:cs="黑体"/>
                <w:kern w:val="0"/>
                <w:szCs w:val="21"/>
              </w:rPr>
              <w:t>A100601 功能性建筑涂料</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5CA498A">
            <w:pPr>
              <w:widowControl/>
              <w:jc w:val="left"/>
              <w:rPr>
                <w:rFonts w:hint="eastAsia" w:ascii="黑体" w:hAnsi="黑体" w:eastAsia="黑体" w:cs="黑体"/>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C740E9F">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B61BB49">
            <w:pPr>
              <w:widowControl/>
              <w:jc w:val="left"/>
              <w:rPr>
                <w:rFonts w:hint="eastAsia" w:ascii="黑体" w:hAnsi="黑体" w:eastAsia="黑体" w:cs="黑体"/>
                <w:kern w:val="0"/>
                <w:szCs w:val="21"/>
              </w:rPr>
            </w:pPr>
            <w:r>
              <w:rPr>
                <w:rFonts w:hint="eastAsia" w:ascii="黑体" w:hAnsi="黑体" w:eastAsia="黑体" w:cs="黑体"/>
                <w:kern w:val="0"/>
                <w:szCs w:val="21"/>
              </w:rPr>
              <w:t>HJ2537 水性涂料</w:t>
            </w:r>
          </w:p>
        </w:tc>
      </w:tr>
      <w:tr w14:paraId="7F85C4B8">
        <w:tblPrEx>
          <w:tblCellMar>
            <w:top w:w="0" w:type="dxa"/>
            <w:left w:w="108" w:type="dxa"/>
            <w:bottom w:w="0" w:type="dxa"/>
            <w:right w:w="108" w:type="dxa"/>
          </w:tblCellMar>
        </w:tblPrEx>
        <w:trPr>
          <w:trHeight w:val="638"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345DE8ED">
            <w:pPr>
              <w:widowControl/>
              <w:jc w:val="left"/>
              <w:rPr>
                <w:rFonts w:hint="eastAsia" w:ascii="黑体" w:hAnsi="黑体" w:eastAsia="黑体" w:cs="黑体"/>
                <w:kern w:val="0"/>
                <w:szCs w:val="21"/>
              </w:rPr>
            </w:pPr>
            <w:r>
              <w:rPr>
                <w:rFonts w:hint="eastAsia" w:ascii="黑体" w:hAnsi="黑体" w:eastAsia="黑体" w:cs="黑体"/>
                <w:kern w:val="0"/>
                <w:szCs w:val="21"/>
              </w:rPr>
              <w:t xml:space="preserve">42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11BD971B">
            <w:pPr>
              <w:widowControl/>
              <w:jc w:val="left"/>
              <w:rPr>
                <w:rFonts w:hint="eastAsia" w:ascii="黑体" w:hAnsi="黑体" w:eastAsia="黑体" w:cs="黑体"/>
                <w:kern w:val="0"/>
                <w:szCs w:val="21"/>
              </w:rPr>
            </w:pPr>
            <w:r>
              <w:rPr>
                <w:rFonts w:hint="eastAsia" w:ascii="黑体" w:hAnsi="黑体" w:eastAsia="黑体" w:cs="黑体"/>
                <w:kern w:val="0"/>
                <w:szCs w:val="21"/>
              </w:rPr>
              <w:t>A100399 其他非金属矿物制品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15A9378">
            <w:pPr>
              <w:widowControl/>
              <w:jc w:val="left"/>
              <w:rPr>
                <w:rFonts w:hint="eastAsia" w:ascii="黑体" w:hAnsi="黑体" w:eastAsia="黑体" w:cs="黑体"/>
                <w:kern w:val="0"/>
                <w:szCs w:val="21"/>
              </w:rPr>
            </w:pPr>
            <w:r>
              <w:rPr>
                <w:rFonts w:hint="eastAsia" w:ascii="黑体" w:hAnsi="黑体" w:eastAsia="黑体" w:cs="黑体"/>
                <w:kern w:val="0"/>
                <w:szCs w:val="21"/>
              </w:rPr>
              <w:t>A10039901 其他非金属建筑材料</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AD81FF5">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04EF124">
            <w:pPr>
              <w:widowControl/>
              <w:jc w:val="left"/>
              <w:rPr>
                <w:rFonts w:hint="eastAsia" w:ascii="黑体" w:hAnsi="黑体" w:eastAsia="黑体" w:cs="黑体"/>
                <w:kern w:val="0"/>
                <w:szCs w:val="21"/>
              </w:rPr>
            </w:pPr>
            <w:r>
              <w:rPr>
                <w:rFonts w:hint="eastAsia" w:ascii="黑体" w:hAnsi="黑体" w:eastAsia="黑体" w:cs="黑体"/>
                <w:kern w:val="0"/>
                <w:szCs w:val="21"/>
              </w:rPr>
              <w:t>HJ456 刚性防水材料</w:t>
            </w:r>
          </w:p>
        </w:tc>
      </w:tr>
      <w:tr w14:paraId="7023821A">
        <w:tblPrEx>
          <w:tblCellMar>
            <w:top w:w="0" w:type="dxa"/>
            <w:left w:w="108" w:type="dxa"/>
            <w:bottom w:w="0" w:type="dxa"/>
            <w:right w:w="108" w:type="dxa"/>
          </w:tblCellMar>
        </w:tblPrEx>
        <w:trPr>
          <w:trHeight w:val="638"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49D8D475">
            <w:pPr>
              <w:widowControl/>
              <w:jc w:val="left"/>
              <w:rPr>
                <w:rFonts w:hint="eastAsia" w:ascii="黑体" w:hAnsi="黑体" w:eastAsia="黑体" w:cs="黑体"/>
                <w:kern w:val="0"/>
                <w:szCs w:val="21"/>
              </w:rPr>
            </w:pPr>
            <w:r>
              <w:rPr>
                <w:rFonts w:hint="eastAsia" w:ascii="黑体" w:hAnsi="黑体" w:eastAsia="黑体" w:cs="黑体"/>
                <w:kern w:val="0"/>
                <w:szCs w:val="21"/>
              </w:rPr>
              <w:t xml:space="preserve">43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1E5B7209">
            <w:pPr>
              <w:widowControl/>
              <w:jc w:val="left"/>
              <w:rPr>
                <w:rFonts w:hint="eastAsia" w:ascii="黑体" w:hAnsi="黑体" w:eastAsia="黑体" w:cs="黑体"/>
                <w:kern w:val="0"/>
                <w:szCs w:val="21"/>
              </w:rPr>
            </w:pPr>
            <w:r>
              <w:rPr>
                <w:rFonts w:hint="eastAsia" w:ascii="黑体" w:hAnsi="黑体" w:eastAsia="黑体" w:cs="黑体"/>
                <w:kern w:val="0"/>
                <w:szCs w:val="21"/>
              </w:rPr>
              <w:t>A100602 墙面涂料</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5327B77">
            <w:pPr>
              <w:widowControl/>
              <w:jc w:val="left"/>
              <w:rPr>
                <w:rFonts w:hint="eastAsia" w:ascii="黑体" w:hAnsi="黑体" w:eastAsia="黑体" w:cs="黑体"/>
                <w:kern w:val="0"/>
                <w:szCs w:val="21"/>
              </w:rPr>
            </w:pPr>
            <w:r>
              <w:rPr>
                <w:rFonts w:hint="eastAsia" w:ascii="黑体" w:hAnsi="黑体" w:eastAsia="黑体" w:cs="黑体"/>
                <w:kern w:val="0"/>
                <w:szCs w:val="21"/>
              </w:rPr>
              <w:t>A10060202 合成树脂乳液内墙涂料</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CB766E9">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2F3DAF3">
            <w:pPr>
              <w:widowControl/>
              <w:jc w:val="left"/>
              <w:rPr>
                <w:rFonts w:hint="eastAsia" w:ascii="黑体" w:hAnsi="黑体" w:eastAsia="黑体" w:cs="黑体"/>
                <w:kern w:val="0"/>
                <w:szCs w:val="21"/>
              </w:rPr>
            </w:pPr>
            <w:r>
              <w:rPr>
                <w:rFonts w:hint="eastAsia" w:ascii="黑体" w:hAnsi="黑体" w:eastAsia="黑体" w:cs="黑体"/>
                <w:kern w:val="0"/>
                <w:szCs w:val="21"/>
              </w:rPr>
              <w:t>HJ2537 水性涂料</w:t>
            </w:r>
          </w:p>
        </w:tc>
      </w:tr>
      <w:tr w14:paraId="2F11B8A1">
        <w:tblPrEx>
          <w:tblCellMar>
            <w:top w:w="0" w:type="dxa"/>
            <w:left w:w="108" w:type="dxa"/>
            <w:bottom w:w="0" w:type="dxa"/>
            <w:right w:w="108" w:type="dxa"/>
          </w:tblCellMar>
        </w:tblPrEx>
        <w:trPr>
          <w:trHeight w:val="634"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D4319E1">
            <w:pPr>
              <w:widowControl/>
              <w:jc w:val="left"/>
              <w:rPr>
                <w:rFonts w:hint="eastAsia" w:ascii="黑体" w:hAnsi="黑体" w:eastAsia="黑体" w:cs="黑体"/>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2449F16">
            <w:pPr>
              <w:widowControl/>
              <w:jc w:val="left"/>
              <w:rPr>
                <w:rFonts w:hint="eastAsia" w:ascii="黑体" w:hAnsi="黑体" w:eastAsia="黑体" w:cs="黑体"/>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0D97DA60">
            <w:pPr>
              <w:widowControl/>
              <w:jc w:val="left"/>
              <w:rPr>
                <w:rFonts w:hint="eastAsia" w:ascii="黑体" w:hAnsi="黑体" w:eastAsia="黑体" w:cs="黑体"/>
                <w:kern w:val="0"/>
                <w:szCs w:val="21"/>
              </w:rPr>
            </w:pPr>
            <w:r>
              <w:rPr>
                <w:rFonts w:hint="eastAsia" w:ascii="黑体" w:hAnsi="黑体" w:eastAsia="黑体" w:cs="黑体"/>
                <w:kern w:val="0"/>
                <w:szCs w:val="21"/>
              </w:rPr>
              <w:t>A10060203 合成树脂乳液外墙涂料</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5A13E03">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5D4C836">
            <w:pPr>
              <w:widowControl/>
              <w:jc w:val="left"/>
              <w:rPr>
                <w:rFonts w:hint="eastAsia" w:ascii="黑体" w:hAnsi="黑体" w:eastAsia="黑体" w:cs="黑体"/>
                <w:kern w:val="0"/>
                <w:szCs w:val="21"/>
              </w:rPr>
            </w:pPr>
            <w:r>
              <w:rPr>
                <w:rFonts w:hint="eastAsia" w:ascii="黑体" w:hAnsi="黑体" w:eastAsia="黑体" w:cs="黑体"/>
                <w:kern w:val="0"/>
                <w:szCs w:val="21"/>
              </w:rPr>
              <w:t>HJ2537 水性涂料</w:t>
            </w:r>
          </w:p>
        </w:tc>
      </w:tr>
      <w:tr w14:paraId="08BB54EE">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5E4B960">
            <w:pPr>
              <w:widowControl/>
              <w:jc w:val="left"/>
              <w:rPr>
                <w:rFonts w:hint="eastAsia" w:ascii="黑体" w:hAnsi="黑体" w:eastAsia="黑体" w:cs="黑体"/>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2A87D41">
            <w:pPr>
              <w:widowControl/>
              <w:jc w:val="left"/>
              <w:rPr>
                <w:rFonts w:hint="eastAsia" w:ascii="黑体" w:hAnsi="黑体" w:eastAsia="黑体" w:cs="黑体"/>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4D9F73C">
            <w:pPr>
              <w:widowControl/>
              <w:jc w:val="left"/>
              <w:rPr>
                <w:rFonts w:hint="eastAsia" w:ascii="黑体" w:hAnsi="黑体" w:eastAsia="黑体" w:cs="黑体"/>
                <w:kern w:val="0"/>
                <w:szCs w:val="21"/>
              </w:rPr>
            </w:pPr>
            <w:r>
              <w:rPr>
                <w:rFonts w:hint="eastAsia" w:ascii="黑体" w:hAnsi="黑体" w:eastAsia="黑体" w:cs="黑体"/>
                <w:kern w:val="0"/>
                <w:szCs w:val="21"/>
              </w:rPr>
              <w:t>A10060299 其他墙面涂料</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8EEA3B8">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60BAB67">
            <w:pPr>
              <w:widowControl/>
              <w:jc w:val="left"/>
              <w:rPr>
                <w:rFonts w:hint="eastAsia" w:ascii="黑体" w:hAnsi="黑体" w:eastAsia="黑体" w:cs="黑体"/>
                <w:kern w:val="0"/>
                <w:szCs w:val="21"/>
              </w:rPr>
            </w:pPr>
            <w:r>
              <w:rPr>
                <w:rFonts w:hint="eastAsia" w:ascii="黑体" w:hAnsi="黑体" w:eastAsia="黑体" w:cs="黑体"/>
                <w:kern w:val="0"/>
                <w:szCs w:val="21"/>
              </w:rPr>
              <w:t>HJ2537 水性涂料</w:t>
            </w:r>
          </w:p>
        </w:tc>
      </w:tr>
      <w:tr w14:paraId="5EC3029F">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15B5DF04">
            <w:pPr>
              <w:widowControl/>
              <w:jc w:val="left"/>
              <w:rPr>
                <w:rFonts w:hint="eastAsia" w:ascii="黑体" w:hAnsi="黑体" w:eastAsia="黑体" w:cs="黑体"/>
                <w:kern w:val="0"/>
                <w:szCs w:val="21"/>
              </w:rPr>
            </w:pPr>
            <w:r>
              <w:rPr>
                <w:rFonts w:hint="eastAsia" w:ascii="黑体" w:hAnsi="黑体" w:eastAsia="黑体" w:cs="黑体"/>
                <w:kern w:val="0"/>
                <w:szCs w:val="21"/>
              </w:rPr>
              <w:t xml:space="preserve">44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7D396AE6">
            <w:pPr>
              <w:widowControl/>
              <w:jc w:val="left"/>
              <w:rPr>
                <w:rFonts w:hint="eastAsia" w:ascii="黑体" w:hAnsi="黑体" w:eastAsia="黑体" w:cs="黑体"/>
                <w:kern w:val="0"/>
                <w:szCs w:val="21"/>
              </w:rPr>
            </w:pPr>
            <w:r>
              <w:rPr>
                <w:rFonts w:hint="eastAsia" w:ascii="黑体" w:hAnsi="黑体" w:eastAsia="黑体" w:cs="黑体"/>
                <w:kern w:val="0"/>
                <w:szCs w:val="21"/>
              </w:rPr>
              <w:t>A100604 防水涂料</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EC70094">
            <w:pPr>
              <w:widowControl/>
              <w:jc w:val="left"/>
              <w:rPr>
                <w:rFonts w:hint="eastAsia" w:ascii="黑体" w:hAnsi="黑体" w:eastAsia="黑体" w:cs="黑体"/>
                <w:kern w:val="0"/>
                <w:szCs w:val="21"/>
              </w:rPr>
            </w:pPr>
            <w:r>
              <w:rPr>
                <w:rFonts w:hint="eastAsia" w:ascii="黑体" w:hAnsi="黑体" w:eastAsia="黑体" w:cs="黑体"/>
                <w:kern w:val="0"/>
                <w:szCs w:val="21"/>
              </w:rPr>
              <w:t>A10060499 其他防水涂料</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36DED87">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B3E43FD">
            <w:pPr>
              <w:widowControl/>
              <w:jc w:val="left"/>
              <w:rPr>
                <w:rFonts w:hint="eastAsia" w:ascii="黑体" w:hAnsi="黑体" w:eastAsia="黑体" w:cs="黑体"/>
                <w:kern w:val="0"/>
                <w:szCs w:val="21"/>
              </w:rPr>
            </w:pPr>
            <w:r>
              <w:rPr>
                <w:rFonts w:hint="eastAsia" w:ascii="黑体" w:hAnsi="黑体" w:eastAsia="黑体" w:cs="黑体"/>
                <w:kern w:val="0"/>
                <w:szCs w:val="21"/>
              </w:rPr>
              <w:t>HJ2537 水性涂料</w:t>
            </w:r>
          </w:p>
        </w:tc>
      </w:tr>
      <w:tr w14:paraId="0B8F5A78">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7A487310">
            <w:pPr>
              <w:widowControl/>
              <w:jc w:val="left"/>
              <w:rPr>
                <w:rFonts w:hint="eastAsia" w:ascii="黑体" w:hAnsi="黑体" w:eastAsia="黑体" w:cs="黑体"/>
                <w:kern w:val="0"/>
                <w:szCs w:val="21"/>
              </w:rPr>
            </w:pPr>
            <w:r>
              <w:rPr>
                <w:rFonts w:hint="eastAsia" w:ascii="黑体" w:hAnsi="黑体" w:eastAsia="黑体" w:cs="黑体"/>
                <w:kern w:val="0"/>
                <w:szCs w:val="21"/>
              </w:rPr>
              <w:t xml:space="preserve">45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48731CD5">
            <w:pPr>
              <w:widowControl/>
              <w:jc w:val="left"/>
              <w:rPr>
                <w:rFonts w:hint="eastAsia" w:ascii="黑体" w:hAnsi="黑体" w:eastAsia="黑体" w:cs="黑体"/>
                <w:kern w:val="0"/>
                <w:szCs w:val="21"/>
              </w:rPr>
            </w:pPr>
            <w:r>
              <w:rPr>
                <w:rFonts w:hint="eastAsia" w:ascii="黑体" w:hAnsi="黑体" w:eastAsia="黑体" w:cs="黑体"/>
                <w:kern w:val="0"/>
                <w:szCs w:val="21"/>
              </w:rPr>
              <w:t>A100699 其他建筑涂料</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0325E023">
            <w:pPr>
              <w:widowControl/>
              <w:jc w:val="left"/>
              <w:rPr>
                <w:rFonts w:hint="eastAsia" w:ascii="黑体" w:hAnsi="黑体" w:eastAsia="黑体" w:cs="黑体"/>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F146080">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BC6FAC6">
            <w:pPr>
              <w:widowControl/>
              <w:jc w:val="left"/>
              <w:rPr>
                <w:rFonts w:hint="eastAsia" w:ascii="黑体" w:hAnsi="黑体" w:eastAsia="黑体" w:cs="黑体"/>
                <w:kern w:val="0"/>
                <w:szCs w:val="21"/>
              </w:rPr>
            </w:pPr>
            <w:r>
              <w:rPr>
                <w:rFonts w:hint="eastAsia" w:ascii="黑体" w:hAnsi="黑体" w:eastAsia="黑体" w:cs="黑体"/>
                <w:kern w:val="0"/>
                <w:szCs w:val="21"/>
              </w:rPr>
              <w:t>HJ2537 水性涂料</w:t>
            </w:r>
          </w:p>
        </w:tc>
      </w:tr>
      <w:tr w14:paraId="2866B032">
        <w:tblPrEx>
          <w:tblCellMar>
            <w:top w:w="0" w:type="dxa"/>
            <w:left w:w="108" w:type="dxa"/>
            <w:bottom w:w="0" w:type="dxa"/>
            <w:right w:w="108" w:type="dxa"/>
          </w:tblCellMar>
        </w:tblPrEx>
        <w:trPr>
          <w:trHeight w:val="451"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158E6D96">
            <w:pPr>
              <w:widowControl/>
              <w:jc w:val="left"/>
              <w:rPr>
                <w:rFonts w:hint="eastAsia" w:ascii="黑体" w:hAnsi="黑体" w:eastAsia="黑体" w:cs="黑体"/>
                <w:kern w:val="0"/>
                <w:szCs w:val="21"/>
              </w:rPr>
            </w:pPr>
            <w:r>
              <w:rPr>
                <w:rFonts w:hint="eastAsia" w:ascii="黑体" w:hAnsi="黑体" w:eastAsia="黑体" w:cs="黑体"/>
                <w:kern w:val="0"/>
                <w:szCs w:val="21"/>
              </w:rPr>
              <w:t xml:space="preserve">46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140ECB9E">
            <w:pPr>
              <w:widowControl/>
              <w:jc w:val="left"/>
              <w:rPr>
                <w:rFonts w:hint="eastAsia" w:ascii="黑体" w:hAnsi="黑体" w:eastAsia="黑体" w:cs="黑体"/>
                <w:kern w:val="0"/>
                <w:szCs w:val="21"/>
              </w:rPr>
            </w:pPr>
            <w:r>
              <w:rPr>
                <w:rFonts w:hint="eastAsia" w:ascii="黑体" w:hAnsi="黑体" w:eastAsia="黑体" w:cs="黑体"/>
                <w:kern w:val="0"/>
                <w:szCs w:val="21"/>
              </w:rPr>
              <w:t>A100701 门、门槛</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6A621C0">
            <w:pPr>
              <w:widowControl/>
              <w:jc w:val="left"/>
              <w:rPr>
                <w:rFonts w:hint="eastAsia" w:ascii="黑体" w:hAnsi="黑体" w:eastAsia="黑体" w:cs="黑体"/>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E6982CF">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0CC4B04">
            <w:pPr>
              <w:widowControl/>
              <w:jc w:val="left"/>
              <w:rPr>
                <w:rFonts w:hint="eastAsia" w:ascii="黑体" w:hAnsi="黑体" w:eastAsia="黑体" w:cs="黑体"/>
                <w:kern w:val="0"/>
                <w:szCs w:val="21"/>
              </w:rPr>
            </w:pPr>
            <w:r>
              <w:rPr>
                <w:rFonts w:hint="eastAsia" w:ascii="黑体" w:hAnsi="黑体" w:eastAsia="黑体" w:cs="黑体"/>
                <w:kern w:val="0"/>
                <w:szCs w:val="21"/>
              </w:rPr>
              <w:t>HJ/T 237 塑料门窗/HJ459 木质门和钢质门</w:t>
            </w:r>
          </w:p>
        </w:tc>
      </w:tr>
      <w:tr w14:paraId="7D6C3D1D">
        <w:tblPrEx>
          <w:tblCellMar>
            <w:top w:w="0" w:type="dxa"/>
            <w:left w:w="108" w:type="dxa"/>
            <w:bottom w:w="0" w:type="dxa"/>
            <w:right w:w="108" w:type="dxa"/>
          </w:tblCellMar>
        </w:tblPrEx>
        <w:trPr>
          <w:trHeight w:val="410"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6823C8B">
            <w:pPr>
              <w:widowControl/>
              <w:jc w:val="left"/>
              <w:rPr>
                <w:rFonts w:hint="eastAsia" w:ascii="黑体" w:hAnsi="黑体" w:eastAsia="黑体" w:cs="黑体"/>
                <w:kern w:val="0"/>
                <w:szCs w:val="21"/>
              </w:rPr>
            </w:pPr>
            <w:r>
              <w:rPr>
                <w:rFonts w:hint="eastAsia" w:ascii="黑体" w:hAnsi="黑体" w:eastAsia="黑体" w:cs="黑体"/>
                <w:kern w:val="0"/>
                <w:szCs w:val="21"/>
              </w:rPr>
              <w:t xml:space="preserve">47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4D5953D2">
            <w:pPr>
              <w:widowControl/>
              <w:jc w:val="left"/>
              <w:rPr>
                <w:rFonts w:hint="eastAsia" w:ascii="黑体" w:hAnsi="黑体" w:eastAsia="黑体" w:cs="黑体"/>
                <w:kern w:val="0"/>
                <w:szCs w:val="21"/>
              </w:rPr>
            </w:pPr>
            <w:r>
              <w:rPr>
                <w:rFonts w:hint="eastAsia" w:ascii="黑体" w:hAnsi="黑体" w:eastAsia="黑体" w:cs="黑体"/>
                <w:kern w:val="0"/>
                <w:szCs w:val="21"/>
              </w:rPr>
              <w:t>A100702 窗</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6F18962">
            <w:pPr>
              <w:widowControl/>
              <w:jc w:val="left"/>
              <w:rPr>
                <w:rFonts w:hint="eastAsia" w:ascii="黑体" w:hAnsi="黑体" w:eastAsia="黑体" w:cs="黑体"/>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B307C99">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E28C721">
            <w:pPr>
              <w:widowControl/>
              <w:jc w:val="left"/>
              <w:rPr>
                <w:rFonts w:hint="eastAsia" w:ascii="黑体" w:hAnsi="黑体" w:eastAsia="黑体" w:cs="黑体"/>
                <w:kern w:val="0"/>
                <w:szCs w:val="21"/>
              </w:rPr>
            </w:pPr>
            <w:r>
              <w:rPr>
                <w:rFonts w:hint="eastAsia" w:ascii="黑体" w:hAnsi="黑体" w:eastAsia="黑体" w:cs="黑体"/>
                <w:kern w:val="0"/>
                <w:szCs w:val="21"/>
              </w:rPr>
              <w:t>HJ/T237 塑料门窗</w:t>
            </w:r>
          </w:p>
        </w:tc>
      </w:tr>
      <w:tr w14:paraId="4FED4EEE">
        <w:tblPrEx>
          <w:tblCellMar>
            <w:top w:w="0" w:type="dxa"/>
            <w:left w:w="108" w:type="dxa"/>
            <w:bottom w:w="0" w:type="dxa"/>
            <w:right w:w="108" w:type="dxa"/>
          </w:tblCellMar>
        </w:tblPrEx>
        <w:trPr>
          <w:trHeight w:val="636"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3C7172C1">
            <w:pPr>
              <w:widowControl/>
              <w:jc w:val="left"/>
              <w:rPr>
                <w:rFonts w:hint="eastAsia" w:ascii="黑体" w:hAnsi="黑体" w:eastAsia="黑体" w:cs="黑体"/>
                <w:kern w:val="0"/>
                <w:szCs w:val="21"/>
              </w:rPr>
            </w:pPr>
            <w:r>
              <w:rPr>
                <w:rFonts w:hint="eastAsia" w:ascii="黑体" w:hAnsi="黑体" w:eastAsia="黑体" w:cs="黑体"/>
                <w:kern w:val="0"/>
                <w:szCs w:val="21"/>
              </w:rPr>
              <w:t xml:space="preserve">48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674C1B45">
            <w:pPr>
              <w:widowControl/>
              <w:jc w:val="left"/>
              <w:rPr>
                <w:rFonts w:hint="eastAsia" w:ascii="黑体" w:hAnsi="黑体" w:eastAsia="黑体" w:cs="黑体"/>
                <w:kern w:val="0"/>
                <w:szCs w:val="21"/>
                <w:lang w:val="pt-BR"/>
              </w:rPr>
            </w:pPr>
            <w:r>
              <w:rPr>
                <w:rFonts w:hint="eastAsia" w:ascii="黑体" w:hAnsi="黑体" w:eastAsia="黑体" w:cs="黑体"/>
                <w:kern w:val="0"/>
                <w:szCs w:val="21"/>
                <w:lang w:val="pt-BR"/>
              </w:rPr>
              <w:t xml:space="preserve">A170108 </w:t>
            </w:r>
            <w:r>
              <w:rPr>
                <w:rFonts w:hint="eastAsia" w:ascii="黑体" w:hAnsi="黑体" w:eastAsia="黑体" w:cs="黑体"/>
                <w:kern w:val="0"/>
                <w:szCs w:val="21"/>
              </w:rPr>
              <w:t>涂料</w:t>
            </w:r>
            <w:r>
              <w:rPr>
                <w:rFonts w:hint="eastAsia" w:ascii="黑体" w:hAnsi="黑体" w:eastAsia="黑体" w:cs="黑体"/>
                <w:kern w:val="0"/>
                <w:szCs w:val="21"/>
                <w:lang w:val="pt-BR"/>
              </w:rPr>
              <w:t>（</w:t>
            </w:r>
            <w:r>
              <w:rPr>
                <w:rFonts w:hint="eastAsia" w:ascii="黑体" w:hAnsi="黑体" w:eastAsia="黑体" w:cs="黑体"/>
                <w:kern w:val="0"/>
                <w:szCs w:val="21"/>
              </w:rPr>
              <w:t>建筑涂料除外</w:t>
            </w:r>
            <w:r>
              <w:rPr>
                <w:rFonts w:hint="eastAsia" w:ascii="黑体" w:hAnsi="黑体" w:eastAsia="黑体" w:cs="黑体"/>
                <w:kern w:val="0"/>
                <w:szCs w:val="21"/>
                <w:lang w:val="pt-BR"/>
              </w:rPr>
              <w:t>）</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DBF1901">
            <w:pPr>
              <w:widowControl/>
              <w:jc w:val="left"/>
              <w:rPr>
                <w:rFonts w:hint="eastAsia" w:ascii="黑体" w:hAnsi="黑体" w:eastAsia="黑体" w:cs="黑体"/>
                <w:kern w:val="0"/>
                <w:szCs w:val="21"/>
                <w:lang w:val="pt-BR"/>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72F2DA1">
            <w:pPr>
              <w:widowControl/>
              <w:jc w:val="left"/>
              <w:rPr>
                <w:rFonts w:hint="eastAsia" w:ascii="黑体" w:hAnsi="黑体" w:eastAsia="黑体" w:cs="黑体"/>
                <w:kern w:val="0"/>
                <w:szCs w:val="21"/>
                <w:lang w:val="pt-BR"/>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7F6537A">
            <w:pPr>
              <w:widowControl/>
              <w:jc w:val="left"/>
              <w:rPr>
                <w:rFonts w:hint="eastAsia" w:ascii="黑体" w:hAnsi="黑体" w:eastAsia="黑体" w:cs="黑体"/>
                <w:kern w:val="0"/>
                <w:szCs w:val="21"/>
              </w:rPr>
            </w:pPr>
            <w:r>
              <w:rPr>
                <w:rFonts w:hint="eastAsia" w:ascii="黑体" w:hAnsi="黑体" w:eastAsia="黑体" w:cs="黑体"/>
                <w:kern w:val="0"/>
                <w:szCs w:val="21"/>
              </w:rPr>
              <w:t>HJ2537 水性涂料</w:t>
            </w:r>
          </w:p>
        </w:tc>
      </w:tr>
      <w:tr w14:paraId="78FB4924">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5DF9D19B">
            <w:pPr>
              <w:widowControl/>
              <w:jc w:val="left"/>
              <w:rPr>
                <w:rFonts w:hint="eastAsia" w:ascii="黑体" w:hAnsi="黑体" w:eastAsia="黑体" w:cs="黑体"/>
                <w:kern w:val="0"/>
                <w:szCs w:val="21"/>
              </w:rPr>
            </w:pPr>
            <w:r>
              <w:rPr>
                <w:rFonts w:hint="eastAsia" w:ascii="黑体" w:hAnsi="黑体" w:eastAsia="黑体" w:cs="黑体"/>
                <w:kern w:val="0"/>
                <w:szCs w:val="21"/>
              </w:rPr>
              <w:t xml:space="preserve">49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53EB1CA5">
            <w:pPr>
              <w:widowControl/>
              <w:jc w:val="left"/>
              <w:rPr>
                <w:rFonts w:hint="eastAsia" w:ascii="黑体" w:hAnsi="黑体" w:eastAsia="黑体" w:cs="黑体"/>
                <w:kern w:val="0"/>
                <w:szCs w:val="21"/>
              </w:rPr>
            </w:pPr>
            <w:r>
              <w:rPr>
                <w:rFonts w:hint="eastAsia" w:ascii="黑体" w:hAnsi="黑体" w:eastAsia="黑体" w:cs="黑体"/>
                <w:kern w:val="0"/>
                <w:szCs w:val="21"/>
              </w:rPr>
              <w:t>A170112 密封用填料及类似品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DB6D103">
            <w:pPr>
              <w:widowControl/>
              <w:jc w:val="left"/>
              <w:rPr>
                <w:rFonts w:hint="eastAsia" w:ascii="黑体" w:hAnsi="黑体" w:eastAsia="黑体" w:cs="黑体"/>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97D4F95">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762EBC3">
            <w:pPr>
              <w:widowControl/>
              <w:jc w:val="left"/>
              <w:rPr>
                <w:rFonts w:hint="eastAsia" w:ascii="黑体" w:hAnsi="黑体" w:eastAsia="黑体" w:cs="黑体"/>
                <w:kern w:val="0"/>
                <w:szCs w:val="21"/>
              </w:rPr>
            </w:pPr>
            <w:r>
              <w:rPr>
                <w:rFonts w:hint="eastAsia" w:ascii="黑体" w:hAnsi="黑体" w:eastAsia="黑体" w:cs="黑体"/>
                <w:kern w:val="0"/>
                <w:szCs w:val="21"/>
              </w:rPr>
              <w:t>HJ2541 胶粘剂</w:t>
            </w:r>
          </w:p>
        </w:tc>
      </w:tr>
      <w:tr w14:paraId="6BEB460B">
        <w:tblPrEx>
          <w:tblCellMar>
            <w:top w:w="0" w:type="dxa"/>
            <w:left w:w="108" w:type="dxa"/>
            <w:bottom w:w="0" w:type="dxa"/>
            <w:right w:w="108" w:type="dxa"/>
          </w:tblCellMar>
        </w:tblPrEx>
        <w:trPr>
          <w:trHeight w:val="638"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5B31D7D9">
            <w:pPr>
              <w:widowControl/>
              <w:jc w:val="left"/>
              <w:rPr>
                <w:rFonts w:hint="eastAsia" w:ascii="黑体" w:hAnsi="黑体" w:eastAsia="黑体" w:cs="黑体"/>
                <w:kern w:val="0"/>
                <w:szCs w:val="21"/>
              </w:rPr>
            </w:pPr>
            <w:r>
              <w:rPr>
                <w:rFonts w:hint="eastAsia" w:ascii="黑体" w:hAnsi="黑体" w:eastAsia="黑体" w:cs="黑体"/>
                <w:kern w:val="0"/>
                <w:szCs w:val="21"/>
              </w:rPr>
              <w:t xml:space="preserve">50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22327DB8">
            <w:pPr>
              <w:widowControl/>
              <w:jc w:val="left"/>
              <w:rPr>
                <w:rFonts w:hint="eastAsia" w:ascii="黑体" w:hAnsi="黑体" w:eastAsia="黑体" w:cs="黑体"/>
                <w:kern w:val="0"/>
                <w:szCs w:val="21"/>
              </w:rPr>
            </w:pPr>
            <w:r>
              <w:rPr>
                <w:rFonts w:hint="eastAsia" w:ascii="黑体" w:hAnsi="黑体" w:eastAsia="黑体" w:cs="黑体"/>
                <w:kern w:val="0"/>
                <w:szCs w:val="21"/>
              </w:rPr>
              <w:t>A180201 塑料制品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060DC62D">
            <w:pPr>
              <w:widowControl/>
              <w:jc w:val="left"/>
              <w:rPr>
                <w:rFonts w:hint="eastAsia" w:ascii="黑体" w:hAnsi="黑体" w:eastAsia="黑体" w:cs="黑体"/>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9786704">
            <w:pPr>
              <w:widowControl/>
              <w:jc w:val="left"/>
              <w:rPr>
                <w:rFonts w:hint="eastAsia" w:ascii="黑体" w:hAnsi="黑体" w:eastAsia="黑体" w:cs="黑体"/>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B14E6E8">
            <w:pPr>
              <w:widowControl/>
              <w:jc w:val="left"/>
              <w:rPr>
                <w:rFonts w:hint="eastAsia" w:ascii="黑体" w:hAnsi="黑体" w:eastAsia="黑体" w:cs="黑体"/>
                <w:kern w:val="0"/>
                <w:szCs w:val="21"/>
              </w:rPr>
            </w:pPr>
            <w:r>
              <w:rPr>
                <w:rFonts w:hint="eastAsia" w:ascii="黑体" w:hAnsi="黑体" w:eastAsia="黑体" w:cs="黑体"/>
                <w:kern w:val="0"/>
                <w:szCs w:val="21"/>
              </w:rPr>
              <w:t>HJ/T226 建筑用塑料管材/HJ/T231 再生塑料制品</w:t>
            </w:r>
          </w:p>
        </w:tc>
      </w:tr>
      <w:tr w14:paraId="6138001F">
        <w:tblPrEx>
          <w:tblCellMar>
            <w:top w:w="0" w:type="dxa"/>
            <w:left w:w="108" w:type="dxa"/>
            <w:bottom w:w="0" w:type="dxa"/>
            <w:right w:w="108" w:type="dxa"/>
          </w:tblCellMar>
        </w:tblPrEx>
        <w:trPr>
          <w:trHeight w:val="375" w:hRule="atLeast"/>
          <w:tblHeader/>
        </w:trPr>
        <w:tc>
          <w:tcPr>
            <w:tcW w:w="3286" w:type="pct"/>
            <w:gridSpan w:val="4"/>
            <w:tcBorders>
              <w:top w:val="single" w:color="70AD47" w:sz="4" w:space="0"/>
              <w:left w:val="single" w:color="70AD47" w:sz="4" w:space="0"/>
              <w:bottom w:val="single" w:color="70AD47" w:sz="4" w:space="0"/>
              <w:right w:val="single" w:color="70AD47" w:sz="4" w:space="0"/>
            </w:tcBorders>
            <w:shd w:val="clear" w:color="auto" w:fill="FFFFFF"/>
          </w:tcPr>
          <w:p w14:paraId="3BEB0643">
            <w:pPr>
              <w:adjustRightInd w:val="0"/>
              <w:snapToGrid w:val="0"/>
              <w:ind w:firstLine="396" w:firstLineChars="200"/>
              <w:jc w:val="left"/>
              <w:rPr>
                <w:rFonts w:hint="eastAsia" w:ascii="黑体" w:hAnsi="黑体" w:eastAsia="黑体" w:cs="黑体"/>
                <w:spacing w:val="-6"/>
                <w:szCs w:val="21"/>
              </w:rPr>
            </w:pPr>
            <w:r>
              <w:rPr>
                <w:rFonts w:hint="eastAsia" w:ascii="黑体" w:hAnsi="黑体" w:eastAsia="黑体" w:cs="黑体"/>
                <w:spacing w:val="-6"/>
                <w:szCs w:val="21"/>
              </w:rPr>
              <w:t>注：环境标志产品认证应依据相关标准的最新版本</w:t>
            </w:r>
          </w:p>
        </w:tc>
        <w:tc>
          <w:tcPr>
            <w:tcW w:w="1713" w:type="pct"/>
            <w:tcBorders>
              <w:top w:val="single" w:color="70AD47" w:sz="4" w:space="0"/>
              <w:left w:val="single" w:color="70AD47" w:sz="4" w:space="0"/>
              <w:bottom w:val="single" w:color="70AD47" w:sz="4" w:space="0"/>
              <w:right w:val="single" w:color="70AD47" w:sz="4" w:space="0"/>
            </w:tcBorders>
            <w:shd w:val="clear" w:color="auto" w:fill="FFFFFF"/>
            <w:noWrap/>
            <w:vAlign w:val="bottom"/>
          </w:tcPr>
          <w:p w14:paraId="425C1254">
            <w:pPr>
              <w:adjustRightInd w:val="0"/>
              <w:snapToGrid w:val="0"/>
              <w:ind w:firstLine="396" w:firstLineChars="200"/>
              <w:jc w:val="left"/>
              <w:rPr>
                <w:rFonts w:hint="eastAsia" w:ascii="黑体" w:hAnsi="黑体" w:eastAsia="黑体" w:cs="黑体"/>
                <w:spacing w:val="-6"/>
                <w:szCs w:val="21"/>
              </w:rPr>
            </w:pPr>
          </w:p>
        </w:tc>
      </w:tr>
      <w:bookmarkEnd w:id="61"/>
    </w:tbl>
    <w:p w14:paraId="3C699CC6">
      <w:pPr>
        <w:rPr>
          <w:rFonts w:hint="eastAsia" w:ascii="宋体" w:hAnsi="宋体" w:eastAsia="宋体" w:cs="Times New Roman"/>
          <w:b/>
          <w:szCs w:val="21"/>
        </w:rPr>
      </w:pPr>
      <w:r>
        <w:rPr>
          <w:rFonts w:ascii="宋体" w:hAnsi="宋体" w:eastAsia="宋体" w:cs="Times New Roman"/>
          <w:b/>
          <w:szCs w:val="21"/>
        </w:rPr>
        <w:br w:type="page"/>
      </w:r>
    </w:p>
    <w:p w14:paraId="3AB026E8">
      <w:pPr>
        <w:adjustRightInd w:val="0"/>
        <w:snapToGrid w:val="0"/>
        <w:spacing w:line="288" w:lineRule="auto"/>
        <w:rPr>
          <w:rFonts w:hint="eastAsia" w:ascii="宋体" w:hAnsi="宋体" w:eastAsia="宋体" w:cs="Times New Roman"/>
          <w:b/>
          <w:szCs w:val="21"/>
        </w:rPr>
      </w:pPr>
    </w:p>
    <w:p w14:paraId="12D156FE">
      <w:pPr>
        <w:adjustRightInd w:val="0"/>
        <w:snapToGrid w:val="0"/>
        <w:spacing w:line="288" w:lineRule="auto"/>
        <w:outlineLvl w:val="2"/>
        <w:rPr>
          <w:rFonts w:hint="eastAsia" w:ascii="宋体" w:hAnsi="宋体" w:eastAsia="宋体" w:cs="宋体"/>
          <w:b/>
          <w:spacing w:val="-6"/>
          <w:szCs w:val="21"/>
        </w:rPr>
      </w:pPr>
      <w:r>
        <w:rPr>
          <w:rFonts w:hint="eastAsia" w:ascii="宋体" w:hAnsi="宋体" w:eastAsia="宋体" w:cs="宋体"/>
          <w:b/>
          <w:spacing w:val="-6"/>
          <w:szCs w:val="21"/>
        </w:rPr>
        <w:t>（8）科技创新相关证明材料</w:t>
      </w:r>
    </w:p>
    <w:p w14:paraId="04031768">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优先推荐专精特新中小企业、创新产品参加政府采购活动。对省级以上主管部门认定的首台套产品，自纳入《省推广应用指导目录》起三年内参加政府采购活动时视同已具备相应销售业绩，业绩分为满分。</w:t>
      </w:r>
    </w:p>
    <w:p w14:paraId="05A5AF0D">
      <w:pPr>
        <w:adjustRightInd w:val="0"/>
        <w:snapToGrid w:val="0"/>
        <w:spacing w:line="288" w:lineRule="auto"/>
        <w:rPr>
          <w:rFonts w:hint="eastAsia" w:ascii="宋体" w:hAnsi="宋体" w:eastAsia="宋体" w:cs="宋体"/>
          <w:b/>
          <w:spacing w:val="-6"/>
          <w:szCs w:val="21"/>
        </w:rPr>
      </w:pPr>
    </w:p>
    <w:p w14:paraId="40393707">
      <w:pPr>
        <w:adjustRightInd w:val="0"/>
        <w:snapToGrid w:val="0"/>
        <w:spacing w:line="288" w:lineRule="auto"/>
        <w:outlineLvl w:val="2"/>
        <w:rPr>
          <w:rFonts w:hint="eastAsia" w:ascii="宋体" w:hAnsi="宋体" w:eastAsia="宋体" w:cs="宋体"/>
          <w:b/>
          <w:spacing w:val="-6"/>
          <w:szCs w:val="21"/>
        </w:rPr>
      </w:pPr>
      <w:r>
        <w:rPr>
          <w:rFonts w:hint="eastAsia" w:ascii="宋体" w:hAnsi="宋体" w:eastAsia="宋体" w:cs="宋体"/>
          <w:b/>
          <w:spacing w:val="-6"/>
          <w:szCs w:val="21"/>
        </w:rPr>
        <w:t>（……）投标人需要说明的其他文件和材料。</w:t>
      </w:r>
    </w:p>
    <w:p w14:paraId="6E00CEF2">
      <w:pPr>
        <w:widowControl/>
        <w:adjustRightInd w:val="0"/>
        <w:snapToGrid w:val="0"/>
        <w:spacing w:line="288" w:lineRule="auto"/>
        <w:jc w:val="left"/>
        <w:rPr>
          <w:rFonts w:hint="eastAsia" w:ascii="宋体" w:hAnsi="宋体" w:eastAsia="宋体" w:cs="宋体"/>
          <w:b/>
          <w:spacing w:val="-6"/>
          <w:szCs w:val="21"/>
        </w:rPr>
      </w:pPr>
    </w:p>
    <w:p w14:paraId="30101E17">
      <w:pPr>
        <w:widowControl/>
        <w:adjustRightInd w:val="0"/>
        <w:snapToGrid w:val="0"/>
        <w:spacing w:line="288" w:lineRule="auto"/>
        <w:jc w:val="left"/>
        <w:rPr>
          <w:rFonts w:hint="eastAsia" w:ascii="宋体" w:hAnsi="宋体" w:eastAsia="宋体" w:cs="宋体"/>
          <w:b/>
          <w:spacing w:val="-6"/>
          <w:szCs w:val="21"/>
        </w:rPr>
      </w:pPr>
      <w:r>
        <w:rPr>
          <w:rFonts w:ascii="宋体" w:hAnsi="宋体" w:eastAsia="宋体" w:cs="宋体"/>
          <w:b/>
          <w:spacing w:val="-6"/>
          <w:szCs w:val="21"/>
        </w:rPr>
        <w:br w:type="page"/>
      </w:r>
    </w:p>
    <w:p w14:paraId="755F1BB7">
      <w:pPr>
        <w:overflowPunct w:val="0"/>
        <w:adjustRightInd w:val="0"/>
        <w:snapToGrid w:val="0"/>
        <w:spacing w:line="288" w:lineRule="auto"/>
        <w:jc w:val="center"/>
        <w:outlineLvl w:val="1"/>
        <w:rPr>
          <w:rFonts w:hint="eastAsia" w:ascii="宋体" w:hAnsi="宋体" w:eastAsia="宋体" w:cs="Times New Roman"/>
          <w:b/>
          <w:spacing w:val="-6"/>
          <w:sz w:val="84"/>
          <w:szCs w:val="84"/>
        </w:rPr>
      </w:pPr>
      <w:r>
        <w:rPr>
          <w:rFonts w:hint="eastAsia" w:ascii="宋体" w:hAnsi="宋体" w:eastAsia="宋体" w:cs="Times New Roman"/>
          <w:b/>
          <w:spacing w:val="-6"/>
          <w:sz w:val="84"/>
          <w:szCs w:val="84"/>
        </w:rPr>
        <w:t>报价文件</w:t>
      </w:r>
    </w:p>
    <w:p w14:paraId="5CB720A2">
      <w:pPr>
        <w:widowControl/>
        <w:adjustRightInd w:val="0"/>
        <w:snapToGrid w:val="0"/>
        <w:spacing w:line="288" w:lineRule="auto"/>
        <w:jc w:val="left"/>
        <w:rPr>
          <w:rFonts w:hint="eastAsia" w:ascii="宋体" w:hAnsi="宋体" w:eastAsia="宋体" w:cs="宋体"/>
          <w:b/>
          <w:spacing w:val="-6"/>
          <w:szCs w:val="21"/>
        </w:rPr>
      </w:pPr>
      <w:r>
        <w:rPr>
          <w:rFonts w:ascii="宋体" w:hAnsi="宋体" w:eastAsia="宋体" w:cs="宋体"/>
          <w:b/>
          <w:spacing w:val="-6"/>
          <w:szCs w:val="21"/>
        </w:rPr>
        <w:br w:type="page"/>
      </w:r>
    </w:p>
    <w:p w14:paraId="786BC914">
      <w:pPr>
        <w:adjustRightInd w:val="0"/>
        <w:snapToGrid w:val="0"/>
        <w:spacing w:line="288" w:lineRule="auto"/>
        <w:jc w:val="center"/>
        <w:outlineLvl w:val="2"/>
        <w:rPr>
          <w:rFonts w:hint="eastAsia"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1</w:t>
      </w:r>
      <w:r>
        <w:rPr>
          <w:rFonts w:hint="eastAsia" w:ascii="宋体" w:hAnsi="宋体" w:eastAsia="宋体" w:cs="宋体"/>
          <w:b/>
          <w:spacing w:val="-6"/>
          <w:szCs w:val="21"/>
        </w:rPr>
        <w:t>）开标一览表</w:t>
      </w:r>
    </w:p>
    <w:p w14:paraId="5A0E097D">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采 购 人：浙江工商大学</w:t>
      </w:r>
    </w:p>
    <w:p w14:paraId="678ED8C0">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项目名称：浙江工商大学未来营养健康与共同富裕计算设备更新-共同富裕计算设备（第一批）</w:t>
      </w:r>
    </w:p>
    <w:p w14:paraId="6E1E1D82">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项目编号：QSZB-Z(H)-C24374(GK)LL</w:t>
      </w:r>
    </w:p>
    <w:p w14:paraId="145EE350">
      <w:pPr>
        <w:adjustRightInd w:val="0"/>
        <w:snapToGrid w:val="0"/>
        <w:spacing w:line="288" w:lineRule="auto"/>
        <w:rPr>
          <w:rFonts w:hint="eastAsia" w:ascii="宋体" w:hAnsi="宋体" w:eastAsia="宋体" w:cs="Times New Roman"/>
          <w:bCs/>
          <w:spacing w:val="-6"/>
          <w:szCs w:val="21"/>
        </w:rPr>
      </w:pPr>
    </w:p>
    <w:tbl>
      <w:tblPr>
        <w:tblStyle w:val="23"/>
        <w:tblW w:w="499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46"/>
        <w:gridCol w:w="1682"/>
        <w:gridCol w:w="1591"/>
        <w:gridCol w:w="802"/>
        <w:gridCol w:w="870"/>
        <w:gridCol w:w="544"/>
        <w:gridCol w:w="544"/>
        <w:gridCol w:w="924"/>
        <w:gridCol w:w="1016"/>
        <w:gridCol w:w="1001"/>
      </w:tblGrid>
      <w:tr w14:paraId="20A947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17433ADF">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序号</w:t>
            </w: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09364971">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标的名称</w:t>
            </w: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02AC3205">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品牌</w:t>
            </w: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2307A59C">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规格型号</w:t>
            </w: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77692990">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产地</w:t>
            </w: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186C6CA1">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单位</w:t>
            </w: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129024F2">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数量</w:t>
            </w:r>
          </w:p>
        </w:tc>
        <w:tc>
          <w:tcPr>
            <w:tcW w:w="480" w:type="pct"/>
            <w:tcBorders>
              <w:top w:val="single" w:color="auto" w:sz="4" w:space="0"/>
              <w:left w:val="single" w:color="auto" w:sz="4" w:space="0"/>
              <w:bottom w:val="single" w:color="auto" w:sz="4" w:space="0"/>
              <w:right w:val="single" w:color="auto" w:sz="4" w:space="0"/>
            </w:tcBorders>
            <w:vAlign w:val="center"/>
          </w:tcPr>
          <w:p w14:paraId="3EE62431">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单价</w:t>
            </w:r>
          </w:p>
        </w:tc>
        <w:tc>
          <w:tcPr>
            <w:tcW w:w="528" w:type="pct"/>
            <w:tcBorders>
              <w:top w:val="single" w:color="auto" w:sz="4" w:space="0"/>
              <w:left w:val="single" w:color="auto" w:sz="4" w:space="0"/>
              <w:bottom w:val="single" w:color="auto" w:sz="4" w:space="0"/>
              <w:right w:val="single" w:color="auto" w:sz="4" w:space="0"/>
            </w:tcBorders>
            <w:vAlign w:val="center"/>
          </w:tcPr>
          <w:p w14:paraId="1E074232">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金额（人民币元）</w:t>
            </w:r>
          </w:p>
        </w:tc>
        <w:tc>
          <w:tcPr>
            <w:tcW w:w="515" w:type="pct"/>
            <w:tcBorders>
              <w:top w:val="single" w:color="auto" w:sz="4" w:space="0"/>
              <w:left w:val="single" w:color="auto" w:sz="4" w:space="0"/>
              <w:bottom w:val="single" w:color="auto" w:sz="4" w:space="0"/>
              <w:right w:val="single" w:color="auto" w:sz="4" w:space="0"/>
            </w:tcBorders>
            <w:vAlign w:val="center"/>
          </w:tcPr>
          <w:p w14:paraId="17833C34">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备注</w:t>
            </w:r>
          </w:p>
        </w:tc>
      </w:tr>
      <w:tr w14:paraId="4919FD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192F4E7B">
            <w:pPr>
              <w:adjustRightInd w:val="0"/>
              <w:snapToGrid w:val="0"/>
              <w:jc w:val="center"/>
              <w:rPr>
                <w:rFonts w:hint="eastAsia" w:ascii="黑体" w:hAnsi="黑体" w:eastAsia="黑体" w:cs="黑体"/>
                <w:szCs w:val="21"/>
              </w:rPr>
            </w:pPr>
            <w:r>
              <w:rPr>
                <w:rFonts w:hint="eastAsia" w:ascii="黑体" w:hAnsi="黑体" w:eastAsia="黑体" w:cs="黑体"/>
                <w:szCs w:val="21"/>
              </w:rPr>
              <w:t>1</w:t>
            </w: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46E2729D">
            <w:pPr>
              <w:adjustRightInd w:val="0"/>
              <w:snapToGrid w:val="0"/>
              <w:jc w:val="center"/>
              <w:rPr>
                <w:rFonts w:hint="eastAsia" w:ascii="黑体" w:hAnsi="黑体" w:eastAsia="黑体" w:cs="黑体"/>
                <w:szCs w:val="21"/>
              </w:rPr>
            </w:pPr>
            <w:r>
              <w:rPr>
                <w:rFonts w:hint="eastAsia" w:ascii="黑体" w:hAnsi="黑体" w:eastAsia="黑体" w:cs="黑体"/>
                <w:szCs w:val="21"/>
                <w:lang w:bidi="ar"/>
              </w:rPr>
              <w:t>超模态行为洞察平台</w:t>
            </w: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7853D822">
            <w:pPr>
              <w:adjustRightInd w:val="0"/>
              <w:snapToGrid w:val="0"/>
              <w:spacing w:line="360" w:lineRule="auto"/>
              <w:jc w:val="center"/>
              <w:rPr>
                <w:rFonts w:hint="eastAsia" w:ascii="宋体" w:hAnsi="宋体" w:eastAsia="宋体" w:cs="宋体"/>
                <w:b/>
                <w:bCs/>
                <w:szCs w:val="21"/>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43978E28">
            <w:pPr>
              <w:adjustRightInd w:val="0"/>
              <w:snapToGrid w:val="0"/>
              <w:spacing w:line="360" w:lineRule="auto"/>
              <w:jc w:val="center"/>
              <w:rPr>
                <w:rFonts w:hint="eastAsia" w:ascii="宋体" w:hAnsi="宋体" w:eastAsia="宋体" w:cs="宋体"/>
                <w:b/>
                <w:bCs/>
                <w:szCs w:val="21"/>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28356D79">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24B585BD">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1</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62D861C6">
            <w:pPr>
              <w:jc w:val="center"/>
              <w:textAlignment w:val="center"/>
              <w:rPr>
                <w:rFonts w:ascii="Times New Roman" w:hAnsi="Times New Roman" w:cs="Times New Roman"/>
                <w:szCs w:val="21"/>
              </w:rPr>
            </w:pPr>
            <w:r>
              <w:rPr>
                <w:rFonts w:hint="eastAsia"/>
                <w:szCs w:val="21"/>
                <w:lang w:bidi="ar"/>
              </w:rPr>
              <w:t>套</w:t>
            </w:r>
          </w:p>
        </w:tc>
        <w:tc>
          <w:tcPr>
            <w:tcW w:w="480" w:type="pct"/>
            <w:tcBorders>
              <w:top w:val="single" w:color="auto" w:sz="4" w:space="0"/>
              <w:left w:val="single" w:color="auto" w:sz="4" w:space="0"/>
              <w:bottom w:val="single" w:color="auto" w:sz="4" w:space="0"/>
              <w:right w:val="single" w:color="auto" w:sz="4" w:space="0"/>
            </w:tcBorders>
            <w:vAlign w:val="center"/>
          </w:tcPr>
          <w:p w14:paraId="222BD906">
            <w:pPr>
              <w:adjustRightInd w:val="0"/>
              <w:snapToGrid w:val="0"/>
              <w:spacing w:line="360" w:lineRule="auto"/>
              <w:jc w:val="center"/>
              <w:rPr>
                <w:rFonts w:hint="eastAsia" w:ascii="宋体" w:hAnsi="宋体" w:eastAsia="宋体" w:cs="宋体"/>
                <w:b/>
                <w:bCs/>
                <w:szCs w:val="21"/>
              </w:rPr>
            </w:pPr>
          </w:p>
        </w:tc>
        <w:tc>
          <w:tcPr>
            <w:tcW w:w="528" w:type="pct"/>
            <w:tcBorders>
              <w:top w:val="single" w:color="auto" w:sz="4" w:space="0"/>
              <w:left w:val="single" w:color="auto" w:sz="4" w:space="0"/>
              <w:bottom w:val="single" w:color="auto" w:sz="4" w:space="0"/>
              <w:right w:val="single" w:color="auto" w:sz="4" w:space="0"/>
            </w:tcBorders>
            <w:vAlign w:val="center"/>
          </w:tcPr>
          <w:p w14:paraId="07318AD5">
            <w:pPr>
              <w:adjustRightInd w:val="0"/>
              <w:snapToGrid w:val="0"/>
              <w:spacing w:line="360" w:lineRule="auto"/>
              <w:jc w:val="center"/>
              <w:rPr>
                <w:rFonts w:hint="eastAsia" w:ascii="宋体" w:hAnsi="宋体" w:eastAsia="宋体" w:cs="宋体"/>
                <w:b/>
                <w:bCs/>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12A7C414">
            <w:pPr>
              <w:adjustRightInd w:val="0"/>
              <w:snapToGrid w:val="0"/>
              <w:spacing w:line="360" w:lineRule="auto"/>
              <w:jc w:val="center"/>
              <w:rPr>
                <w:rFonts w:hint="eastAsia" w:ascii="宋体" w:hAnsi="宋体" w:eastAsia="宋体" w:cs="宋体"/>
                <w:b/>
                <w:bCs/>
                <w:szCs w:val="21"/>
              </w:rPr>
            </w:pPr>
          </w:p>
        </w:tc>
      </w:tr>
      <w:tr w14:paraId="02E119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05257120">
            <w:pPr>
              <w:adjustRightInd w:val="0"/>
              <w:snapToGrid w:val="0"/>
              <w:jc w:val="center"/>
              <w:rPr>
                <w:rFonts w:hint="eastAsia" w:ascii="黑体" w:hAnsi="黑体" w:eastAsia="黑体" w:cs="黑体"/>
                <w:szCs w:val="21"/>
              </w:rPr>
            </w:pPr>
            <w:r>
              <w:rPr>
                <w:rFonts w:hint="eastAsia" w:ascii="黑体" w:hAnsi="黑体" w:eastAsia="黑体" w:cs="黑体"/>
                <w:szCs w:val="21"/>
              </w:rPr>
              <w:t>2</w:t>
            </w: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0871909A">
            <w:pPr>
              <w:adjustRightInd w:val="0"/>
              <w:snapToGrid w:val="0"/>
              <w:jc w:val="center"/>
              <w:rPr>
                <w:rFonts w:hint="eastAsia" w:ascii="黑体" w:hAnsi="黑体" w:eastAsia="黑体" w:cs="黑体"/>
                <w:szCs w:val="21"/>
              </w:rPr>
            </w:pPr>
            <w:r>
              <w:rPr>
                <w:rFonts w:hint="eastAsia" w:ascii="黑体" w:hAnsi="黑体" w:eastAsia="黑体" w:cs="黑体"/>
                <w:szCs w:val="21"/>
                <w:lang w:bidi="ar"/>
              </w:rPr>
              <w:t>便携式行为观察记录分析系统</w:t>
            </w: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07C50B5D">
            <w:pPr>
              <w:adjustRightInd w:val="0"/>
              <w:snapToGrid w:val="0"/>
              <w:spacing w:line="360" w:lineRule="auto"/>
              <w:jc w:val="center"/>
              <w:rPr>
                <w:rFonts w:hint="eastAsia" w:ascii="宋体" w:hAnsi="宋体" w:eastAsia="宋体" w:cs="宋体"/>
                <w:b/>
                <w:bCs/>
                <w:szCs w:val="21"/>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2D5190BB">
            <w:pPr>
              <w:adjustRightInd w:val="0"/>
              <w:snapToGrid w:val="0"/>
              <w:spacing w:line="360" w:lineRule="auto"/>
              <w:jc w:val="center"/>
              <w:rPr>
                <w:rFonts w:hint="eastAsia" w:ascii="宋体" w:hAnsi="宋体" w:eastAsia="宋体" w:cs="宋体"/>
                <w:b/>
                <w:bCs/>
                <w:szCs w:val="21"/>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2D2A1447">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4258A010">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1</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5D016F76">
            <w:pPr>
              <w:jc w:val="center"/>
              <w:textAlignment w:val="center"/>
              <w:rPr>
                <w:rFonts w:ascii="Times New Roman" w:hAnsi="Times New Roman" w:cs="Times New Roman"/>
                <w:szCs w:val="21"/>
              </w:rPr>
            </w:pPr>
            <w:r>
              <w:rPr>
                <w:rFonts w:hint="eastAsia"/>
                <w:szCs w:val="21"/>
                <w:lang w:bidi="ar"/>
              </w:rPr>
              <w:t>套</w:t>
            </w:r>
          </w:p>
        </w:tc>
        <w:tc>
          <w:tcPr>
            <w:tcW w:w="480" w:type="pct"/>
            <w:tcBorders>
              <w:top w:val="single" w:color="auto" w:sz="4" w:space="0"/>
              <w:left w:val="single" w:color="auto" w:sz="4" w:space="0"/>
              <w:bottom w:val="single" w:color="auto" w:sz="4" w:space="0"/>
              <w:right w:val="single" w:color="auto" w:sz="4" w:space="0"/>
            </w:tcBorders>
            <w:vAlign w:val="center"/>
          </w:tcPr>
          <w:p w14:paraId="1B1DE00E">
            <w:pPr>
              <w:adjustRightInd w:val="0"/>
              <w:snapToGrid w:val="0"/>
              <w:spacing w:line="360" w:lineRule="auto"/>
              <w:jc w:val="center"/>
              <w:rPr>
                <w:rFonts w:hint="eastAsia" w:ascii="宋体" w:hAnsi="宋体" w:eastAsia="宋体" w:cs="宋体"/>
                <w:b/>
                <w:bCs/>
                <w:szCs w:val="21"/>
              </w:rPr>
            </w:pPr>
          </w:p>
        </w:tc>
        <w:tc>
          <w:tcPr>
            <w:tcW w:w="528" w:type="pct"/>
            <w:tcBorders>
              <w:top w:val="single" w:color="auto" w:sz="4" w:space="0"/>
              <w:left w:val="single" w:color="auto" w:sz="4" w:space="0"/>
              <w:bottom w:val="single" w:color="auto" w:sz="4" w:space="0"/>
              <w:right w:val="single" w:color="auto" w:sz="4" w:space="0"/>
            </w:tcBorders>
            <w:vAlign w:val="center"/>
          </w:tcPr>
          <w:p w14:paraId="642938EC">
            <w:pPr>
              <w:adjustRightInd w:val="0"/>
              <w:snapToGrid w:val="0"/>
              <w:spacing w:line="360" w:lineRule="auto"/>
              <w:jc w:val="center"/>
              <w:rPr>
                <w:rFonts w:hint="eastAsia" w:ascii="宋体" w:hAnsi="宋体" w:eastAsia="宋体" w:cs="宋体"/>
                <w:b/>
                <w:bCs/>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1C79ACA6">
            <w:pPr>
              <w:adjustRightInd w:val="0"/>
              <w:snapToGrid w:val="0"/>
              <w:spacing w:line="360" w:lineRule="auto"/>
              <w:jc w:val="center"/>
              <w:rPr>
                <w:rFonts w:hint="eastAsia" w:ascii="宋体" w:hAnsi="宋体" w:eastAsia="宋体" w:cs="宋体"/>
                <w:b/>
                <w:bCs/>
                <w:szCs w:val="21"/>
              </w:rPr>
            </w:pPr>
          </w:p>
        </w:tc>
      </w:tr>
      <w:tr w14:paraId="54C729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10AB4BDF">
            <w:pPr>
              <w:adjustRightInd w:val="0"/>
              <w:snapToGrid w:val="0"/>
              <w:jc w:val="center"/>
              <w:rPr>
                <w:rFonts w:hint="eastAsia" w:ascii="黑体" w:hAnsi="黑体" w:eastAsia="黑体" w:cs="黑体"/>
                <w:szCs w:val="21"/>
              </w:rPr>
            </w:pPr>
            <w:r>
              <w:rPr>
                <w:rFonts w:hint="eastAsia" w:ascii="黑体" w:hAnsi="黑体" w:eastAsia="黑体" w:cs="黑体"/>
                <w:szCs w:val="21"/>
              </w:rPr>
              <w:t>3</w:t>
            </w: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168A7026">
            <w:pPr>
              <w:adjustRightInd w:val="0"/>
              <w:snapToGrid w:val="0"/>
              <w:jc w:val="center"/>
              <w:rPr>
                <w:rFonts w:hint="eastAsia" w:ascii="黑体" w:hAnsi="黑体" w:eastAsia="黑体" w:cs="黑体"/>
                <w:szCs w:val="21"/>
              </w:rPr>
            </w:pPr>
            <w:r>
              <w:rPr>
                <w:rFonts w:hint="eastAsia" w:ascii="黑体" w:hAnsi="黑体" w:eastAsia="黑体" w:cs="黑体"/>
                <w:szCs w:val="21"/>
                <w:lang w:bidi="ar"/>
              </w:rPr>
              <w:t>视觉动态追踪系统</w:t>
            </w: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57FD2CE2">
            <w:pPr>
              <w:adjustRightInd w:val="0"/>
              <w:snapToGrid w:val="0"/>
              <w:spacing w:line="360" w:lineRule="auto"/>
              <w:jc w:val="center"/>
              <w:rPr>
                <w:rFonts w:hint="eastAsia" w:ascii="宋体" w:hAnsi="宋体" w:eastAsia="宋体" w:cs="宋体"/>
                <w:b/>
                <w:bCs/>
                <w:szCs w:val="21"/>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26AFB418">
            <w:pPr>
              <w:adjustRightInd w:val="0"/>
              <w:snapToGrid w:val="0"/>
              <w:spacing w:line="360" w:lineRule="auto"/>
              <w:jc w:val="center"/>
              <w:rPr>
                <w:rFonts w:hint="eastAsia" w:ascii="宋体" w:hAnsi="宋体" w:eastAsia="宋体" w:cs="宋体"/>
                <w:b/>
                <w:bCs/>
                <w:szCs w:val="21"/>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3D9CB5F7">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3FFD95E1">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1</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7E6BA7B6">
            <w:pPr>
              <w:jc w:val="center"/>
              <w:textAlignment w:val="center"/>
              <w:rPr>
                <w:rFonts w:ascii="Times New Roman" w:hAnsi="Times New Roman" w:cs="Times New Roman"/>
                <w:szCs w:val="21"/>
              </w:rPr>
            </w:pPr>
            <w:r>
              <w:rPr>
                <w:rFonts w:hint="eastAsia"/>
                <w:szCs w:val="21"/>
                <w:lang w:bidi="ar"/>
              </w:rPr>
              <w:t>套</w:t>
            </w:r>
          </w:p>
        </w:tc>
        <w:tc>
          <w:tcPr>
            <w:tcW w:w="480" w:type="pct"/>
            <w:tcBorders>
              <w:top w:val="single" w:color="auto" w:sz="4" w:space="0"/>
              <w:left w:val="single" w:color="auto" w:sz="4" w:space="0"/>
              <w:bottom w:val="single" w:color="auto" w:sz="4" w:space="0"/>
              <w:right w:val="single" w:color="auto" w:sz="4" w:space="0"/>
            </w:tcBorders>
            <w:vAlign w:val="center"/>
          </w:tcPr>
          <w:p w14:paraId="030DDC32">
            <w:pPr>
              <w:adjustRightInd w:val="0"/>
              <w:snapToGrid w:val="0"/>
              <w:spacing w:line="360" w:lineRule="auto"/>
              <w:jc w:val="center"/>
              <w:rPr>
                <w:rFonts w:hint="eastAsia" w:ascii="宋体" w:hAnsi="宋体" w:eastAsia="宋体" w:cs="宋体"/>
                <w:b/>
                <w:bCs/>
                <w:szCs w:val="21"/>
              </w:rPr>
            </w:pPr>
          </w:p>
        </w:tc>
        <w:tc>
          <w:tcPr>
            <w:tcW w:w="528" w:type="pct"/>
            <w:tcBorders>
              <w:top w:val="single" w:color="auto" w:sz="4" w:space="0"/>
              <w:left w:val="single" w:color="auto" w:sz="4" w:space="0"/>
              <w:bottom w:val="single" w:color="auto" w:sz="4" w:space="0"/>
              <w:right w:val="single" w:color="auto" w:sz="4" w:space="0"/>
            </w:tcBorders>
            <w:vAlign w:val="center"/>
          </w:tcPr>
          <w:p w14:paraId="45C50D01">
            <w:pPr>
              <w:adjustRightInd w:val="0"/>
              <w:snapToGrid w:val="0"/>
              <w:spacing w:line="360" w:lineRule="auto"/>
              <w:jc w:val="center"/>
              <w:rPr>
                <w:rFonts w:hint="eastAsia" w:ascii="宋体" w:hAnsi="宋体" w:eastAsia="宋体" w:cs="宋体"/>
                <w:b/>
                <w:bCs/>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3390CAF7">
            <w:pPr>
              <w:adjustRightInd w:val="0"/>
              <w:snapToGrid w:val="0"/>
              <w:spacing w:line="360" w:lineRule="auto"/>
              <w:jc w:val="center"/>
              <w:rPr>
                <w:rFonts w:hint="eastAsia" w:ascii="宋体" w:hAnsi="宋体" w:eastAsia="宋体" w:cs="宋体"/>
                <w:b/>
                <w:bCs/>
                <w:szCs w:val="21"/>
              </w:rPr>
            </w:pPr>
          </w:p>
        </w:tc>
      </w:tr>
      <w:tr w14:paraId="67CEEF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779FDB15">
            <w:pPr>
              <w:adjustRightInd w:val="0"/>
              <w:snapToGrid w:val="0"/>
              <w:jc w:val="center"/>
              <w:rPr>
                <w:rFonts w:hint="eastAsia" w:ascii="黑体" w:hAnsi="黑体" w:eastAsia="黑体" w:cs="黑体"/>
                <w:szCs w:val="21"/>
              </w:rPr>
            </w:pPr>
            <w:r>
              <w:rPr>
                <w:rFonts w:hint="eastAsia" w:ascii="黑体" w:hAnsi="黑体" w:eastAsia="黑体" w:cs="黑体"/>
                <w:szCs w:val="21"/>
              </w:rPr>
              <w:t>4</w:t>
            </w: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4AA4B61B">
            <w:pPr>
              <w:adjustRightInd w:val="0"/>
              <w:snapToGrid w:val="0"/>
              <w:jc w:val="center"/>
              <w:rPr>
                <w:rFonts w:hint="eastAsia" w:ascii="黑体" w:hAnsi="黑体" w:eastAsia="黑体" w:cs="黑体"/>
                <w:szCs w:val="21"/>
                <w:lang w:bidi="ar"/>
              </w:rPr>
            </w:pPr>
            <w:r>
              <w:rPr>
                <w:rFonts w:hint="eastAsia" w:ascii="黑体" w:hAnsi="黑体" w:eastAsia="黑体" w:cs="黑体"/>
                <w:szCs w:val="21"/>
                <w:lang w:bidi="ar"/>
              </w:rPr>
              <w:t>遥测式生理信号采集分析系统</w:t>
            </w: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2BEAFEDB">
            <w:pPr>
              <w:adjustRightInd w:val="0"/>
              <w:snapToGrid w:val="0"/>
              <w:spacing w:line="360" w:lineRule="auto"/>
              <w:jc w:val="center"/>
              <w:rPr>
                <w:rFonts w:hint="eastAsia" w:ascii="宋体" w:hAnsi="宋体" w:eastAsia="宋体" w:cs="宋体"/>
                <w:b/>
                <w:bCs/>
                <w:szCs w:val="21"/>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713FD140">
            <w:pPr>
              <w:adjustRightInd w:val="0"/>
              <w:snapToGrid w:val="0"/>
              <w:spacing w:line="360" w:lineRule="auto"/>
              <w:jc w:val="center"/>
              <w:rPr>
                <w:rFonts w:hint="eastAsia" w:ascii="宋体" w:hAnsi="宋体" w:eastAsia="宋体" w:cs="宋体"/>
                <w:b/>
                <w:bCs/>
                <w:szCs w:val="21"/>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384B7F35">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435BF0F1">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1</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39371B7A">
            <w:pPr>
              <w:jc w:val="center"/>
              <w:textAlignment w:val="center"/>
              <w:rPr>
                <w:rFonts w:ascii="Times New Roman" w:hAnsi="Times New Roman" w:cs="Times New Roman"/>
                <w:szCs w:val="21"/>
              </w:rPr>
            </w:pPr>
            <w:r>
              <w:rPr>
                <w:rFonts w:hint="eastAsia"/>
                <w:szCs w:val="21"/>
                <w:lang w:bidi="ar"/>
              </w:rPr>
              <w:t>套</w:t>
            </w:r>
          </w:p>
        </w:tc>
        <w:tc>
          <w:tcPr>
            <w:tcW w:w="480" w:type="pct"/>
            <w:tcBorders>
              <w:top w:val="single" w:color="auto" w:sz="4" w:space="0"/>
              <w:left w:val="single" w:color="auto" w:sz="4" w:space="0"/>
              <w:bottom w:val="single" w:color="auto" w:sz="4" w:space="0"/>
              <w:right w:val="single" w:color="auto" w:sz="4" w:space="0"/>
            </w:tcBorders>
            <w:vAlign w:val="center"/>
          </w:tcPr>
          <w:p w14:paraId="1225ED91">
            <w:pPr>
              <w:adjustRightInd w:val="0"/>
              <w:snapToGrid w:val="0"/>
              <w:spacing w:line="360" w:lineRule="auto"/>
              <w:jc w:val="center"/>
              <w:rPr>
                <w:rFonts w:hint="eastAsia" w:ascii="宋体" w:hAnsi="宋体" w:eastAsia="宋体" w:cs="宋体"/>
                <w:b/>
                <w:bCs/>
                <w:szCs w:val="21"/>
              </w:rPr>
            </w:pPr>
          </w:p>
        </w:tc>
        <w:tc>
          <w:tcPr>
            <w:tcW w:w="528" w:type="pct"/>
            <w:tcBorders>
              <w:top w:val="single" w:color="auto" w:sz="4" w:space="0"/>
              <w:left w:val="single" w:color="auto" w:sz="4" w:space="0"/>
              <w:bottom w:val="single" w:color="auto" w:sz="4" w:space="0"/>
              <w:right w:val="single" w:color="auto" w:sz="4" w:space="0"/>
            </w:tcBorders>
            <w:vAlign w:val="center"/>
          </w:tcPr>
          <w:p w14:paraId="541789C6">
            <w:pPr>
              <w:adjustRightInd w:val="0"/>
              <w:snapToGrid w:val="0"/>
              <w:spacing w:line="360" w:lineRule="auto"/>
              <w:jc w:val="center"/>
              <w:rPr>
                <w:rFonts w:hint="eastAsia" w:ascii="宋体" w:hAnsi="宋体" w:eastAsia="宋体" w:cs="宋体"/>
                <w:b/>
                <w:bCs/>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260D5051">
            <w:pPr>
              <w:adjustRightInd w:val="0"/>
              <w:snapToGrid w:val="0"/>
              <w:spacing w:line="360" w:lineRule="auto"/>
              <w:jc w:val="center"/>
              <w:rPr>
                <w:rFonts w:hint="eastAsia" w:ascii="宋体" w:hAnsi="宋体" w:eastAsia="宋体" w:cs="宋体"/>
                <w:b/>
                <w:bCs/>
                <w:szCs w:val="21"/>
              </w:rPr>
            </w:pPr>
          </w:p>
        </w:tc>
      </w:tr>
      <w:tr w14:paraId="4747C8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08CD4E76">
            <w:pPr>
              <w:adjustRightInd w:val="0"/>
              <w:snapToGrid w:val="0"/>
              <w:spacing w:line="360" w:lineRule="auto"/>
              <w:jc w:val="left"/>
              <w:rPr>
                <w:rFonts w:hint="eastAsia" w:ascii="宋体" w:hAnsi="宋体" w:eastAsia="宋体" w:cs="宋体"/>
                <w:b/>
                <w:bCs/>
                <w:szCs w:val="21"/>
              </w:rPr>
            </w:pPr>
            <w:r>
              <w:rPr>
                <w:rFonts w:hint="eastAsia" w:ascii="宋体" w:hAnsi="宋体" w:eastAsia="宋体" w:cs="宋体"/>
                <w:b/>
                <w:bCs/>
                <w:szCs w:val="21"/>
              </w:rPr>
              <w:t>★以下（联合体其他成员）承担的部分：</w:t>
            </w:r>
          </w:p>
        </w:tc>
      </w:tr>
      <w:tr w14:paraId="5F496B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27E1DDD6">
            <w:pPr>
              <w:adjustRightInd w:val="0"/>
              <w:snapToGrid w:val="0"/>
              <w:spacing w:line="360" w:lineRule="auto"/>
              <w:jc w:val="center"/>
              <w:rPr>
                <w:rFonts w:hint="eastAsia" w:ascii="宋体" w:hAnsi="宋体" w:eastAsia="宋体" w:cs="宋体"/>
                <w:b/>
                <w:bCs/>
                <w:szCs w:val="21"/>
              </w:rPr>
            </w:pP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1F083076">
            <w:pPr>
              <w:adjustRightInd w:val="0"/>
              <w:snapToGrid w:val="0"/>
              <w:spacing w:line="360" w:lineRule="auto"/>
              <w:jc w:val="center"/>
              <w:rPr>
                <w:rFonts w:hint="eastAsia" w:ascii="宋体" w:hAnsi="宋体" w:eastAsia="宋体" w:cs="宋体"/>
                <w:b/>
                <w:bCs/>
                <w:szCs w:val="21"/>
              </w:rPr>
            </w:pP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1837F0EB">
            <w:pPr>
              <w:adjustRightInd w:val="0"/>
              <w:snapToGrid w:val="0"/>
              <w:spacing w:line="360" w:lineRule="auto"/>
              <w:jc w:val="center"/>
              <w:rPr>
                <w:rFonts w:hint="eastAsia" w:ascii="宋体" w:hAnsi="宋体" w:eastAsia="宋体" w:cs="宋体"/>
                <w:b/>
                <w:bCs/>
                <w:szCs w:val="21"/>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352216E0">
            <w:pPr>
              <w:adjustRightInd w:val="0"/>
              <w:snapToGrid w:val="0"/>
              <w:spacing w:line="360" w:lineRule="auto"/>
              <w:jc w:val="center"/>
              <w:rPr>
                <w:rFonts w:hint="eastAsia" w:ascii="宋体" w:hAnsi="宋体" w:eastAsia="宋体" w:cs="宋体"/>
                <w:b/>
                <w:bCs/>
                <w:szCs w:val="21"/>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77D46F5B">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2BC0EA0D">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22DFAF18">
            <w:pPr>
              <w:adjustRightInd w:val="0"/>
              <w:snapToGrid w:val="0"/>
              <w:spacing w:line="360" w:lineRule="auto"/>
              <w:jc w:val="center"/>
              <w:rPr>
                <w:rFonts w:hint="eastAsia" w:ascii="宋体" w:hAnsi="宋体" w:eastAsia="宋体" w:cs="宋体"/>
                <w:b/>
                <w:bCs/>
                <w:szCs w:val="21"/>
              </w:rPr>
            </w:pPr>
          </w:p>
        </w:tc>
        <w:tc>
          <w:tcPr>
            <w:tcW w:w="480" w:type="pct"/>
            <w:tcBorders>
              <w:top w:val="single" w:color="auto" w:sz="4" w:space="0"/>
              <w:left w:val="single" w:color="auto" w:sz="4" w:space="0"/>
              <w:bottom w:val="single" w:color="auto" w:sz="4" w:space="0"/>
              <w:right w:val="single" w:color="auto" w:sz="4" w:space="0"/>
            </w:tcBorders>
            <w:vAlign w:val="center"/>
          </w:tcPr>
          <w:p w14:paraId="7A4CF24C">
            <w:pPr>
              <w:adjustRightInd w:val="0"/>
              <w:snapToGrid w:val="0"/>
              <w:spacing w:line="360" w:lineRule="auto"/>
              <w:jc w:val="center"/>
              <w:rPr>
                <w:rFonts w:hint="eastAsia" w:ascii="宋体" w:hAnsi="宋体" w:eastAsia="宋体" w:cs="宋体"/>
                <w:b/>
                <w:bCs/>
                <w:szCs w:val="21"/>
              </w:rPr>
            </w:pPr>
          </w:p>
        </w:tc>
        <w:tc>
          <w:tcPr>
            <w:tcW w:w="528" w:type="pct"/>
            <w:tcBorders>
              <w:top w:val="single" w:color="auto" w:sz="4" w:space="0"/>
              <w:left w:val="single" w:color="auto" w:sz="4" w:space="0"/>
              <w:bottom w:val="single" w:color="auto" w:sz="4" w:space="0"/>
              <w:right w:val="single" w:color="auto" w:sz="4" w:space="0"/>
            </w:tcBorders>
            <w:vAlign w:val="center"/>
          </w:tcPr>
          <w:p w14:paraId="74F851DB">
            <w:pPr>
              <w:adjustRightInd w:val="0"/>
              <w:snapToGrid w:val="0"/>
              <w:spacing w:line="360" w:lineRule="auto"/>
              <w:jc w:val="center"/>
              <w:rPr>
                <w:rFonts w:hint="eastAsia" w:ascii="宋体" w:hAnsi="宋体" w:eastAsia="宋体" w:cs="宋体"/>
                <w:b/>
                <w:bCs/>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75692F53">
            <w:pPr>
              <w:adjustRightInd w:val="0"/>
              <w:snapToGrid w:val="0"/>
              <w:spacing w:line="360" w:lineRule="auto"/>
              <w:jc w:val="center"/>
              <w:rPr>
                <w:rFonts w:hint="eastAsia" w:ascii="宋体" w:hAnsi="宋体" w:eastAsia="宋体" w:cs="宋体"/>
                <w:b/>
                <w:bCs/>
                <w:szCs w:val="21"/>
              </w:rPr>
            </w:pPr>
          </w:p>
        </w:tc>
      </w:tr>
      <w:tr w14:paraId="7FDD8D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1EA37573">
            <w:pPr>
              <w:adjustRightInd w:val="0"/>
              <w:snapToGrid w:val="0"/>
              <w:spacing w:line="360" w:lineRule="auto"/>
              <w:jc w:val="left"/>
              <w:rPr>
                <w:rFonts w:hint="eastAsia" w:ascii="宋体" w:hAnsi="宋体" w:eastAsia="宋体" w:cs="宋体"/>
                <w:b/>
                <w:bCs/>
                <w:szCs w:val="21"/>
              </w:rPr>
            </w:pPr>
            <w:r>
              <w:rPr>
                <w:rFonts w:hint="eastAsia" w:ascii="宋体" w:hAnsi="宋体" w:eastAsia="宋体" w:cs="宋体"/>
                <w:b/>
                <w:bCs/>
                <w:szCs w:val="21"/>
              </w:rPr>
              <w:t>★以下（分包单位）承担的部分：</w:t>
            </w:r>
          </w:p>
        </w:tc>
      </w:tr>
      <w:tr w14:paraId="5EE552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71866CFA">
            <w:pPr>
              <w:adjustRightInd w:val="0"/>
              <w:snapToGrid w:val="0"/>
              <w:spacing w:line="360" w:lineRule="auto"/>
              <w:jc w:val="center"/>
              <w:rPr>
                <w:rFonts w:hint="eastAsia" w:ascii="宋体" w:hAnsi="宋体" w:eastAsia="宋体" w:cs="宋体"/>
                <w:b/>
                <w:bCs/>
                <w:szCs w:val="21"/>
              </w:rPr>
            </w:pP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4D0F9474">
            <w:pPr>
              <w:adjustRightInd w:val="0"/>
              <w:snapToGrid w:val="0"/>
              <w:spacing w:line="360" w:lineRule="auto"/>
              <w:jc w:val="center"/>
              <w:rPr>
                <w:rFonts w:hint="eastAsia" w:ascii="宋体" w:hAnsi="宋体" w:eastAsia="宋体" w:cs="宋体"/>
                <w:b/>
                <w:bCs/>
                <w:szCs w:val="21"/>
              </w:rPr>
            </w:pP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69BEF3B0">
            <w:pPr>
              <w:adjustRightInd w:val="0"/>
              <w:snapToGrid w:val="0"/>
              <w:spacing w:line="360" w:lineRule="auto"/>
              <w:jc w:val="center"/>
              <w:rPr>
                <w:rFonts w:hint="eastAsia" w:ascii="宋体" w:hAnsi="宋体" w:eastAsia="宋体" w:cs="宋体"/>
                <w:b/>
                <w:bCs/>
                <w:szCs w:val="21"/>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5D97A710">
            <w:pPr>
              <w:adjustRightInd w:val="0"/>
              <w:snapToGrid w:val="0"/>
              <w:spacing w:line="360" w:lineRule="auto"/>
              <w:jc w:val="center"/>
              <w:rPr>
                <w:rFonts w:hint="eastAsia" w:ascii="宋体" w:hAnsi="宋体" w:eastAsia="宋体" w:cs="宋体"/>
                <w:b/>
                <w:bCs/>
                <w:szCs w:val="21"/>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1DF101E2">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41E1F240">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14174F1A">
            <w:pPr>
              <w:adjustRightInd w:val="0"/>
              <w:snapToGrid w:val="0"/>
              <w:spacing w:line="360" w:lineRule="auto"/>
              <w:jc w:val="center"/>
              <w:rPr>
                <w:rFonts w:hint="eastAsia" w:ascii="宋体" w:hAnsi="宋体" w:eastAsia="宋体" w:cs="宋体"/>
                <w:b/>
                <w:bCs/>
                <w:szCs w:val="21"/>
              </w:rPr>
            </w:pPr>
          </w:p>
        </w:tc>
        <w:tc>
          <w:tcPr>
            <w:tcW w:w="480" w:type="pct"/>
            <w:tcBorders>
              <w:top w:val="single" w:color="auto" w:sz="4" w:space="0"/>
              <w:left w:val="single" w:color="auto" w:sz="4" w:space="0"/>
              <w:bottom w:val="single" w:color="auto" w:sz="4" w:space="0"/>
              <w:right w:val="single" w:color="auto" w:sz="4" w:space="0"/>
            </w:tcBorders>
            <w:vAlign w:val="center"/>
          </w:tcPr>
          <w:p w14:paraId="5D4267B8">
            <w:pPr>
              <w:adjustRightInd w:val="0"/>
              <w:snapToGrid w:val="0"/>
              <w:spacing w:line="360" w:lineRule="auto"/>
              <w:jc w:val="center"/>
              <w:rPr>
                <w:rFonts w:hint="eastAsia" w:ascii="宋体" w:hAnsi="宋体" w:eastAsia="宋体" w:cs="宋体"/>
                <w:b/>
                <w:bCs/>
                <w:szCs w:val="21"/>
              </w:rPr>
            </w:pPr>
          </w:p>
        </w:tc>
        <w:tc>
          <w:tcPr>
            <w:tcW w:w="528" w:type="pct"/>
            <w:tcBorders>
              <w:top w:val="single" w:color="auto" w:sz="4" w:space="0"/>
              <w:left w:val="single" w:color="auto" w:sz="4" w:space="0"/>
              <w:bottom w:val="single" w:color="auto" w:sz="4" w:space="0"/>
              <w:right w:val="single" w:color="auto" w:sz="4" w:space="0"/>
            </w:tcBorders>
            <w:vAlign w:val="center"/>
          </w:tcPr>
          <w:p w14:paraId="5791DE6D">
            <w:pPr>
              <w:adjustRightInd w:val="0"/>
              <w:snapToGrid w:val="0"/>
              <w:spacing w:line="360" w:lineRule="auto"/>
              <w:jc w:val="center"/>
              <w:rPr>
                <w:rFonts w:hint="eastAsia" w:ascii="宋体" w:hAnsi="宋体" w:eastAsia="宋体" w:cs="宋体"/>
                <w:b/>
                <w:bCs/>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120EDA9C">
            <w:pPr>
              <w:adjustRightInd w:val="0"/>
              <w:snapToGrid w:val="0"/>
              <w:spacing w:line="360" w:lineRule="auto"/>
              <w:jc w:val="center"/>
              <w:rPr>
                <w:rFonts w:hint="eastAsia" w:ascii="宋体" w:hAnsi="宋体" w:eastAsia="宋体" w:cs="宋体"/>
                <w:b/>
                <w:bCs/>
                <w:szCs w:val="21"/>
              </w:rPr>
            </w:pPr>
          </w:p>
        </w:tc>
      </w:tr>
      <w:tr w14:paraId="22752F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1E985C45">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投标总价（人民币元）</w:t>
            </w:r>
          </w:p>
          <w:p w14:paraId="561884C7">
            <w:pPr>
              <w:adjustRightInd w:val="0"/>
              <w:snapToGrid w:val="0"/>
              <w:spacing w:line="288" w:lineRule="auto"/>
              <w:rPr>
                <w:rFonts w:hint="eastAsia" w:ascii="宋体" w:hAnsi="宋体" w:eastAsia="宋体" w:cs="宋体"/>
                <w:b/>
                <w:bCs/>
                <w:szCs w:val="21"/>
              </w:rPr>
            </w:pPr>
          </w:p>
          <w:p w14:paraId="05AAAB9A">
            <w:pPr>
              <w:adjustRightInd w:val="0"/>
              <w:snapToGrid w:val="0"/>
              <w:spacing w:line="288" w:lineRule="auto"/>
              <w:rPr>
                <w:rFonts w:hint="eastAsia" w:ascii="宋体" w:hAnsi="宋体" w:eastAsia="宋体" w:cs="宋体"/>
                <w:b/>
                <w:bCs/>
                <w:szCs w:val="21"/>
              </w:rPr>
            </w:pPr>
            <w:r>
              <w:rPr>
                <w:rFonts w:hint="eastAsia" w:ascii="宋体" w:hAnsi="宋体" w:eastAsia="宋体" w:cs="宋体"/>
                <w:b/>
                <w:bCs/>
                <w:szCs w:val="21"/>
              </w:rPr>
              <w:t>小写：_________________________</w:t>
            </w:r>
          </w:p>
          <w:p w14:paraId="7F85D63C">
            <w:pPr>
              <w:adjustRightInd w:val="0"/>
              <w:snapToGrid w:val="0"/>
              <w:spacing w:line="288" w:lineRule="auto"/>
              <w:rPr>
                <w:rFonts w:hint="eastAsia" w:ascii="宋体" w:hAnsi="宋体" w:eastAsia="宋体" w:cs="宋体"/>
                <w:b/>
                <w:bCs/>
                <w:szCs w:val="21"/>
              </w:rPr>
            </w:pPr>
          </w:p>
          <w:p w14:paraId="4C78AAD7">
            <w:pPr>
              <w:adjustRightInd w:val="0"/>
              <w:snapToGrid w:val="0"/>
              <w:spacing w:line="288" w:lineRule="auto"/>
              <w:rPr>
                <w:rFonts w:hint="eastAsia" w:ascii="宋体" w:hAnsi="宋体" w:eastAsia="宋体" w:cs="宋体"/>
                <w:b/>
                <w:bCs/>
                <w:szCs w:val="21"/>
              </w:rPr>
            </w:pPr>
            <w:r>
              <w:rPr>
                <w:rFonts w:hint="eastAsia" w:ascii="宋体" w:hAnsi="宋体" w:eastAsia="宋体" w:cs="宋体"/>
                <w:b/>
                <w:bCs/>
                <w:szCs w:val="21"/>
              </w:rPr>
              <w:t>大写：_________________________</w:t>
            </w:r>
          </w:p>
          <w:p w14:paraId="4C3EDB70">
            <w:pPr>
              <w:adjustRightInd w:val="0"/>
              <w:snapToGrid w:val="0"/>
              <w:spacing w:line="288" w:lineRule="auto"/>
              <w:rPr>
                <w:rFonts w:hint="eastAsia" w:ascii="宋体" w:hAnsi="宋体" w:eastAsia="宋体" w:cs="宋体"/>
                <w:b/>
                <w:bCs/>
                <w:szCs w:val="21"/>
              </w:rPr>
            </w:pPr>
          </w:p>
        </w:tc>
      </w:tr>
    </w:tbl>
    <w:p w14:paraId="04B1FCF4">
      <w:pPr>
        <w:adjustRightInd w:val="0"/>
        <w:snapToGrid w:val="0"/>
        <w:spacing w:line="288" w:lineRule="auto"/>
        <w:rPr>
          <w:rFonts w:hint="eastAsia" w:ascii="宋体" w:hAnsi="宋体" w:eastAsia="宋体" w:cs="Times New Roman"/>
          <w:spacing w:val="-6"/>
          <w:szCs w:val="21"/>
        </w:rPr>
      </w:pPr>
    </w:p>
    <w:p w14:paraId="3B41C39B">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说明：</w:t>
      </w:r>
    </w:p>
    <w:p w14:paraId="64F9D62A">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1.开标一览表应按照本招标文件“第三章 投标人须知”关于“投标报价”的规定填写；</w:t>
      </w:r>
    </w:p>
    <w:p w14:paraId="5F9A06B0">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★2.联合体其他成员承担的部分、分包单位承担的部分，应在表中列明。</w:t>
      </w:r>
    </w:p>
    <w:p w14:paraId="32FF6A53">
      <w:pPr>
        <w:adjustRightInd w:val="0"/>
        <w:snapToGrid w:val="0"/>
        <w:spacing w:line="288" w:lineRule="auto"/>
        <w:rPr>
          <w:rFonts w:hint="eastAsia" w:ascii="宋体" w:hAnsi="宋体" w:eastAsia="宋体" w:cs="宋体"/>
          <w:b/>
          <w:bCs/>
          <w:szCs w:val="21"/>
        </w:rPr>
      </w:pPr>
      <w:r>
        <w:rPr>
          <w:rFonts w:ascii="宋体" w:hAnsi="宋体" w:eastAsia="宋体" w:cs="Times New Roman"/>
          <w:b/>
          <w:bCs/>
          <w:spacing w:val="-6"/>
          <w:szCs w:val="21"/>
        </w:rPr>
        <w:t>▲</w:t>
      </w:r>
      <w:r>
        <w:rPr>
          <w:rFonts w:hint="eastAsia" w:ascii="宋体" w:hAnsi="宋体" w:eastAsia="宋体" w:cs="宋体"/>
          <w:b/>
          <w:bCs/>
          <w:szCs w:val="21"/>
        </w:rPr>
        <w:t>3.单价不得超过采购需求中规定的单价最高限价，总价不得超过采购需求中规定预算金额。</w:t>
      </w:r>
    </w:p>
    <w:p w14:paraId="0B9ECA92">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4.后附组成明细表。</w:t>
      </w:r>
    </w:p>
    <w:p w14:paraId="65CE0367">
      <w:pPr>
        <w:adjustRightInd w:val="0"/>
        <w:snapToGrid w:val="0"/>
        <w:spacing w:line="288" w:lineRule="auto"/>
        <w:rPr>
          <w:rFonts w:hint="eastAsia" w:ascii="宋体" w:hAnsi="宋体" w:eastAsia="宋体" w:cs="Times New Roman"/>
          <w:szCs w:val="21"/>
        </w:rPr>
      </w:pPr>
    </w:p>
    <w:p w14:paraId="2B656162">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14:paraId="6B55B3B5">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日期：     年   月   日</w:t>
      </w:r>
    </w:p>
    <w:p w14:paraId="51DC0F0E">
      <w:pPr>
        <w:rPr>
          <w:rFonts w:hint="eastAsia" w:ascii="宋体" w:hAnsi="宋体" w:eastAsia="宋体" w:cs="Times New Roman"/>
          <w:b/>
          <w:bCs/>
          <w:spacing w:val="-6"/>
          <w:szCs w:val="21"/>
        </w:rPr>
      </w:pPr>
      <w:r>
        <w:rPr>
          <w:rFonts w:hint="eastAsia" w:ascii="宋体" w:hAnsi="宋体" w:eastAsia="宋体" w:cs="Times New Roman"/>
          <w:b/>
          <w:bCs/>
          <w:spacing w:val="-6"/>
          <w:szCs w:val="21"/>
        </w:rPr>
        <w:br w:type="page"/>
      </w:r>
    </w:p>
    <w:p w14:paraId="023A5FEF">
      <w:pPr>
        <w:adjustRightInd w:val="0"/>
        <w:snapToGrid w:val="0"/>
        <w:spacing w:line="288" w:lineRule="auto"/>
        <w:rPr>
          <w:rFonts w:hint="eastAsia" w:ascii="宋体" w:hAnsi="宋体" w:eastAsia="宋体" w:cs="Times New Roman"/>
          <w:b/>
          <w:bCs/>
          <w:spacing w:val="-6"/>
          <w:szCs w:val="21"/>
        </w:rPr>
      </w:pPr>
    </w:p>
    <w:p w14:paraId="147F111E">
      <w:pPr>
        <w:adjustRightInd w:val="0"/>
        <w:snapToGrid w:val="0"/>
        <w:spacing w:line="288" w:lineRule="auto"/>
        <w:rPr>
          <w:rFonts w:ascii="Times New Roman" w:hAnsi="Times New Roman" w:cs="Times New Roman"/>
          <w:spacing w:val="-6"/>
          <w:szCs w:val="21"/>
        </w:rPr>
      </w:pPr>
      <w:r>
        <w:rPr>
          <w:rFonts w:ascii="Times New Roman" w:hAnsi="Times New Roman" w:cs="Times New Roman"/>
          <w:spacing w:val="-6"/>
          <w:szCs w:val="21"/>
        </w:rPr>
        <w:t>附1：超模态行为洞察平台组成明细表</w:t>
      </w:r>
    </w:p>
    <w:tbl>
      <w:tblPr>
        <w:tblStyle w:val="23"/>
        <w:tblW w:w="4993"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37"/>
        <w:gridCol w:w="1856"/>
        <w:gridCol w:w="1352"/>
        <w:gridCol w:w="1275"/>
        <w:gridCol w:w="948"/>
        <w:gridCol w:w="592"/>
        <w:gridCol w:w="592"/>
        <w:gridCol w:w="1027"/>
        <w:gridCol w:w="1136"/>
      </w:tblGrid>
      <w:tr w14:paraId="17706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69C075B4">
            <w:pPr>
              <w:adjustRightInd w:val="0"/>
              <w:jc w:val="center"/>
              <w:rPr>
                <w:rFonts w:ascii="Times New Roman" w:hAnsi="Times New Roman" w:cs="Times New Roman"/>
                <w:szCs w:val="21"/>
              </w:rPr>
            </w:pPr>
            <w:r>
              <w:rPr>
                <w:rFonts w:ascii="Times New Roman" w:hAnsi="Times New Roman" w:cs="Times New Roman"/>
                <w:spacing w:val="-6"/>
                <w:szCs w:val="21"/>
              </w:rPr>
              <w:t>超模态行为洞察平台组成明细表</w:t>
            </w:r>
          </w:p>
        </w:tc>
      </w:tr>
      <w:tr w14:paraId="357A0A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4E530AF6">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序号</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14:paraId="62D87155">
            <w:pPr>
              <w:adjustRightInd w:val="0"/>
              <w:jc w:val="center"/>
              <w:rPr>
                <w:rFonts w:ascii="Times New Roman" w:hAnsi="Times New Roman" w:cs="Times New Roman"/>
                <w:szCs w:val="21"/>
              </w:rPr>
            </w:pPr>
            <w:r>
              <w:rPr>
                <w:rFonts w:ascii="Times New Roman" w:hAnsi="Times New Roman" w:cs="Times New Roman"/>
                <w:szCs w:val="21"/>
              </w:rPr>
              <w:t>名称</w:t>
            </w:r>
          </w:p>
        </w:tc>
        <w:tc>
          <w:tcPr>
            <w:tcW w:w="703" w:type="pct"/>
            <w:tcBorders>
              <w:top w:val="single" w:color="auto" w:sz="4" w:space="0"/>
              <w:left w:val="single" w:color="auto" w:sz="4" w:space="0"/>
              <w:bottom w:val="single" w:color="auto" w:sz="4" w:space="0"/>
              <w:right w:val="single" w:color="auto" w:sz="4" w:space="0"/>
            </w:tcBorders>
            <w:shd w:val="clear" w:color="auto" w:fill="FFFFFF"/>
            <w:vAlign w:val="center"/>
          </w:tcPr>
          <w:p w14:paraId="2480AE49">
            <w:pPr>
              <w:adjustRightInd w:val="0"/>
              <w:jc w:val="center"/>
              <w:rPr>
                <w:rFonts w:ascii="Times New Roman" w:hAnsi="Times New Roman" w:cs="Times New Roman"/>
                <w:szCs w:val="21"/>
              </w:rPr>
            </w:pPr>
            <w:r>
              <w:rPr>
                <w:rFonts w:ascii="Times New Roman" w:hAnsi="Times New Roman" w:cs="Times New Roman"/>
                <w:szCs w:val="21"/>
              </w:rPr>
              <w:t>品牌</w:t>
            </w:r>
          </w:p>
        </w:tc>
        <w:tc>
          <w:tcPr>
            <w:tcW w:w="663" w:type="pct"/>
            <w:tcBorders>
              <w:top w:val="single" w:color="auto" w:sz="4" w:space="0"/>
              <w:left w:val="single" w:color="auto" w:sz="4" w:space="0"/>
              <w:bottom w:val="single" w:color="auto" w:sz="4" w:space="0"/>
              <w:right w:val="single" w:color="auto" w:sz="4" w:space="0"/>
            </w:tcBorders>
            <w:shd w:val="clear" w:color="auto" w:fill="FFFFFF"/>
            <w:vAlign w:val="center"/>
          </w:tcPr>
          <w:p w14:paraId="77AAE947">
            <w:pPr>
              <w:adjustRightInd w:val="0"/>
              <w:jc w:val="center"/>
              <w:rPr>
                <w:rFonts w:ascii="Times New Roman" w:hAnsi="Times New Roman" w:cs="Times New Roman"/>
                <w:szCs w:val="21"/>
              </w:rPr>
            </w:pPr>
            <w:r>
              <w:rPr>
                <w:rFonts w:ascii="Times New Roman" w:hAnsi="Times New Roman" w:cs="Times New Roman"/>
                <w:szCs w:val="21"/>
              </w:rPr>
              <w:t>规格型号</w:t>
            </w:r>
          </w:p>
        </w:tc>
        <w:tc>
          <w:tcPr>
            <w:tcW w:w="493" w:type="pct"/>
            <w:tcBorders>
              <w:top w:val="single" w:color="auto" w:sz="4" w:space="0"/>
              <w:left w:val="single" w:color="auto" w:sz="4" w:space="0"/>
              <w:bottom w:val="single" w:color="auto" w:sz="4" w:space="0"/>
              <w:right w:val="single" w:color="auto" w:sz="4" w:space="0"/>
            </w:tcBorders>
            <w:shd w:val="clear" w:color="auto" w:fill="FFFFFF"/>
            <w:vAlign w:val="center"/>
          </w:tcPr>
          <w:p w14:paraId="72C442EC">
            <w:pPr>
              <w:adjustRightInd w:val="0"/>
              <w:jc w:val="center"/>
              <w:rPr>
                <w:rFonts w:ascii="Times New Roman" w:hAnsi="Times New Roman" w:cs="Times New Roman"/>
                <w:szCs w:val="21"/>
              </w:rPr>
            </w:pPr>
            <w:r>
              <w:rPr>
                <w:rFonts w:ascii="Times New Roman" w:hAnsi="Times New Roman" w:cs="Times New Roman"/>
                <w:szCs w:val="21"/>
              </w:rPr>
              <w:t>产地</w:t>
            </w:r>
          </w:p>
        </w:tc>
        <w:tc>
          <w:tcPr>
            <w:tcW w:w="308" w:type="pct"/>
            <w:tcBorders>
              <w:top w:val="single" w:color="auto" w:sz="4" w:space="0"/>
              <w:left w:val="single" w:color="auto" w:sz="4" w:space="0"/>
              <w:bottom w:val="single" w:color="auto" w:sz="4" w:space="0"/>
              <w:right w:val="single" w:color="auto" w:sz="4" w:space="0"/>
            </w:tcBorders>
            <w:shd w:val="clear" w:color="auto" w:fill="FFFFFF"/>
            <w:vAlign w:val="center"/>
          </w:tcPr>
          <w:p w14:paraId="6E485AEE">
            <w:pPr>
              <w:adjustRightInd w:val="0"/>
              <w:jc w:val="center"/>
              <w:rPr>
                <w:rFonts w:ascii="Times New Roman" w:hAnsi="Times New Roman" w:cs="Times New Roman"/>
                <w:szCs w:val="21"/>
              </w:rPr>
            </w:pPr>
            <w:r>
              <w:rPr>
                <w:rFonts w:ascii="Times New Roman" w:hAnsi="Times New Roman" w:cs="Times New Roman"/>
                <w:szCs w:val="21"/>
              </w:rPr>
              <w:t>单位</w:t>
            </w:r>
          </w:p>
        </w:tc>
        <w:tc>
          <w:tcPr>
            <w:tcW w:w="308" w:type="pct"/>
            <w:tcBorders>
              <w:top w:val="single" w:color="auto" w:sz="4" w:space="0"/>
              <w:left w:val="single" w:color="auto" w:sz="4" w:space="0"/>
              <w:bottom w:val="single" w:color="auto" w:sz="4" w:space="0"/>
              <w:right w:val="single" w:color="auto" w:sz="4" w:space="0"/>
            </w:tcBorders>
            <w:shd w:val="clear" w:color="auto" w:fill="FFFFFF"/>
            <w:vAlign w:val="center"/>
          </w:tcPr>
          <w:p w14:paraId="68D55EC2">
            <w:pPr>
              <w:adjustRightInd w:val="0"/>
              <w:jc w:val="center"/>
              <w:rPr>
                <w:rFonts w:ascii="Times New Roman" w:hAnsi="Times New Roman" w:cs="Times New Roman"/>
                <w:szCs w:val="21"/>
              </w:rPr>
            </w:pPr>
            <w:r>
              <w:rPr>
                <w:rFonts w:ascii="Times New Roman" w:hAnsi="Times New Roman" w:cs="Times New Roman"/>
                <w:szCs w:val="21"/>
              </w:rPr>
              <w:t>数量</w:t>
            </w:r>
          </w:p>
        </w:tc>
        <w:tc>
          <w:tcPr>
            <w:tcW w:w="534" w:type="pct"/>
            <w:tcBorders>
              <w:top w:val="single" w:color="auto" w:sz="4" w:space="0"/>
              <w:left w:val="single" w:color="auto" w:sz="4" w:space="0"/>
              <w:bottom w:val="single" w:color="auto" w:sz="4" w:space="0"/>
              <w:right w:val="single" w:color="auto" w:sz="4" w:space="0"/>
            </w:tcBorders>
            <w:vAlign w:val="center"/>
          </w:tcPr>
          <w:p w14:paraId="5CA133E2">
            <w:pPr>
              <w:adjustRightInd w:val="0"/>
              <w:jc w:val="center"/>
              <w:rPr>
                <w:rFonts w:ascii="Times New Roman" w:hAnsi="Times New Roman" w:cs="Times New Roman"/>
                <w:szCs w:val="21"/>
              </w:rPr>
            </w:pPr>
            <w:r>
              <w:rPr>
                <w:rFonts w:ascii="Times New Roman" w:hAnsi="Times New Roman" w:cs="Times New Roman"/>
                <w:szCs w:val="21"/>
              </w:rPr>
              <w:t>单价</w:t>
            </w:r>
          </w:p>
        </w:tc>
        <w:tc>
          <w:tcPr>
            <w:tcW w:w="591" w:type="pct"/>
            <w:tcBorders>
              <w:top w:val="single" w:color="auto" w:sz="4" w:space="0"/>
              <w:left w:val="single" w:color="auto" w:sz="4" w:space="0"/>
              <w:bottom w:val="single" w:color="auto" w:sz="4" w:space="0"/>
              <w:right w:val="single" w:color="auto" w:sz="4" w:space="0"/>
            </w:tcBorders>
            <w:vAlign w:val="center"/>
          </w:tcPr>
          <w:p w14:paraId="2F504529">
            <w:pPr>
              <w:adjustRightInd w:val="0"/>
              <w:jc w:val="center"/>
              <w:rPr>
                <w:rFonts w:ascii="Times New Roman" w:hAnsi="Times New Roman" w:cs="Times New Roman"/>
                <w:szCs w:val="21"/>
              </w:rPr>
            </w:pPr>
            <w:r>
              <w:rPr>
                <w:rFonts w:ascii="Times New Roman" w:hAnsi="Times New Roman" w:cs="Times New Roman"/>
                <w:szCs w:val="21"/>
              </w:rPr>
              <w:t>金额（人民币元）</w:t>
            </w:r>
          </w:p>
        </w:tc>
      </w:tr>
      <w:tr w14:paraId="2C38DC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25F13A06">
            <w:pPr>
              <w:adjustRightInd w:val="0"/>
              <w:snapToGrid w:val="0"/>
              <w:jc w:val="center"/>
              <w:rPr>
                <w:rFonts w:ascii="Times New Roman" w:hAnsi="Times New Roman" w:cs="Times New Roman"/>
                <w:szCs w:val="21"/>
              </w:rPr>
            </w:pPr>
            <w:r>
              <w:rPr>
                <w:rFonts w:ascii="Times New Roman" w:hAnsi="Times New Roman" w:cs="Times New Roman"/>
                <w:szCs w:val="21"/>
              </w:rPr>
              <w:t>（1）</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14:paraId="324BBF23">
            <w:pPr>
              <w:adjustRightInd w:val="0"/>
              <w:jc w:val="center"/>
              <w:rPr>
                <w:rFonts w:ascii="Times New Roman" w:hAnsi="Times New Roman" w:cs="Times New Roman"/>
                <w:szCs w:val="21"/>
              </w:rPr>
            </w:pPr>
            <w:r>
              <w:rPr>
                <w:rFonts w:ascii="Times New Roman" w:hAnsi="Times New Roman" w:cs="Times New Roman"/>
                <w:szCs w:val="21"/>
              </w:rPr>
              <w:t>超模态行为洞察平台</w:t>
            </w:r>
          </w:p>
        </w:tc>
        <w:tc>
          <w:tcPr>
            <w:tcW w:w="703" w:type="pct"/>
            <w:tcBorders>
              <w:top w:val="single" w:color="auto" w:sz="4" w:space="0"/>
              <w:left w:val="single" w:color="auto" w:sz="4" w:space="0"/>
              <w:bottom w:val="single" w:color="auto" w:sz="4" w:space="0"/>
              <w:right w:val="single" w:color="auto" w:sz="4" w:space="0"/>
            </w:tcBorders>
            <w:shd w:val="clear" w:color="auto" w:fill="FFFFFF"/>
            <w:vAlign w:val="center"/>
          </w:tcPr>
          <w:p w14:paraId="1EF07C15">
            <w:pPr>
              <w:adjustRightInd w:val="0"/>
              <w:jc w:val="center"/>
              <w:rPr>
                <w:rFonts w:ascii="Times New Roman" w:hAnsi="Times New Roman" w:cs="Times New Roman"/>
                <w:szCs w:val="21"/>
              </w:rPr>
            </w:pPr>
          </w:p>
        </w:tc>
        <w:tc>
          <w:tcPr>
            <w:tcW w:w="663" w:type="pct"/>
            <w:tcBorders>
              <w:top w:val="single" w:color="auto" w:sz="4" w:space="0"/>
              <w:left w:val="single" w:color="auto" w:sz="4" w:space="0"/>
              <w:bottom w:val="single" w:color="auto" w:sz="4" w:space="0"/>
              <w:right w:val="single" w:color="auto" w:sz="4" w:space="0"/>
            </w:tcBorders>
            <w:shd w:val="clear" w:color="auto" w:fill="FFFFFF"/>
            <w:vAlign w:val="center"/>
          </w:tcPr>
          <w:p w14:paraId="0AD4E75B">
            <w:pPr>
              <w:adjustRightInd w:val="0"/>
              <w:jc w:val="center"/>
              <w:rPr>
                <w:rFonts w:ascii="Times New Roman" w:hAnsi="Times New Roman" w:cs="Times New Roman"/>
                <w:szCs w:val="21"/>
              </w:rPr>
            </w:pPr>
          </w:p>
        </w:tc>
        <w:tc>
          <w:tcPr>
            <w:tcW w:w="493" w:type="pct"/>
            <w:tcBorders>
              <w:top w:val="single" w:color="auto" w:sz="4" w:space="0"/>
              <w:left w:val="single" w:color="auto" w:sz="4" w:space="0"/>
              <w:bottom w:val="single" w:color="auto" w:sz="4" w:space="0"/>
              <w:right w:val="single" w:color="auto" w:sz="4" w:space="0"/>
            </w:tcBorders>
            <w:shd w:val="clear" w:color="auto" w:fill="FFFFFF"/>
            <w:vAlign w:val="center"/>
          </w:tcPr>
          <w:p w14:paraId="24BC4A9A">
            <w:pPr>
              <w:adjustRightInd w:val="0"/>
              <w:jc w:val="center"/>
              <w:rPr>
                <w:rFonts w:ascii="Times New Roman" w:hAnsi="Times New Roman" w:cs="Times New Roman"/>
                <w:szCs w:val="21"/>
              </w:rPr>
            </w:pPr>
          </w:p>
        </w:tc>
        <w:tc>
          <w:tcPr>
            <w:tcW w:w="308" w:type="pct"/>
            <w:tcBorders>
              <w:top w:val="single" w:color="auto" w:sz="4" w:space="0"/>
              <w:left w:val="single" w:color="auto" w:sz="4" w:space="0"/>
              <w:bottom w:val="single" w:color="auto" w:sz="4" w:space="0"/>
              <w:right w:val="single" w:color="auto" w:sz="4" w:space="0"/>
            </w:tcBorders>
            <w:shd w:val="clear" w:color="auto" w:fill="FFFFFF"/>
            <w:vAlign w:val="center"/>
          </w:tcPr>
          <w:p w14:paraId="6686C6CA">
            <w:pPr>
              <w:adjustRightInd w:val="0"/>
              <w:jc w:val="center"/>
              <w:rPr>
                <w:rFonts w:ascii="Times New Roman" w:hAnsi="Times New Roman" w:cs="Times New Roman"/>
                <w:szCs w:val="21"/>
              </w:rPr>
            </w:pPr>
            <w:r>
              <w:rPr>
                <w:rFonts w:ascii="Times New Roman" w:hAnsi="Times New Roman" w:cs="Times New Roman"/>
                <w:szCs w:val="21"/>
              </w:rPr>
              <w:t>套</w:t>
            </w:r>
          </w:p>
        </w:tc>
        <w:tc>
          <w:tcPr>
            <w:tcW w:w="308" w:type="pct"/>
            <w:tcBorders>
              <w:top w:val="single" w:color="auto" w:sz="4" w:space="0"/>
              <w:left w:val="single" w:color="auto" w:sz="4" w:space="0"/>
              <w:bottom w:val="single" w:color="auto" w:sz="4" w:space="0"/>
              <w:right w:val="single" w:color="auto" w:sz="4" w:space="0"/>
            </w:tcBorders>
            <w:shd w:val="clear" w:color="auto" w:fill="auto"/>
            <w:vAlign w:val="center"/>
          </w:tcPr>
          <w:p w14:paraId="5B853336">
            <w:pPr>
              <w:jc w:val="center"/>
              <w:textAlignment w:val="center"/>
              <w:rPr>
                <w:rFonts w:ascii="Times New Roman" w:hAnsi="Times New Roman" w:cs="Times New Roman"/>
                <w:szCs w:val="21"/>
              </w:rPr>
            </w:pPr>
            <w:r>
              <w:rPr>
                <w:rFonts w:ascii="Times New Roman" w:hAnsi="Times New Roman" w:cs="Times New Roman"/>
                <w:szCs w:val="21"/>
              </w:rPr>
              <w:t>1</w:t>
            </w:r>
          </w:p>
        </w:tc>
        <w:tc>
          <w:tcPr>
            <w:tcW w:w="534" w:type="pct"/>
            <w:tcBorders>
              <w:top w:val="single" w:color="auto" w:sz="4" w:space="0"/>
              <w:left w:val="single" w:color="auto" w:sz="4" w:space="0"/>
              <w:bottom w:val="single" w:color="auto" w:sz="4" w:space="0"/>
              <w:right w:val="single" w:color="auto" w:sz="4" w:space="0"/>
            </w:tcBorders>
            <w:vAlign w:val="center"/>
          </w:tcPr>
          <w:p w14:paraId="200A73D0">
            <w:pPr>
              <w:adjustRightInd w:val="0"/>
              <w:jc w:val="center"/>
              <w:rPr>
                <w:rFonts w:ascii="Times New Roman" w:hAnsi="Times New Roman" w:cs="Times New Roman"/>
                <w:szCs w:val="21"/>
              </w:rPr>
            </w:pPr>
          </w:p>
        </w:tc>
        <w:tc>
          <w:tcPr>
            <w:tcW w:w="591" w:type="pct"/>
            <w:tcBorders>
              <w:top w:val="single" w:color="auto" w:sz="4" w:space="0"/>
              <w:left w:val="single" w:color="auto" w:sz="4" w:space="0"/>
              <w:bottom w:val="single" w:color="auto" w:sz="4" w:space="0"/>
              <w:right w:val="single" w:color="auto" w:sz="4" w:space="0"/>
            </w:tcBorders>
            <w:vAlign w:val="center"/>
          </w:tcPr>
          <w:p w14:paraId="4C09BA32">
            <w:pPr>
              <w:adjustRightInd w:val="0"/>
              <w:jc w:val="center"/>
              <w:rPr>
                <w:rFonts w:ascii="Times New Roman" w:hAnsi="Times New Roman" w:cs="Times New Roman"/>
                <w:szCs w:val="21"/>
              </w:rPr>
            </w:pPr>
          </w:p>
        </w:tc>
      </w:tr>
      <w:tr w14:paraId="20E3F3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1C709151">
            <w:pPr>
              <w:adjustRightInd w:val="0"/>
              <w:snapToGrid w:val="0"/>
              <w:jc w:val="center"/>
              <w:rPr>
                <w:rFonts w:ascii="Times New Roman" w:hAnsi="Times New Roman" w:cs="Times New Roman"/>
                <w:szCs w:val="21"/>
              </w:rPr>
            </w:pPr>
            <w:r>
              <w:rPr>
                <w:rFonts w:ascii="Times New Roman" w:hAnsi="Times New Roman" w:cs="Times New Roman"/>
                <w:szCs w:val="21"/>
              </w:rPr>
              <w:t>（2）</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14:paraId="25839057">
            <w:pPr>
              <w:adjustRightInd w:val="0"/>
              <w:jc w:val="center"/>
              <w:rPr>
                <w:rFonts w:ascii="Times New Roman" w:hAnsi="Times New Roman" w:cs="Times New Roman"/>
                <w:szCs w:val="21"/>
              </w:rPr>
            </w:pPr>
            <w:r>
              <w:rPr>
                <w:rFonts w:ascii="Times New Roman" w:hAnsi="Times New Roman" w:cs="Times New Roman"/>
                <w:szCs w:val="21"/>
                <w:lang w:bidi="ar"/>
              </w:rPr>
              <w:t>专用数据分析主机</w:t>
            </w:r>
          </w:p>
        </w:tc>
        <w:tc>
          <w:tcPr>
            <w:tcW w:w="703" w:type="pct"/>
            <w:tcBorders>
              <w:top w:val="single" w:color="auto" w:sz="4" w:space="0"/>
              <w:left w:val="single" w:color="auto" w:sz="4" w:space="0"/>
              <w:bottom w:val="single" w:color="auto" w:sz="4" w:space="0"/>
              <w:right w:val="single" w:color="auto" w:sz="4" w:space="0"/>
            </w:tcBorders>
            <w:shd w:val="clear" w:color="auto" w:fill="FFFFFF"/>
            <w:vAlign w:val="center"/>
          </w:tcPr>
          <w:p w14:paraId="4345311F">
            <w:pPr>
              <w:adjustRightInd w:val="0"/>
              <w:jc w:val="center"/>
              <w:rPr>
                <w:rFonts w:ascii="Times New Roman" w:hAnsi="Times New Roman" w:cs="Times New Roman"/>
                <w:szCs w:val="21"/>
              </w:rPr>
            </w:pPr>
          </w:p>
        </w:tc>
        <w:tc>
          <w:tcPr>
            <w:tcW w:w="663" w:type="pct"/>
            <w:tcBorders>
              <w:top w:val="single" w:color="auto" w:sz="4" w:space="0"/>
              <w:left w:val="single" w:color="auto" w:sz="4" w:space="0"/>
              <w:bottom w:val="single" w:color="auto" w:sz="4" w:space="0"/>
              <w:right w:val="single" w:color="auto" w:sz="4" w:space="0"/>
            </w:tcBorders>
            <w:shd w:val="clear" w:color="auto" w:fill="FFFFFF"/>
            <w:vAlign w:val="center"/>
          </w:tcPr>
          <w:p w14:paraId="507A5218">
            <w:pPr>
              <w:adjustRightInd w:val="0"/>
              <w:jc w:val="center"/>
              <w:rPr>
                <w:rFonts w:ascii="Times New Roman" w:hAnsi="Times New Roman" w:cs="Times New Roman"/>
                <w:szCs w:val="21"/>
              </w:rPr>
            </w:pPr>
          </w:p>
        </w:tc>
        <w:tc>
          <w:tcPr>
            <w:tcW w:w="493" w:type="pct"/>
            <w:tcBorders>
              <w:top w:val="single" w:color="auto" w:sz="4" w:space="0"/>
              <w:left w:val="single" w:color="auto" w:sz="4" w:space="0"/>
              <w:bottom w:val="single" w:color="auto" w:sz="4" w:space="0"/>
              <w:right w:val="single" w:color="auto" w:sz="4" w:space="0"/>
            </w:tcBorders>
            <w:shd w:val="clear" w:color="auto" w:fill="FFFFFF"/>
            <w:vAlign w:val="center"/>
          </w:tcPr>
          <w:p w14:paraId="7FAC48C4">
            <w:pPr>
              <w:adjustRightInd w:val="0"/>
              <w:jc w:val="center"/>
              <w:rPr>
                <w:rFonts w:ascii="Times New Roman" w:hAnsi="Times New Roman" w:cs="Times New Roman"/>
                <w:szCs w:val="21"/>
              </w:rPr>
            </w:pPr>
          </w:p>
        </w:tc>
        <w:tc>
          <w:tcPr>
            <w:tcW w:w="308" w:type="pct"/>
            <w:tcBorders>
              <w:top w:val="single" w:color="auto" w:sz="4" w:space="0"/>
              <w:left w:val="single" w:color="auto" w:sz="4" w:space="0"/>
              <w:bottom w:val="single" w:color="auto" w:sz="4" w:space="0"/>
              <w:right w:val="single" w:color="auto" w:sz="4" w:space="0"/>
            </w:tcBorders>
            <w:shd w:val="clear" w:color="auto" w:fill="FFFFFF"/>
            <w:vAlign w:val="center"/>
          </w:tcPr>
          <w:p w14:paraId="0F70968B">
            <w:pPr>
              <w:adjustRightInd w:val="0"/>
              <w:jc w:val="center"/>
              <w:rPr>
                <w:rFonts w:ascii="Times New Roman" w:hAnsi="Times New Roman" w:cs="Times New Roman"/>
                <w:szCs w:val="21"/>
              </w:rPr>
            </w:pPr>
            <w:r>
              <w:rPr>
                <w:rFonts w:ascii="Times New Roman" w:hAnsi="Times New Roman" w:cs="Times New Roman"/>
                <w:szCs w:val="21"/>
              </w:rPr>
              <w:t>台</w:t>
            </w:r>
          </w:p>
        </w:tc>
        <w:tc>
          <w:tcPr>
            <w:tcW w:w="308" w:type="pct"/>
            <w:tcBorders>
              <w:top w:val="single" w:color="auto" w:sz="4" w:space="0"/>
              <w:left w:val="single" w:color="auto" w:sz="4" w:space="0"/>
              <w:bottom w:val="single" w:color="auto" w:sz="4" w:space="0"/>
              <w:right w:val="single" w:color="auto" w:sz="4" w:space="0"/>
            </w:tcBorders>
            <w:shd w:val="clear" w:color="auto" w:fill="auto"/>
            <w:vAlign w:val="center"/>
          </w:tcPr>
          <w:p w14:paraId="6D4C1867">
            <w:pPr>
              <w:jc w:val="center"/>
              <w:textAlignment w:val="center"/>
              <w:rPr>
                <w:rFonts w:ascii="Times New Roman" w:hAnsi="Times New Roman" w:cs="Times New Roman"/>
                <w:szCs w:val="21"/>
              </w:rPr>
            </w:pPr>
            <w:r>
              <w:rPr>
                <w:rFonts w:ascii="Times New Roman" w:hAnsi="Times New Roman" w:cs="Times New Roman"/>
                <w:szCs w:val="21"/>
              </w:rPr>
              <w:t>3</w:t>
            </w:r>
          </w:p>
        </w:tc>
        <w:tc>
          <w:tcPr>
            <w:tcW w:w="534" w:type="pct"/>
            <w:tcBorders>
              <w:top w:val="single" w:color="auto" w:sz="4" w:space="0"/>
              <w:left w:val="single" w:color="auto" w:sz="4" w:space="0"/>
              <w:bottom w:val="single" w:color="auto" w:sz="4" w:space="0"/>
              <w:right w:val="single" w:color="auto" w:sz="4" w:space="0"/>
            </w:tcBorders>
            <w:vAlign w:val="center"/>
          </w:tcPr>
          <w:p w14:paraId="1B511351">
            <w:pPr>
              <w:adjustRightInd w:val="0"/>
              <w:jc w:val="center"/>
              <w:rPr>
                <w:rFonts w:ascii="Times New Roman" w:hAnsi="Times New Roman" w:cs="Times New Roman"/>
                <w:szCs w:val="21"/>
              </w:rPr>
            </w:pPr>
          </w:p>
        </w:tc>
        <w:tc>
          <w:tcPr>
            <w:tcW w:w="591" w:type="pct"/>
            <w:tcBorders>
              <w:top w:val="single" w:color="auto" w:sz="4" w:space="0"/>
              <w:left w:val="single" w:color="auto" w:sz="4" w:space="0"/>
              <w:bottom w:val="single" w:color="auto" w:sz="4" w:space="0"/>
              <w:right w:val="single" w:color="auto" w:sz="4" w:space="0"/>
            </w:tcBorders>
            <w:vAlign w:val="center"/>
          </w:tcPr>
          <w:p w14:paraId="105ED37C">
            <w:pPr>
              <w:adjustRightInd w:val="0"/>
              <w:jc w:val="center"/>
              <w:rPr>
                <w:rFonts w:ascii="Times New Roman" w:hAnsi="Times New Roman" w:cs="Times New Roman"/>
                <w:szCs w:val="21"/>
              </w:rPr>
            </w:pPr>
          </w:p>
        </w:tc>
      </w:tr>
      <w:tr w14:paraId="074776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63FB52C1">
            <w:pPr>
              <w:adjustRightInd w:val="0"/>
              <w:snapToGrid w:val="0"/>
              <w:jc w:val="center"/>
              <w:rPr>
                <w:rFonts w:ascii="Times New Roman" w:hAnsi="Times New Roman" w:cs="Times New Roman"/>
                <w:szCs w:val="21"/>
              </w:rPr>
            </w:pPr>
            <w:r>
              <w:rPr>
                <w:rFonts w:ascii="Times New Roman" w:hAnsi="Times New Roman" w:cs="Times New Roman"/>
                <w:szCs w:val="21"/>
              </w:rPr>
              <w:t>（3）</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14:paraId="3BA2A382">
            <w:pPr>
              <w:adjustRightInd w:val="0"/>
              <w:jc w:val="center"/>
              <w:rPr>
                <w:rFonts w:ascii="Times New Roman" w:hAnsi="Times New Roman" w:cs="Times New Roman"/>
                <w:szCs w:val="21"/>
              </w:rPr>
            </w:pPr>
            <w:r>
              <w:rPr>
                <w:rFonts w:ascii="Times New Roman" w:hAnsi="Times New Roman" w:cs="Times New Roman"/>
                <w:szCs w:val="21"/>
                <w:lang w:bidi="ar"/>
              </w:rPr>
              <w:t>专用采集分析主机</w:t>
            </w:r>
          </w:p>
        </w:tc>
        <w:tc>
          <w:tcPr>
            <w:tcW w:w="703" w:type="pct"/>
            <w:tcBorders>
              <w:top w:val="single" w:color="auto" w:sz="4" w:space="0"/>
              <w:left w:val="single" w:color="auto" w:sz="4" w:space="0"/>
              <w:bottom w:val="single" w:color="auto" w:sz="4" w:space="0"/>
              <w:right w:val="single" w:color="auto" w:sz="4" w:space="0"/>
            </w:tcBorders>
            <w:shd w:val="clear" w:color="auto" w:fill="FFFFFF"/>
            <w:vAlign w:val="center"/>
          </w:tcPr>
          <w:p w14:paraId="6967938E">
            <w:pPr>
              <w:adjustRightInd w:val="0"/>
              <w:jc w:val="center"/>
              <w:rPr>
                <w:rFonts w:ascii="Times New Roman" w:hAnsi="Times New Roman" w:cs="Times New Roman"/>
                <w:szCs w:val="21"/>
              </w:rPr>
            </w:pPr>
          </w:p>
        </w:tc>
        <w:tc>
          <w:tcPr>
            <w:tcW w:w="663" w:type="pct"/>
            <w:tcBorders>
              <w:top w:val="single" w:color="auto" w:sz="4" w:space="0"/>
              <w:left w:val="single" w:color="auto" w:sz="4" w:space="0"/>
              <w:bottom w:val="single" w:color="auto" w:sz="4" w:space="0"/>
              <w:right w:val="single" w:color="auto" w:sz="4" w:space="0"/>
            </w:tcBorders>
            <w:shd w:val="clear" w:color="auto" w:fill="FFFFFF"/>
            <w:vAlign w:val="center"/>
          </w:tcPr>
          <w:p w14:paraId="4594ACEA">
            <w:pPr>
              <w:adjustRightInd w:val="0"/>
              <w:jc w:val="center"/>
              <w:rPr>
                <w:rFonts w:ascii="Times New Roman" w:hAnsi="Times New Roman" w:cs="Times New Roman"/>
                <w:szCs w:val="21"/>
              </w:rPr>
            </w:pPr>
          </w:p>
        </w:tc>
        <w:tc>
          <w:tcPr>
            <w:tcW w:w="493" w:type="pct"/>
            <w:tcBorders>
              <w:top w:val="single" w:color="auto" w:sz="4" w:space="0"/>
              <w:left w:val="single" w:color="auto" w:sz="4" w:space="0"/>
              <w:bottom w:val="single" w:color="auto" w:sz="4" w:space="0"/>
              <w:right w:val="single" w:color="auto" w:sz="4" w:space="0"/>
            </w:tcBorders>
            <w:shd w:val="clear" w:color="auto" w:fill="FFFFFF"/>
            <w:vAlign w:val="center"/>
          </w:tcPr>
          <w:p w14:paraId="73BA7049">
            <w:pPr>
              <w:adjustRightInd w:val="0"/>
              <w:jc w:val="center"/>
              <w:rPr>
                <w:rFonts w:ascii="Times New Roman" w:hAnsi="Times New Roman" w:cs="Times New Roman"/>
                <w:szCs w:val="21"/>
              </w:rPr>
            </w:pPr>
          </w:p>
        </w:tc>
        <w:tc>
          <w:tcPr>
            <w:tcW w:w="308" w:type="pct"/>
            <w:tcBorders>
              <w:top w:val="single" w:color="auto" w:sz="4" w:space="0"/>
              <w:left w:val="single" w:color="auto" w:sz="4" w:space="0"/>
              <w:bottom w:val="single" w:color="auto" w:sz="4" w:space="0"/>
              <w:right w:val="single" w:color="auto" w:sz="4" w:space="0"/>
            </w:tcBorders>
            <w:shd w:val="clear" w:color="auto" w:fill="FFFFFF"/>
            <w:vAlign w:val="center"/>
          </w:tcPr>
          <w:p w14:paraId="52729435">
            <w:pPr>
              <w:adjustRightInd w:val="0"/>
              <w:jc w:val="center"/>
              <w:rPr>
                <w:rFonts w:ascii="Times New Roman" w:hAnsi="Times New Roman" w:cs="Times New Roman"/>
                <w:szCs w:val="21"/>
              </w:rPr>
            </w:pPr>
            <w:r>
              <w:rPr>
                <w:rFonts w:ascii="Times New Roman" w:hAnsi="Times New Roman" w:cs="Times New Roman"/>
                <w:szCs w:val="21"/>
              </w:rPr>
              <w:t>台</w:t>
            </w:r>
          </w:p>
        </w:tc>
        <w:tc>
          <w:tcPr>
            <w:tcW w:w="308" w:type="pct"/>
            <w:tcBorders>
              <w:top w:val="single" w:color="auto" w:sz="4" w:space="0"/>
              <w:left w:val="single" w:color="auto" w:sz="4" w:space="0"/>
              <w:bottom w:val="single" w:color="auto" w:sz="4" w:space="0"/>
              <w:right w:val="single" w:color="auto" w:sz="4" w:space="0"/>
            </w:tcBorders>
            <w:shd w:val="clear" w:color="auto" w:fill="auto"/>
            <w:vAlign w:val="center"/>
          </w:tcPr>
          <w:p w14:paraId="10ACA07B">
            <w:pPr>
              <w:jc w:val="center"/>
              <w:textAlignment w:val="center"/>
              <w:rPr>
                <w:rFonts w:ascii="Times New Roman" w:hAnsi="Times New Roman" w:cs="Times New Roman"/>
                <w:szCs w:val="21"/>
              </w:rPr>
            </w:pPr>
            <w:r>
              <w:rPr>
                <w:rFonts w:ascii="Times New Roman" w:hAnsi="Times New Roman" w:cs="Times New Roman"/>
                <w:szCs w:val="21"/>
              </w:rPr>
              <w:t>1</w:t>
            </w:r>
          </w:p>
        </w:tc>
        <w:tc>
          <w:tcPr>
            <w:tcW w:w="534" w:type="pct"/>
            <w:tcBorders>
              <w:top w:val="single" w:color="auto" w:sz="4" w:space="0"/>
              <w:left w:val="single" w:color="auto" w:sz="4" w:space="0"/>
              <w:bottom w:val="single" w:color="auto" w:sz="4" w:space="0"/>
              <w:right w:val="single" w:color="auto" w:sz="4" w:space="0"/>
            </w:tcBorders>
            <w:vAlign w:val="center"/>
          </w:tcPr>
          <w:p w14:paraId="49953F63">
            <w:pPr>
              <w:adjustRightInd w:val="0"/>
              <w:jc w:val="center"/>
              <w:rPr>
                <w:rFonts w:ascii="Times New Roman" w:hAnsi="Times New Roman" w:cs="Times New Roman"/>
                <w:szCs w:val="21"/>
              </w:rPr>
            </w:pPr>
          </w:p>
        </w:tc>
        <w:tc>
          <w:tcPr>
            <w:tcW w:w="591" w:type="pct"/>
            <w:tcBorders>
              <w:top w:val="single" w:color="auto" w:sz="4" w:space="0"/>
              <w:left w:val="single" w:color="auto" w:sz="4" w:space="0"/>
              <w:bottom w:val="single" w:color="auto" w:sz="4" w:space="0"/>
              <w:right w:val="single" w:color="auto" w:sz="4" w:space="0"/>
            </w:tcBorders>
            <w:vAlign w:val="center"/>
          </w:tcPr>
          <w:p w14:paraId="7DAD9559">
            <w:pPr>
              <w:adjustRightInd w:val="0"/>
              <w:jc w:val="center"/>
              <w:rPr>
                <w:rFonts w:ascii="Times New Roman" w:hAnsi="Times New Roman" w:cs="Times New Roman"/>
                <w:szCs w:val="21"/>
              </w:rPr>
            </w:pPr>
          </w:p>
        </w:tc>
      </w:tr>
      <w:tr w14:paraId="1CE9C8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5B8AF6E6">
            <w:pPr>
              <w:adjustRightInd w:val="0"/>
              <w:snapToGrid w:val="0"/>
              <w:jc w:val="center"/>
              <w:rPr>
                <w:rFonts w:ascii="Times New Roman" w:hAnsi="Times New Roman" w:cs="Times New Roman"/>
                <w:szCs w:val="21"/>
              </w:rPr>
            </w:pPr>
            <w:r>
              <w:rPr>
                <w:rFonts w:ascii="Times New Roman" w:hAnsi="Times New Roman" w:cs="Times New Roman"/>
                <w:szCs w:val="21"/>
              </w:rPr>
              <w:t>（4）</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14:paraId="7D2EB084">
            <w:pPr>
              <w:adjustRightInd w:val="0"/>
              <w:jc w:val="center"/>
              <w:rPr>
                <w:rFonts w:ascii="Times New Roman" w:hAnsi="Times New Roman" w:cs="Times New Roman"/>
                <w:szCs w:val="21"/>
                <w:lang w:bidi="ar"/>
              </w:rPr>
            </w:pPr>
            <w:r>
              <w:rPr>
                <w:rFonts w:ascii="Times New Roman" w:hAnsi="Times New Roman" w:cs="Times New Roman"/>
                <w:szCs w:val="21"/>
              </w:rPr>
              <w:t>USB摄像头</w:t>
            </w:r>
          </w:p>
        </w:tc>
        <w:tc>
          <w:tcPr>
            <w:tcW w:w="703" w:type="pct"/>
            <w:tcBorders>
              <w:top w:val="single" w:color="auto" w:sz="4" w:space="0"/>
              <w:left w:val="single" w:color="auto" w:sz="4" w:space="0"/>
              <w:bottom w:val="single" w:color="auto" w:sz="4" w:space="0"/>
              <w:right w:val="single" w:color="auto" w:sz="4" w:space="0"/>
            </w:tcBorders>
            <w:shd w:val="clear" w:color="auto" w:fill="FFFFFF"/>
            <w:vAlign w:val="center"/>
          </w:tcPr>
          <w:p w14:paraId="0336A56D">
            <w:pPr>
              <w:adjustRightInd w:val="0"/>
              <w:jc w:val="center"/>
              <w:rPr>
                <w:rFonts w:ascii="Times New Roman" w:hAnsi="Times New Roman" w:cs="Times New Roman"/>
                <w:szCs w:val="21"/>
              </w:rPr>
            </w:pPr>
          </w:p>
        </w:tc>
        <w:tc>
          <w:tcPr>
            <w:tcW w:w="663" w:type="pct"/>
            <w:tcBorders>
              <w:top w:val="single" w:color="auto" w:sz="4" w:space="0"/>
              <w:left w:val="single" w:color="auto" w:sz="4" w:space="0"/>
              <w:bottom w:val="single" w:color="auto" w:sz="4" w:space="0"/>
              <w:right w:val="single" w:color="auto" w:sz="4" w:space="0"/>
            </w:tcBorders>
            <w:shd w:val="clear" w:color="auto" w:fill="FFFFFF"/>
            <w:vAlign w:val="center"/>
          </w:tcPr>
          <w:p w14:paraId="6275089C">
            <w:pPr>
              <w:adjustRightInd w:val="0"/>
              <w:jc w:val="center"/>
              <w:rPr>
                <w:rFonts w:ascii="Times New Roman" w:hAnsi="Times New Roman" w:cs="Times New Roman"/>
                <w:szCs w:val="21"/>
              </w:rPr>
            </w:pPr>
          </w:p>
        </w:tc>
        <w:tc>
          <w:tcPr>
            <w:tcW w:w="493" w:type="pct"/>
            <w:tcBorders>
              <w:top w:val="single" w:color="auto" w:sz="4" w:space="0"/>
              <w:left w:val="single" w:color="auto" w:sz="4" w:space="0"/>
              <w:bottom w:val="single" w:color="auto" w:sz="4" w:space="0"/>
              <w:right w:val="single" w:color="auto" w:sz="4" w:space="0"/>
            </w:tcBorders>
            <w:shd w:val="clear" w:color="auto" w:fill="FFFFFF"/>
            <w:vAlign w:val="center"/>
          </w:tcPr>
          <w:p w14:paraId="3ED8237D">
            <w:pPr>
              <w:adjustRightInd w:val="0"/>
              <w:jc w:val="center"/>
              <w:rPr>
                <w:rFonts w:ascii="Times New Roman" w:hAnsi="Times New Roman" w:cs="Times New Roman"/>
                <w:szCs w:val="21"/>
              </w:rPr>
            </w:pPr>
          </w:p>
        </w:tc>
        <w:tc>
          <w:tcPr>
            <w:tcW w:w="308" w:type="pct"/>
            <w:tcBorders>
              <w:top w:val="single" w:color="auto" w:sz="4" w:space="0"/>
              <w:left w:val="single" w:color="auto" w:sz="4" w:space="0"/>
              <w:bottom w:val="single" w:color="auto" w:sz="4" w:space="0"/>
              <w:right w:val="single" w:color="auto" w:sz="4" w:space="0"/>
            </w:tcBorders>
            <w:shd w:val="clear" w:color="auto" w:fill="FFFFFF"/>
            <w:vAlign w:val="center"/>
          </w:tcPr>
          <w:p w14:paraId="04D64296">
            <w:pPr>
              <w:adjustRightInd w:val="0"/>
              <w:jc w:val="center"/>
              <w:rPr>
                <w:rFonts w:ascii="Times New Roman" w:hAnsi="Times New Roman" w:cs="Times New Roman"/>
                <w:szCs w:val="21"/>
              </w:rPr>
            </w:pPr>
            <w:r>
              <w:rPr>
                <w:rFonts w:ascii="Times New Roman" w:hAnsi="Times New Roman" w:cs="Times New Roman"/>
                <w:szCs w:val="21"/>
              </w:rPr>
              <w:t>个</w:t>
            </w:r>
          </w:p>
        </w:tc>
        <w:tc>
          <w:tcPr>
            <w:tcW w:w="308" w:type="pct"/>
            <w:tcBorders>
              <w:top w:val="single" w:color="auto" w:sz="4" w:space="0"/>
              <w:left w:val="single" w:color="auto" w:sz="4" w:space="0"/>
              <w:bottom w:val="single" w:color="auto" w:sz="4" w:space="0"/>
              <w:right w:val="single" w:color="auto" w:sz="4" w:space="0"/>
            </w:tcBorders>
            <w:shd w:val="clear" w:color="auto" w:fill="auto"/>
            <w:vAlign w:val="center"/>
          </w:tcPr>
          <w:p w14:paraId="2AC5359B">
            <w:pPr>
              <w:jc w:val="center"/>
              <w:textAlignment w:val="center"/>
              <w:rPr>
                <w:rFonts w:ascii="Times New Roman" w:hAnsi="Times New Roman" w:cs="Times New Roman"/>
                <w:szCs w:val="21"/>
              </w:rPr>
            </w:pPr>
            <w:r>
              <w:rPr>
                <w:rFonts w:ascii="Times New Roman" w:hAnsi="Times New Roman" w:cs="Times New Roman"/>
                <w:szCs w:val="21"/>
              </w:rPr>
              <w:t>2</w:t>
            </w:r>
          </w:p>
        </w:tc>
        <w:tc>
          <w:tcPr>
            <w:tcW w:w="534" w:type="pct"/>
            <w:tcBorders>
              <w:top w:val="single" w:color="auto" w:sz="4" w:space="0"/>
              <w:left w:val="single" w:color="auto" w:sz="4" w:space="0"/>
              <w:bottom w:val="single" w:color="auto" w:sz="4" w:space="0"/>
              <w:right w:val="single" w:color="auto" w:sz="4" w:space="0"/>
            </w:tcBorders>
            <w:vAlign w:val="center"/>
          </w:tcPr>
          <w:p w14:paraId="6AA64F3A">
            <w:pPr>
              <w:adjustRightInd w:val="0"/>
              <w:jc w:val="center"/>
              <w:rPr>
                <w:rFonts w:ascii="Times New Roman" w:hAnsi="Times New Roman" w:cs="Times New Roman"/>
                <w:szCs w:val="21"/>
              </w:rPr>
            </w:pPr>
          </w:p>
        </w:tc>
        <w:tc>
          <w:tcPr>
            <w:tcW w:w="591" w:type="pct"/>
            <w:tcBorders>
              <w:top w:val="single" w:color="auto" w:sz="4" w:space="0"/>
              <w:left w:val="single" w:color="auto" w:sz="4" w:space="0"/>
              <w:bottom w:val="single" w:color="auto" w:sz="4" w:space="0"/>
              <w:right w:val="single" w:color="auto" w:sz="4" w:space="0"/>
            </w:tcBorders>
            <w:vAlign w:val="center"/>
          </w:tcPr>
          <w:p w14:paraId="093A4EB2">
            <w:pPr>
              <w:adjustRightInd w:val="0"/>
              <w:jc w:val="center"/>
              <w:rPr>
                <w:rFonts w:ascii="Times New Roman" w:hAnsi="Times New Roman" w:cs="Times New Roman"/>
                <w:szCs w:val="21"/>
              </w:rPr>
            </w:pPr>
          </w:p>
        </w:tc>
      </w:tr>
      <w:tr w14:paraId="3EE5CE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4FB7D553">
            <w:pPr>
              <w:adjustRightInd w:val="0"/>
              <w:snapToGrid w:val="0"/>
              <w:jc w:val="center"/>
              <w:rPr>
                <w:rFonts w:ascii="Times New Roman" w:hAnsi="Times New Roman" w:cs="Times New Roman"/>
                <w:szCs w:val="21"/>
              </w:rPr>
            </w:pPr>
            <w:r>
              <w:rPr>
                <w:rFonts w:ascii="Times New Roman" w:hAnsi="Times New Roman" w:cs="Times New Roman"/>
                <w:szCs w:val="21"/>
              </w:rPr>
              <w:t>（5）</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14:paraId="5A7FA692">
            <w:pPr>
              <w:adjustRightInd w:val="0"/>
              <w:jc w:val="center"/>
              <w:rPr>
                <w:rFonts w:ascii="Times New Roman" w:hAnsi="Times New Roman" w:cs="Times New Roman"/>
                <w:szCs w:val="21"/>
              </w:rPr>
            </w:pPr>
            <w:r>
              <w:rPr>
                <w:rFonts w:ascii="Times New Roman" w:hAnsi="Times New Roman" w:cs="Times New Roman"/>
                <w:szCs w:val="21"/>
              </w:rPr>
              <w:t>网络交换机</w:t>
            </w:r>
          </w:p>
        </w:tc>
        <w:tc>
          <w:tcPr>
            <w:tcW w:w="703" w:type="pct"/>
            <w:tcBorders>
              <w:top w:val="single" w:color="auto" w:sz="4" w:space="0"/>
              <w:left w:val="single" w:color="auto" w:sz="4" w:space="0"/>
              <w:bottom w:val="single" w:color="auto" w:sz="4" w:space="0"/>
              <w:right w:val="single" w:color="auto" w:sz="4" w:space="0"/>
            </w:tcBorders>
            <w:shd w:val="clear" w:color="auto" w:fill="FFFFFF"/>
            <w:vAlign w:val="center"/>
          </w:tcPr>
          <w:p w14:paraId="6E260B93">
            <w:pPr>
              <w:adjustRightInd w:val="0"/>
              <w:jc w:val="center"/>
              <w:rPr>
                <w:rFonts w:ascii="Times New Roman" w:hAnsi="Times New Roman" w:cs="Times New Roman"/>
                <w:szCs w:val="21"/>
              </w:rPr>
            </w:pPr>
          </w:p>
        </w:tc>
        <w:tc>
          <w:tcPr>
            <w:tcW w:w="663" w:type="pct"/>
            <w:tcBorders>
              <w:top w:val="single" w:color="auto" w:sz="4" w:space="0"/>
              <w:left w:val="single" w:color="auto" w:sz="4" w:space="0"/>
              <w:bottom w:val="single" w:color="auto" w:sz="4" w:space="0"/>
              <w:right w:val="single" w:color="auto" w:sz="4" w:space="0"/>
            </w:tcBorders>
            <w:shd w:val="clear" w:color="auto" w:fill="FFFFFF"/>
            <w:vAlign w:val="center"/>
          </w:tcPr>
          <w:p w14:paraId="4496ECC1">
            <w:pPr>
              <w:adjustRightInd w:val="0"/>
              <w:jc w:val="center"/>
              <w:rPr>
                <w:rFonts w:ascii="Times New Roman" w:hAnsi="Times New Roman" w:cs="Times New Roman"/>
                <w:szCs w:val="21"/>
              </w:rPr>
            </w:pPr>
          </w:p>
        </w:tc>
        <w:tc>
          <w:tcPr>
            <w:tcW w:w="493" w:type="pct"/>
            <w:tcBorders>
              <w:top w:val="single" w:color="auto" w:sz="4" w:space="0"/>
              <w:left w:val="single" w:color="auto" w:sz="4" w:space="0"/>
              <w:bottom w:val="single" w:color="auto" w:sz="4" w:space="0"/>
              <w:right w:val="single" w:color="auto" w:sz="4" w:space="0"/>
            </w:tcBorders>
            <w:shd w:val="clear" w:color="auto" w:fill="FFFFFF"/>
            <w:vAlign w:val="center"/>
          </w:tcPr>
          <w:p w14:paraId="6D0586BF">
            <w:pPr>
              <w:adjustRightInd w:val="0"/>
              <w:jc w:val="center"/>
              <w:rPr>
                <w:rFonts w:ascii="Times New Roman" w:hAnsi="Times New Roman" w:cs="Times New Roman"/>
                <w:szCs w:val="21"/>
              </w:rPr>
            </w:pPr>
          </w:p>
        </w:tc>
        <w:tc>
          <w:tcPr>
            <w:tcW w:w="308" w:type="pct"/>
            <w:tcBorders>
              <w:top w:val="single" w:color="auto" w:sz="4" w:space="0"/>
              <w:left w:val="single" w:color="auto" w:sz="4" w:space="0"/>
              <w:bottom w:val="single" w:color="auto" w:sz="4" w:space="0"/>
              <w:right w:val="single" w:color="auto" w:sz="4" w:space="0"/>
            </w:tcBorders>
            <w:shd w:val="clear" w:color="auto" w:fill="FFFFFF"/>
            <w:vAlign w:val="center"/>
          </w:tcPr>
          <w:p w14:paraId="080F370A">
            <w:pPr>
              <w:adjustRightInd w:val="0"/>
              <w:jc w:val="center"/>
              <w:rPr>
                <w:rFonts w:ascii="Times New Roman" w:hAnsi="Times New Roman" w:cs="Times New Roman"/>
                <w:szCs w:val="21"/>
              </w:rPr>
            </w:pPr>
            <w:r>
              <w:rPr>
                <w:rFonts w:ascii="Times New Roman" w:hAnsi="Times New Roman" w:cs="Times New Roman"/>
                <w:szCs w:val="21"/>
              </w:rPr>
              <w:t>台</w:t>
            </w:r>
          </w:p>
        </w:tc>
        <w:tc>
          <w:tcPr>
            <w:tcW w:w="308" w:type="pct"/>
            <w:tcBorders>
              <w:top w:val="single" w:color="auto" w:sz="4" w:space="0"/>
              <w:left w:val="single" w:color="auto" w:sz="4" w:space="0"/>
              <w:bottom w:val="single" w:color="auto" w:sz="4" w:space="0"/>
              <w:right w:val="single" w:color="auto" w:sz="4" w:space="0"/>
            </w:tcBorders>
            <w:shd w:val="clear" w:color="auto" w:fill="auto"/>
            <w:vAlign w:val="center"/>
          </w:tcPr>
          <w:p w14:paraId="4ABF329B">
            <w:pPr>
              <w:jc w:val="center"/>
              <w:textAlignment w:val="center"/>
              <w:rPr>
                <w:rFonts w:ascii="Times New Roman" w:hAnsi="Times New Roman" w:cs="Times New Roman"/>
                <w:szCs w:val="21"/>
              </w:rPr>
            </w:pPr>
            <w:r>
              <w:rPr>
                <w:rFonts w:ascii="Times New Roman" w:hAnsi="Times New Roman" w:cs="Times New Roman"/>
                <w:szCs w:val="21"/>
              </w:rPr>
              <w:t>1</w:t>
            </w:r>
          </w:p>
        </w:tc>
        <w:tc>
          <w:tcPr>
            <w:tcW w:w="534" w:type="pct"/>
            <w:tcBorders>
              <w:top w:val="single" w:color="auto" w:sz="4" w:space="0"/>
              <w:left w:val="single" w:color="auto" w:sz="4" w:space="0"/>
              <w:bottom w:val="single" w:color="auto" w:sz="4" w:space="0"/>
              <w:right w:val="single" w:color="auto" w:sz="4" w:space="0"/>
            </w:tcBorders>
            <w:vAlign w:val="center"/>
          </w:tcPr>
          <w:p w14:paraId="24053216">
            <w:pPr>
              <w:adjustRightInd w:val="0"/>
              <w:jc w:val="center"/>
              <w:rPr>
                <w:rFonts w:ascii="Times New Roman" w:hAnsi="Times New Roman" w:cs="Times New Roman"/>
                <w:szCs w:val="21"/>
              </w:rPr>
            </w:pPr>
          </w:p>
        </w:tc>
        <w:tc>
          <w:tcPr>
            <w:tcW w:w="591" w:type="pct"/>
            <w:tcBorders>
              <w:top w:val="single" w:color="auto" w:sz="4" w:space="0"/>
              <w:left w:val="single" w:color="auto" w:sz="4" w:space="0"/>
              <w:bottom w:val="single" w:color="auto" w:sz="4" w:space="0"/>
              <w:right w:val="single" w:color="auto" w:sz="4" w:space="0"/>
            </w:tcBorders>
            <w:vAlign w:val="center"/>
          </w:tcPr>
          <w:p w14:paraId="765F3E4C">
            <w:pPr>
              <w:adjustRightInd w:val="0"/>
              <w:jc w:val="center"/>
              <w:rPr>
                <w:rFonts w:ascii="Times New Roman" w:hAnsi="Times New Roman" w:cs="Times New Roman"/>
                <w:szCs w:val="21"/>
              </w:rPr>
            </w:pPr>
          </w:p>
        </w:tc>
      </w:tr>
      <w:tr w14:paraId="6B5E52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409"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1128B1B3">
            <w:pPr>
              <w:adjustRightInd w:val="0"/>
              <w:jc w:val="center"/>
              <w:rPr>
                <w:rFonts w:ascii="Times New Roman" w:hAnsi="Times New Roman" w:cs="Times New Roman"/>
                <w:szCs w:val="21"/>
              </w:rPr>
            </w:pPr>
            <w:r>
              <w:rPr>
                <w:rFonts w:ascii="Times New Roman" w:hAnsi="Times New Roman" w:cs="Times New Roman"/>
                <w:szCs w:val="21"/>
              </w:rPr>
              <w:t>小计</w:t>
            </w:r>
          </w:p>
        </w:tc>
        <w:tc>
          <w:tcPr>
            <w:tcW w:w="591" w:type="pct"/>
            <w:tcBorders>
              <w:top w:val="single" w:color="auto" w:sz="4" w:space="0"/>
              <w:left w:val="single" w:color="auto" w:sz="4" w:space="0"/>
              <w:bottom w:val="single" w:color="auto" w:sz="4" w:space="0"/>
              <w:right w:val="single" w:color="auto" w:sz="4" w:space="0"/>
            </w:tcBorders>
            <w:vAlign w:val="center"/>
          </w:tcPr>
          <w:p w14:paraId="6135E350">
            <w:pPr>
              <w:adjustRightInd w:val="0"/>
              <w:jc w:val="center"/>
              <w:rPr>
                <w:rFonts w:ascii="Times New Roman" w:hAnsi="Times New Roman" w:cs="Times New Roman"/>
                <w:szCs w:val="21"/>
              </w:rPr>
            </w:pPr>
          </w:p>
        </w:tc>
      </w:tr>
    </w:tbl>
    <w:p w14:paraId="1C862117">
      <w:pPr>
        <w:adjustRightInd w:val="0"/>
        <w:snapToGrid w:val="0"/>
        <w:spacing w:line="288" w:lineRule="auto"/>
        <w:rPr>
          <w:rFonts w:ascii="Times New Roman" w:hAnsi="Times New Roman" w:cs="Times New Roman"/>
          <w:spacing w:val="-6"/>
          <w:szCs w:val="21"/>
        </w:rPr>
      </w:pPr>
      <w:r>
        <w:rPr>
          <w:rFonts w:ascii="Times New Roman" w:hAnsi="Times New Roman" w:cs="Times New Roman"/>
          <w:spacing w:val="-6"/>
          <w:szCs w:val="21"/>
        </w:rPr>
        <w:t>附2：便携式行为观察记录分析系统组成明细表</w:t>
      </w:r>
    </w:p>
    <w:tbl>
      <w:tblPr>
        <w:tblStyle w:val="23"/>
        <w:tblW w:w="4993"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41"/>
        <w:gridCol w:w="1869"/>
        <w:gridCol w:w="1365"/>
        <w:gridCol w:w="1289"/>
        <w:gridCol w:w="962"/>
        <w:gridCol w:w="605"/>
        <w:gridCol w:w="605"/>
        <w:gridCol w:w="1032"/>
        <w:gridCol w:w="1147"/>
      </w:tblGrid>
      <w:tr w14:paraId="649064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60B03FE7">
            <w:pPr>
              <w:adjustRightInd w:val="0"/>
              <w:snapToGrid w:val="0"/>
              <w:jc w:val="center"/>
              <w:rPr>
                <w:rFonts w:ascii="Times New Roman" w:hAnsi="Times New Roman" w:cs="Times New Roman"/>
                <w:szCs w:val="21"/>
              </w:rPr>
            </w:pPr>
            <w:r>
              <w:rPr>
                <w:rFonts w:ascii="Times New Roman" w:hAnsi="Times New Roman" w:cs="Times New Roman"/>
                <w:spacing w:val="-6"/>
                <w:szCs w:val="21"/>
              </w:rPr>
              <w:t>便携式行为观察记录分析系统组成明细表</w:t>
            </w:r>
          </w:p>
        </w:tc>
      </w:tr>
      <w:tr w14:paraId="4D8904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14:paraId="127AA4B1">
            <w:pPr>
              <w:adjustRightInd w:val="0"/>
              <w:jc w:val="center"/>
              <w:rPr>
                <w:rFonts w:ascii="Times New Roman" w:hAnsi="Times New Roman" w:cs="Times New Roman"/>
                <w:szCs w:val="21"/>
              </w:rPr>
            </w:pPr>
            <w:r>
              <w:rPr>
                <w:rFonts w:ascii="Times New Roman" w:hAnsi="Times New Roman" w:cs="Times New Roman"/>
                <w:szCs w:val="21"/>
              </w:rPr>
              <w:t>序号</w:t>
            </w:r>
          </w:p>
        </w:tc>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060CE070">
            <w:pPr>
              <w:adjustRightInd w:val="0"/>
              <w:jc w:val="center"/>
              <w:rPr>
                <w:rFonts w:ascii="Times New Roman" w:hAnsi="Times New Roman" w:cs="Times New Roman"/>
                <w:szCs w:val="21"/>
              </w:rPr>
            </w:pPr>
            <w:r>
              <w:rPr>
                <w:rFonts w:ascii="Times New Roman" w:hAnsi="Times New Roman" w:cs="Times New Roman"/>
                <w:szCs w:val="21"/>
              </w:rPr>
              <w:t>名称</w:t>
            </w:r>
          </w:p>
        </w:tc>
        <w:tc>
          <w:tcPr>
            <w:tcW w:w="712" w:type="pct"/>
            <w:tcBorders>
              <w:top w:val="single" w:color="auto" w:sz="4" w:space="0"/>
              <w:left w:val="single" w:color="auto" w:sz="4" w:space="0"/>
              <w:bottom w:val="single" w:color="auto" w:sz="4" w:space="0"/>
              <w:right w:val="single" w:color="auto" w:sz="4" w:space="0"/>
            </w:tcBorders>
            <w:shd w:val="clear" w:color="auto" w:fill="FFFFFF"/>
            <w:vAlign w:val="center"/>
          </w:tcPr>
          <w:p w14:paraId="370ADCC3">
            <w:pPr>
              <w:adjustRightInd w:val="0"/>
              <w:jc w:val="center"/>
              <w:rPr>
                <w:rFonts w:ascii="Times New Roman" w:hAnsi="Times New Roman" w:cs="Times New Roman"/>
                <w:szCs w:val="21"/>
              </w:rPr>
            </w:pPr>
            <w:r>
              <w:rPr>
                <w:rFonts w:ascii="Times New Roman" w:hAnsi="Times New Roman" w:cs="Times New Roman"/>
                <w:szCs w:val="21"/>
              </w:rPr>
              <w:t>品牌</w:t>
            </w:r>
          </w:p>
        </w:tc>
        <w:tc>
          <w:tcPr>
            <w:tcW w:w="672" w:type="pct"/>
            <w:tcBorders>
              <w:top w:val="single" w:color="auto" w:sz="4" w:space="0"/>
              <w:left w:val="single" w:color="auto" w:sz="4" w:space="0"/>
              <w:bottom w:val="single" w:color="auto" w:sz="4" w:space="0"/>
              <w:right w:val="single" w:color="auto" w:sz="4" w:space="0"/>
            </w:tcBorders>
            <w:shd w:val="clear" w:color="auto" w:fill="FFFFFF"/>
            <w:vAlign w:val="center"/>
          </w:tcPr>
          <w:p w14:paraId="36C407E5">
            <w:pPr>
              <w:adjustRightInd w:val="0"/>
              <w:jc w:val="center"/>
              <w:rPr>
                <w:rFonts w:ascii="Times New Roman" w:hAnsi="Times New Roman" w:cs="Times New Roman"/>
                <w:szCs w:val="21"/>
              </w:rPr>
            </w:pPr>
            <w:r>
              <w:rPr>
                <w:rFonts w:ascii="Times New Roman" w:hAnsi="Times New Roman" w:cs="Times New Roman"/>
                <w:szCs w:val="21"/>
              </w:rPr>
              <w:t>规格型号</w:t>
            </w:r>
          </w:p>
        </w:tc>
        <w:tc>
          <w:tcPr>
            <w:tcW w:w="502" w:type="pct"/>
            <w:tcBorders>
              <w:top w:val="single" w:color="auto" w:sz="4" w:space="0"/>
              <w:left w:val="single" w:color="auto" w:sz="4" w:space="0"/>
              <w:bottom w:val="single" w:color="auto" w:sz="4" w:space="0"/>
              <w:right w:val="single" w:color="auto" w:sz="4" w:space="0"/>
            </w:tcBorders>
            <w:shd w:val="clear" w:color="auto" w:fill="FFFFFF"/>
            <w:vAlign w:val="center"/>
          </w:tcPr>
          <w:p w14:paraId="196FBAFA">
            <w:pPr>
              <w:adjustRightInd w:val="0"/>
              <w:jc w:val="center"/>
              <w:rPr>
                <w:rFonts w:ascii="Times New Roman" w:hAnsi="Times New Roman" w:cs="Times New Roman"/>
                <w:szCs w:val="21"/>
              </w:rPr>
            </w:pPr>
            <w:r>
              <w:rPr>
                <w:rFonts w:ascii="Times New Roman" w:hAnsi="Times New Roman" w:cs="Times New Roman"/>
                <w:szCs w:val="21"/>
              </w:rPr>
              <w:t>产地</w:t>
            </w:r>
          </w:p>
        </w:tc>
        <w:tc>
          <w:tcPr>
            <w:tcW w:w="316" w:type="pct"/>
            <w:tcBorders>
              <w:top w:val="single" w:color="auto" w:sz="4" w:space="0"/>
              <w:left w:val="single" w:color="auto" w:sz="4" w:space="0"/>
              <w:bottom w:val="single" w:color="auto" w:sz="4" w:space="0"/>
              <w:right w:val="single" w:color="auto" w:sz="4" w:space="0"/>
            </w:tcBorders>
            <w:shd w:val="clear" w:color="auto" w:fill="FFFFFF"/>
            <w:vAlign w:val="center"/>
          </w:tcPr>
          <w:p w14:paraId="6E64DA0A">
            <w:pPr>
              <w:adjustRightInd w:val="0"/>
              <w:jc w:val="center"/>
              <w:rPr>
                <w:rFonts w:ascii="Times New Roman" w:hAnsi="Times New Roman" w:cs="Times New Roman"/>
                <w:szCs w:val="21"/>
              </w:rPr>
            </w:pPr>
            <w:r>
              <w:rPr>
                <w:rFonts w:ascii="Times New Roman" w:hAnsi="Times New Roman" w:cs="Times New Roman"/>
                <w:szCs w:val="21"/>
              </w:rPr>
              <w:t>单位</w:t>
            </w:r>
          </w:p>
        </w:tc>
        <w:tc>
          <w:tcPr>
            <w:tcW w:w="316" w:type="pct"/>
            <w:tcBorders>
              <w:top w:val="single" w:color="auto" w:sz="4" w:space="0"/>
              <w:left w:val="single" w:color="auto" w:sz="4" w:space="0"/>
              <w:bottom w:val="single" w:color="auto" w:sz="4" w:space="0"/>
              <w:right w:val="single" w:color="auto" w:sz="4" w:space="0"/>
            </w:tcBorders>
            <w:shd w:val="clear" w:color="auto" w:fill="FFFFFF"/>
            <w:vAlign w:val="center"/>
          </w:tcPr>
          <w:p w14:paraId="2E0DADF1">
            <w:pPr>
              <w:adjustRightInd w:val="0"/>
              <w:jc w:val="center"/>
              <w:rPr>
                <w:rFonts w:ascii="Times New Roman" w:hAnsi="Times New Roman" w:cs="Times New Roman"/>
                <w:szCs w:val="21"/>
              </w:rPr>
            </w:pPr>
            <w:r>
              <w:rPr>
                <w:rFonts w:ascii="Times New Roman" w:hAnsi="Times New Roman" w:cs="Times New Roman"/>
                <w:szCs w:val="21"/>
              </w:rPr>
              <w:t>数量</w:t>
            </w:r>
          </w:p>
        </w:tc>
        <w:tc>
          <w:tcPr>
            <w:tcW w:w="534" w:type="pct"/>
            <w:tcBorders>
              <w:top w:val="single" w:color="auto" w:sz="4" w:space="0"/>
              <w:left w:val="single" w:color="auto" w:sz="4" w:space="0"/>
              <w:bottom w:val="single" w:color="auto" w:sz="4" w:space="0"/>
              <w:right w:val="single" w:color="auto" w:sz="4" w:space="0"/>
            </w:tcBorders>
            <w:vAlign w:val="center"/>
          </w:tcPr>
          <w:p w14:paraId="5DD6B736">
            <w:pPr>
              <w:adjustRightInd w:val="0"/>
              <w:jc w:val="center"/>
              <w:rPr>
                <w:rFonts w:ascii="Times New Roman" w:hAnsi="Times New Roman" w:cs="Times New Roman"/>
                <w:szCs w:val="21"/>
              </w:rPr>
            </w:pPr>
            <w:r>
              <w:rPr>
                <w:rFonts w:ascii="Times New Roman" w:hAnsi="Times New Roman" w:cs="Times New Roman"/>
                <w:szCs w:val="21"/>
              </w:rPr>
              <w:t>单价</w:t>
            </w:r>
          </w:p>
        </w:tc>
        <w:tc>
          <w:tcPr>
            <w:tcW w:w="597" w:type="pct"/>
            <w:tcBorders>
              <w:top w:val="single" w:color="auto" w:sz="4" w:space="0"/>
              <w:left w:val="single" w:color="auto" w:sz="4" w:space="0"/>
              <w:bottom w:val="single" w:color="auto" w:sz="4" w:space="0"/>
              <w:right w:val="single" w:color="auto" w:sz="4" w:space="0"/>
            </w:tcBorders>
            <w:vAlign w:val="center"/>
          </w:tcPr>
          <w:p w14:paraId="113F8975">
            <w:pPr>
              <w:adjustRightInd w:val="0"/>
              <w:jc w:val="center"/>
              <w:rPr>
                <w:rFonts w:ascii="Times New Roman" w:hAnsi="Times New Roman" w:cs="Times New Roman"/>
                <w:szCs w:val="21"/>
              </w:rPr>
            </w:pPr>
            <w:r>
              <w:rPr>
                <w:rFonts w:ascii="Times New Roman" w:hAnsi="Times New Roman" w:cs="Times New Roman"/>
                <w:szCs w:val="21"/>
              </w:rPr>
              <w:t>金额（人民币元）</w:t>
            </w:r>
          </w:p>
        </w:tc>
      </w:tr>
      <w:tr w14:paraId="70733B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1C70296D">
            <w:pPr>
              <w:adjustRightInd w:val="0"/>
              <w:jc w:val="center"/>
              <w:rPr>
                <w:rFonts w:ascii="Times New Roman" w:hAnsi="Times New Roman" w:cs="Times New Roman"/>
                <w:szCs w:val="21"/>
              </w:rPr>
            </w:pPr>
            <w:r>
              <w:rPr>
                <w:rFonts w:ascii="Times New Roman" w:hAnsi="Times New Roman" w:cs="Times New Roman"/>
                <w:szCs w:val="21"/>
              </w:rPr>
              <w:t>（1）</w:t>
            </w:r>
          </w:p>
        </w:tc>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15F2005C">
            <w:pPr>
              <w:adjustRightInd w:val="0"/>
              <w:jc w:val="center"/>
              <w:rPr>
                <w:rFonts w:ascii="Times New Roman" w:hAnsi="Times New Roman" w:cs="Times New Roman"/>
                <w:szCs w:val="21"/>
              </w:rPr>
            </w:pPr>
            <w:r>
              <w:rPr>
                <w:rFonts w:ascii="Times New Roman" w:hAnsi="Times New Roman" w:cs="Times New Roman"/>
                <w:spacing w:val="-6"/>
                <w:szCs w:val="21"/>
              </w:rPr>
              <w:t>便携式行为观察记录分析系统</w:t>
            </w:r>
          </w:p>
        </w:tc>
        <w:tc>
          <w:tcPr>
            <w:tcW w:w="712" w:type="pct"/>
            <w:tcBorders>
              <w:top w:val="single" w:color="auto" w:sz="4" w:space="0"/>
              <w:left w:val="single" w:color="auto" w:sz="4" w:space="0"/>
              <w:bottom w:val="single" w:color="auto" w:sz="4" w:space="0"/>
              <w:right w:val="single" w:color="auto" w:sz="4" w:space="0"/>
            </w:tcBorders>
            <w:shd w:val="clear" w:color="auto" w:fill="FFFFFF"/>
            <w:vAlign w:val="center"/>
          </w:tcPr>
          <w:p w14:paraId="00048106">
            <w:pPr>
              <w:adjustRightInd w:val="0"/>
              <w:jc w:val="center"/>
              <w:rPr>
                <w:rFonts w:ascii="Times New Roman" w:hAnsi="Times New Roman" w:cs="Times New Roman"/>
                <w:szCs w:val="21"/>
              </w:rPr>
            </w:pPr>
          </w:p>
        </w:tc>
        <w:tc>
          <w:tcPr>
            <w:tcW w:w="672" w:type="pct"/>
            <w:tcBorders>
              <w:top w:val="single" w:color="auto" w:sz="4" w:space="0"/>
              <w:left w:val="single" w:color="auto" w:sz="4" w:space="0"/>
              <w:bottom w:val="single" w:color="auto" w:sz="4" w:space="0"/>
              <w:right w:val="single" w:color="auto" w:sz="4" w:space="0"/>
            </w:tcBorders>
            <w:shd w:val="clear" w:color="auto" w:fill="FFFFFF"/>
            <w:vAlign w:val="center"/>
          </w:tcPr>
          <w:p w14:paraId="47D66E1D">
            <w:pPr>
              <w:adjustRightInd w:val="0"/>
              <w:jc w:val="center"/>
              <w:rPr>
                <w:rFonts w:ascii="Times New Roman" w:hAnsi="Times New Roman" w:cs="Times New Roman"/>
                <w:szCs w:val="21"/>
              </w:rPr>
            </w:pPr>
          </w:p>
        </w:tc>
        <w:tc>
          <w:tcPr>
            <w:tcW w:w="502" w:type="pct"/>
            <w:tcBorders>
              <w:top w:val="single" w:color="auto" w:sz="4" w:space="0"/>
              <w:left w:val="single" w:color="auto" w:sz="4" w:space="0"/>
              <w:bottom w:val="single" w:color="auto" w:sz="4" w:space="0"/>
              <w:right w:val="single" w:color="auto" w:sz="4" w:space="0"/>
            </w:tcBorders>
            <w:shd w:val="clear" w:color="auto" w:fill="FFFFFF"/>
            <w:vAlign w:val="center"/>
          </w:tcPr>
          <w:p w14:paraId="084B2B74">
            <w:pPr>
              <w:adjustRightInd w:val="0"/>
              <w:jc w:val="center"/>
              <w:rPr>
                <w:rFonts w:ascii="Times New Roman" w:hAnsi="Times New Roman" w:cs="Times New Roman"/>
                <w:szCs w:val="21"/>
              </w:rPr>
            </w:pPr>
          </w:p>
        </w:tc>
        <w:tc>
          <w:tcPr>
            <w:tcW w:w="316" w:type="pct"/>
            <w:tcBorders>
              <w:top w:val="single" w:color="auto" w:sz="4" w:space="0"/>
              <w:left w:val="single" w:color="auto" w:sz="4" w:space="0"/>
              <w:bottom w:val="single" w:color="auto" w:sz="4" w:space="0"/>
              <w:right w:val="single" w:color="auto" w:sz="4" w:space="0"/>
            </w:tcBorders>
            <w:shd w:val="clear" w:color="auto" w:fill="FFFFFF"/>
            <w:vAlign w:val="center"/>
          </w:tcPr>
          <w:p w14:paraId="46CEA51B">
            <w:pPr>
              <w:adjustRightInd w:val="0"/>
              <w:jc w:val="center"/>
              <w:rPr>
                <w:rFonts w:ascii="Times New Roman" w:hAnsi="Times New Roman" w:cs="Times New Roman"/>
                <w:szCs w:val="21"/>
              </w:rPr>
            </w:pPr>
            <w:r>
              <w:rPr>
                <w:rFonts w:ascii="Times New Roman" w:hAnsi="Times New Roman" w:cs="Times New Roman"/>
                <w:szCs w:val="21"/>
              </w:rPr>
              <w:t>套</w:t>
            </w:r>
          </w:p>
        </w:tc>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00A0DDD8">
            <w:pPr>
              <w:jc w:val="center"/>
              <w:textAlignment w:val="center"/>
              <w:rPr>
                <w:rFonts w:ascii="Times New Roman" w:hAnsi="Times New Roman" w:cs="Times New Roman"/>
                <w:szCs w:val="21"/>
              </w:rPr>
            </w:pPr>
            <w:r>
              <w:rPr>
                <w:rFonts w:ascii="Times New Roman" w:hAnsi="Times New Roman" w:cs="Times New Roman"/>
                <w:szCs w:val="21"/>
              </w:rPr>
              <w:t>1</w:t>
            </w:r>
          </w:p>
        </w:tc>
        <w:tc>
          <w:tcPr>
            <w:tcW w:w="534" w:type="pct"/>
            <w:tcBorders>
              <w:top w:val="single" w:color="auto" w:sz="4" w:space="0"/>
              <w:left w:val="single" w:color="auto" w:sz="4" w:space="0"/>
              <w:bottom w:val="single" w:color="auto" w:sz="4" w:space="0"/>
              <w:right w:val="single" w:color="auto" w:sz="4" w:space="0"/>
            </w:tcBorders>
            <w:vAlign w:val="center"/>
          </w:tcPr>
          <w:p w14:paraId="366B6390">
            <w:pPr>
              <w:adjustRightInd w:val="0"/>
              <w:jc w:val="center"/>
              <w:rPr>
                <w:rFonts w:ascii="Times New Roman" w:hAnsi="Times New Roman" w:cs="Times New Roman"/>
                <w:szCs w:val="21"/>
              </w:rPr>
            </w:pPr>
          </w:p>
        </w:tc>
        <w:tc>
          <w:tcPr>
            <w:tcW w:w="597" w:type="pct"/>
            <w:tcBorders>
              <w:top w:val="single" w:color="auto" w:sz="4" w:space="0"/>
              <w:left w:val="single" w:color="auto" w:sz="4" w:space="0"/>
              <w:bottom w:val="single" w:color="auto" w:sz="4" w:space="0"/>
              <w:right w:val="single" w:color="auto" w:sz="4" w:space="0"/>
            </w:tcBorders>
            <w:vAlign w:val="center"/>
          </w:tcPr>
          <w:p w14:paraId="50D758B7">
            <w:pPr>
              <w:adjustRightInd w:val="0"/>
              <w:jc w:val="center"/>
              <w:rPr>
                <w:rFonts w:ascii="Times New Roman" w:hAnsi="Times New Roman" w:cs="Times New Roman"/>
                <w:szCs w:val="21"/>
              </w:rPr>
            </w:pPr>
          </w:p>
        </w:tc>
      </w:tr>
      <w:tr w14:paraId="49F0BE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0FC8E5DC">
            <w:pPr>
              <w:adjustRightInd w:val="0"/>
              <w:jc w:val="center"/>
              <w:rPr>
                <w:rFonts w:ascii="Times New Roman" w:hAnsi="Times New Roman" w:cs="Times New Roman"/>
                <w:szCs w:val="21"/>
              </w:rPr>
            </w:pPr>
            <w:r>
              <w:rPr>
                <w:rFonts w:ascii="Times New Roman" w:hAnsi="Times New Roman" w:cs="Times New Roman"/>
                <w:szCs w:val="21"/>
              </w:rPr>
              <w:t>（2）</w:t>
            </w:r>
          </w:p>
        </w:tc>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2926F4FA">
            <w:pPr>
              <w:adjustRightInd w:val="0"/>
              <w:jc w:val="center"/>
              <w:rPr>
                <w:rFonts w:ascii="Times New Roman" w:hAnsi="Times New Roman" w:cs="Times New Roman"/>
                <w:szCs w:val="21"/>
              </w:rPr>
            </w:pPr>
            <w:r>
              <w:rPr>
                <w:rFonts w:ascii="Times New Roman" w:hAnsi="Times New Roman" w:cs="Times New Roman"/>
                <w:szCs w:val="21"/>
              </w:rPr>
              <w:t>便携式云台相机</w:t>
            </w:r>
          </w:p>
        </w:tc>
        <w:tc>
          <w:tcPr>
            <w:tcW w:w="712" w:type="pct"/>
            <w:tcBorders>
              <w:top w:val="single" w:color="auto" w:sz="4" w:space="0"/>
              <w:left w:val="single" w:color="auto" w:sz="4" w:space="0"/>
              <w:bottom w:val="single" w:color="auto" w:sz="4" w:space="0"/>
              <w:right w:val="single" w:color="auto" w:sz="4" w:space="0"/>
            </w:tcBorders>
            <w:shd w:val="clear" w:color="auto" w:fill="FFFFFF"/>
            <w:vAlign w:val="center"/>
          </w:tcPr>
          <w:p w14:paraId="5690DC4E">
            <w:pPr>
              <w:adjustRightInd w:val="0"/>
              <w:jc w:val="center"/>
              <w:rPr>
                <w:rFonts w:ascii="Times New Roman" w:hAnsi="Times New Roman" w:cs="Times New Roman"/>
                <w:szCs w:val="21"/>
              </w:rPr>
            </w:pPr>
          </w:p>
        </w:tc>
        <w:tc>
          <w:tcPr>
            <w:tcW w:w="672" w:type="pct"/>
            <w:tcBorders>
              <w:top w:val="single" w:color="auto" w:sz="4" w:space="0"/>
              <w:left w:val="single" w:color="auto" w:sz="4" w:space="0"/>
              <w:bottom w:val="single" w:color="auto" w:sz="4" w:space="0"/>
              <w:right w:val="single" w:color="auto" w:sz="4" w:space="0"/>
            </w:tcBorders>
            <w:shd w:val="clear" w:color="auto" w:fill="FFFFFF"/>
            <w:vAlign w:val="center"/>
          </w:tcPr>
          <w:p w14:paraId="0E60931A">
            <w:pPr>
              <w:adjustRightInd w:val="0"/>
              <w:jc w:val="center"/>
              <w:rPr>
                <w:rFonts w:ascii="Times New Roman" w:hAnsi="Times New Roman" w:cs="Times New Roman"/>
                <w:szCs w:val="21"/>
              </w:rPr>
            </w:pPr>
          </w:p>
        </w:tc>
        <w:tc>
          <w:tcPr>
            <w:tcW w:w="502" w:type="pct"/>
            <w:tcBorders>
              <w:top w:val="single" w:color="auto" w:sz="4" w:space="0"/>
              <w:left w:val="single" w:color="auto" w:sz="4" w:space="0"/>
              <w:bottom w:val="single" w:color="auto" w:sz="4" w:space="0"/>
              <w:right w:val="single" w:color="auto" w:sz="4" w:space="0"/>
            </w:tcBorders>
            <w:shd w:val="clear" w:color="auto" w:fill="FFFFFF"/>
            <w:vAlign w:val="center"/>
          </w:tcPr>
          <w:p w14:paraId="29F7FC1A">
            <w:pPr>
              <w:adjustRightInd w:val="0"/>
              <w:jc w:val="center"/>
              <w:rPr>
                <w:rFonts w:ascii="Times New Roman" w:hAnsi="Times New Roman" w:cs="Times New Roman"/>
                <w:szCs w:val="21"/>
              </w:rPr>
            </w:pPr>
          </w:p>
        </w:tc>
        <w:tc>
          <w:tcPr>
            <w:tcW w:w="316" w:type="pct"/>
            <w:tcBorders>
              <w:top w:val="single" w:color="auto" w:sz="4" w:space="0"/>
              <w:left w:val="single" w:color="auto" w:sz="4" w:space="0"/>
              <w:bottom w:val="single" w:color="auto" w:sz="4" w:space="0"/>
              <w:right w:val="single" w:color="auto" w:sz="4" w:space="0"/>
            </w:tcBorders>
            <w:shd w:val="clear" w:color="auto" w:fill="FFFFFF"/>
            <w:vAlign w:val="center"/>
          </w:tcPr>
          <w:p w14:paraId="298F3901">
            <w:pPr>
              <w:adjustRightInd w:val="0"/>
              <w:jc w:val="center"/>
              <w:rPr>
                <w:rFonts w:ascii="Times New Roman" w:hAnsi="Times New Roman" w:cs="Times New Roman"/>
                <w:szCs w:val="21"/>
              </w:rPr>
            </w:pPr>
            <w:r>
              <w:rPr>
                <w:rFonts w:ascii="Times New Roman" w:hAnsi="Times New Roman" w:cs="Times New Roman"/>
                <w:szCs w:val="21"/>
              </w:rPr>
              <w:t>台</w:t>
            </w:r>
          </w:p>
        </w:tc>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768AA0BE">
            <w:pPr>
              <w:jc w:val="center"/>
              <w:textAlignment w:val="center"/>
              <w:rPr>
                <w:rFonts w:ascii="Times New Roman" w:hAnsi="Times New Roman" w:cs="Times New Roman"/>
                <w:szCs w:val="21"/>
              </w:rPr>
            </w:pPr>
            <w:r>
              <w:rPr>
                <w:rFonts w:ascii="Times New Roman" w:hAnsi="Times New Roman" w:cs="Times New Roman"/>
                <w:szCs w:val="21"/>
              </w:rPr>
              <w:t>2</w:t>
            </w:r>
          </w:p>
        </w:tc>
        <w:tc>
          <w:tcPr>
            <w:tcW w:w="534" w:type="pct"/>
            <w:tcBorders>
              <w:top w:val="single" w:color="auto" w:sz="4" w:space="0"/>
              <w:left w:val="single" w:color="auto" w:sz="4" w:space="0"/>
              <w:bottom w:val="single" w:color="auto" w:sz="4" w:space="0"/>
              <w:right w:val="single" w:color="auto" w:sz="4" w:space="0"/>
            </w:tcBorders>
            <w:vAlign w:val="center"/>
          </w:tcPr>
          <w:p w14:paraId="3F45A0DE">
            <w:pPr>
              <w:adjustRightInd w:val="0"/>
              <w:jc w:val="center"/>
              <w:rPr>
                <w:rFonts w:ascii="Times New Roman" w:hAnsi="Times New Roman" w:cs="Times New Roman"/>
                <w:szCs w:val="21"/>
              </w:rPr>
            </w:pPr>
          </w:p>
        </w:tc>
        <w:tc>
          <w:tcPr>
            <w:tcW w:w="597" w:type="pct"/>
            <w:tcBorders>
              <w:top w:val="single" w:color="auto" w:sz="4" w:space="0"/>
              <w:left w:val="single" w:color="auto" w:sz="4" w:space="0"/>
              <w:bottom w:val="single" w:color="auto" w:sz="4" w:space="0"/>
              <w:right w:val="single" w:color="auto" w:sz="4" w:space="0"/>
            </w:tcBorders>
            <w:vAlign w:val="center"/>
          </w:tcPr>
          <w:p w14:paraId="6D394AA0">
            <w:pPr>
              <w:adjustRightInd w:val="0"/>
              <w:jc w:val="center"/>
              <w:rPr>
                <w:rFonts w:ascii="Times New Roman" w:hAnsi="Times New Roman" w:cs="Times New Roman"/>
                <w:szCs w:val="21"/>
              </w:rPr>
            </w:pPr>
          </w:p>
        </w:tc>
      </w:tr>
      <w:tr w14:paraId="799C47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33BAE84F">
            <w:pPr>
              <w:adjustRightInd w:val="0"/>
              <w:jc w:val="center"/>
              <w:rPr>
                <w:rFonts w:ascii="Times New Roman" w:hAnsi="Times New Roman" w:cs="Times New Roman"/>
                <w:szCs w:val="21"/>
              </w:rPr>
            </w:pPr>
            <w:r>
              <w:rPr>
                <w:rFonts w:ascii="Times New Roman" w:hAnsi="Times New Roman" w:cs="Times New Roman"/>
                <w:szCs w:val="21"/>
              </w:rPr>
              <w:t>（3）</w:t>
            </w:r>
          </w:p>
        </w:tc>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246EDCE4">
            <w:pPr>
              <w:adjustRightInd w:val="0"/>
              <w:jc w:val="center"/>
              <w:rPr>
                <w:rFonts w:ascii="Times New Roman" w:hAnsi="Times New Roman" w:cs="Times New Roman"/>
                <w:szCs w:val="21"/>
              </w:rPr>
            </w:pPr>
            <w:r>
              <w:rPr>
                <w:rFonts w:ascii="Times New Roman" w:hAnsi="Times New Roman" w:cs="Times New Roman"/>
                <w:szCs w:val="21"/>
              </w:rPr>
              <w:t>数码视频采集设备</w:t>
            </w:r>
          </w:p>
        </w:tc>
        <w:tc>
          <w:tcPr>
            <w:tcW w:w="712" w:type="pct"/>
            <w:tcBorders>
              <w:top w:val="single" w:color="auto" w:sz="4" w:space="0"/>
              <w:left w:val="single" w:color="auto" w:sz="4" w:space="0"/>
              <w:bottom w:val="single" w:color="auto" w:sz="4" w:space="0"/>
              <w:right w:val="single" w:color="auto" w:sz="4" w:space="0"/>
            </w:tcBorders>
            <w:shd w:val="clear" w:color="auto" w:fill="FFFFFF"/>
            <w:vAlign w:val="center"/>
          </w:tcPr>
          <w:p w14:paraId="4C1CE787">
            <w:pPr>
              <w:adjustRightInd w:val="0"/>
              <w:jc w:val="center"/>
              <w:rPr>
                <w:rFonts w:ascii="Times New Roman" w:hAnsi="Times New Roman" w:cs="Times New Roman"/>
                <w:szCs w:val="21"/>
              </w:rPr>
            </w:pPr>
          </w:p>
        </w:tc>
        <w:tc>
          <w:tcPr>
            <w:tcW w:w="672" w:type="pct"/>
            <w:tcBorders>
              <w:top w:val="single" w:color="auto" w:sz="4" w:space="0"/>
              <w:left w:val="single" w:color="auto" w:sz="4" w:space="0"/>
              <w:bottom w:val="single" w:color="auto" w:sz="4" w:space="0"/>
              <w:right w:val="single" w:color="auto" w:sz="4" w:space="0"/>
            </w:tcBorders>
            <w:shd w:val="clear" w:color="auto" w:fill="FFFFFF"/>
            <w:vAlign w:val="center"/>
          </w:tcPr>
          <w:p w14:paraId="0BEAF193">
            <w:pPr>
              <w:adjustRightInd w:val="0"/>
              <w:jc w:val="center"/>
              <w:rPr>
                <w:rFonts w:ascii="Times New Roman" w:hAnsi="Times New Roman" w:cs="Times New Roman"/>
                <w:szCs w:val="21"/>
              </w:rPr>
            </w:pPr>
          </w:p>
        </w:tc>
        <w:tc>
          <w:tcPr>
            <w:tcW w:w="502" w:type="pct"/>
            <w:tcBorders>
              <w:top w:val="single" w:color="auto" w:sz="4" w:space="0"/>
              <w:left w:val="single" w:color="auto" w:sz="4" w:space="0"/>
              <w:bottom w:val="single" w:color="auto" w:sz="4" w:space="0"/>
              <w:right w:val="single" w:color="auto" w:sz="4" w:space="0"/>
            </w:tcBorders>
            <w:shd w:val="clear" w:color="auto" w:fill="FFFFFF"/>
            <w:vAlign w:val="center"/>
          </w:tcPr>
          <w:p w14:paraId="4F424B79">
            <w:pPr>
              <w:adjustRightInd w:val="0"/>
              <w:jc w:val="center"/>
              <w:rPr>
                <w:rFonts w:ascii="Times New Roman" w:hAnsi="Times New Roman" w:cs="Times New Roman"/>
                <w:szCs w:val="21"/>
              </w:rPr>
            </w:pPr>
          </w:p>
        </w:tc>
        <w:tc>
          <w:tcPr>
            <w:tcW w:w="316" w:type="pct"/>
            <w:tcBorders>
              <w:top w:val="single" w:color="auto" w:sz="4" w:space="0"/>
              <w:left w:val="single" w:color="auto" w:sz="4" w:space="0"/>
              <w:bottom w:val="single" w:color="auto" w:sz="4" w:space="0"/>
              <w:right w:val="single" w:color="auto" w:sz="4" w:space="0"/>
            </w:tcBorders>
            <w:shd w:val="clear" w:color="auto" w:fill="FFFFFF"/>
            <w:vAlign w:val="center"/>
          </w:tcPr>
          <w:p w14:paraId="3D564E34">
            <w:pPr>
              <w:adjustRightInd w:val="0"/>
              <w:jc w:val="center"/>
              <w:rPr>
                <w:rFonts w:ascii="Times New Roman" w:hAnsi="Times New Roman" w:cs="Times New Roman"/>
                <w:szCs w:val="21"/>
              </w:rPr>
            </w:pPr>
            <w:r>
              <w:rPr>
                <w:rFonts w:ascii="Times New Roman" w:hAnsi="Times New Roman" w:cs="Times New Roman"/>
                <w:szCs w:val="21"/>
              </w:rPr>
              <w:t>套</w:t>
            </w:r>
          </w:p>
        </w:tc>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3302F449">
            <w:pPr>
              <w:jc w:val="center"/>
              <w:textAlignment w:val="center"/>
              <w:rPr>
                <w:rFonts w:ascii="Times New Roman" w:hAnsi="Times New Roman" w:cs="Times New Roman"/>
                <w:szCs w:val="21"/>
              </w:rPr>
            </w:pPr>
            <w:r>
              <w:rPr>
                <w:rFonts w:ascii="Times New Roman" w:hAnsi="Times New Roman" w:cs="Times New Roman"/>
                <w:szCs w:val="21"/>
              </w:rPr>
              <w:t>1</w:t>
            </w:r>
          </w:p>
        </w:tc>
        <w:tc>
          <w:tcPr>
            <w:tcW w:w="534" w:type="pct"/>
            <w:tcBorders>
              <w:top w:val="single" w:color="auto" w:sz="4" w:space="0"/>
              <w:left w:val="single" w:color="auto" w:sz="4" w:space="0"/>
              <w:bottom w:val="single" w:color="auto" w:sz="4" w:space="0"/>
              <w:right w:val="single" w:color="auto" w:sz="4" w:space="0"/>
            </w:tcBorders>
            <w:vAlign w:val="center"/>
          </w:tcPr>
          <w:p w14:paraId="136274BB">
            <w:pPr>
              <w:adjustRightInd w:val="0"/>
              <w:jc w:val="center"/>
              <w:rPr>
                <w:rFonts w:ascii="Times New Roman" w:hAnsi="Times New Roman" w:cs="Times New Roman"/>
                <w:szCs w:val="21"/>
              </w:rPr>
            </w:pPr>
          </w:p>
        </w:tc>
        <w:tc>
          <w:tcPr>
            <w:tcW w:w="597" w:type="pct"/>
            <w:tcBorders>
              <w:top w:val="single" w:color="auto" w:sz="4" w:space="0"/>
              <w:left w:val="single" w:color="auto" w:sz="4" w:space="0"/>
              <w:bottom w:val="single" w:color="auto" w:sz="4" w:space="0"/>
              <w:right w:val="single" w:color="auto" w:sz="4" w:space="0"/>
            </w:tcBorders>
            <w:vAlign w:val="center"/>
          </w:tcPr>
          <w:p w14:paraId="4324E61A">
            <w:pPr>
              <w:adjustRightInd w:val="0"/>
              <w:jc w:val="center"/>
              <w:rPr>
                <w:rFonts w:ascii="Times New Roman" w:hAnsi="Times New Roman" w:cs="Times New Roman"/>
                <w:szCs w:val="21"/>
              </w:rPr>
            </w:pPr>
          </w:p>
        </w:tc>
      </w:tr>
      <w:tr w14:paraId="669D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7B7BE4A1">
            <w:pPr>
              <w:adjustRightInd w:val="0"/>
              <w:jc w:val="center"/>
              <w:rPr>
                <w:rFonts w:ascii="Times New Roman" w:hAnsi="Times New Roman" w:cs="Times New Roman"/>
                <w:szCs w:val="21"/>
              </w:rPr>
            </w:pPr>
            <w:r>
              <w:rPr>
                <w:rFonts w:ascii="Times New Roman" w:hAnsi="Times New Roman" w:cs="Times New Roman"/>
                <w:szCs w:val="21"/>
              </w:rPr>
              <w:t>（4）</w:t>
            </w:r>
          </w:p>
        </w:tc>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5AFEEE3F">
            <w:pPr>
              <w:adjustRightInd w:val="0"/>
              <w:jc w:val="center"/>
              <w:rPr>
                <w:rFonts w:ascii="Times New Roman" w:hAnsi="Times New Roman" w:cs="Times New Roman"/>
                <w:szCs w:val="21"/>
                <w:lang w:bidi="ar"/>
              </w:rPr>
            </w:pPr>
            <w:r>
              <w:rPr>
                <w:rFonts w:ascii="Times New Roman" w:hAnsi="Times New Roman" w:eastAsia="宋体" w:cs="Times New Roman"/>
                <w:b/>
                <w:bCs/>
                <w:szCs w:val="21"/>
              </w:rPr>
              <w:t>便携式专用主机</w:t>
            </w:r>
          </w:p>
        </w:tc>
        <w:tc>
          <w:tcPr>
            <w:tcW w:w="712" w:type="pct"/>
            <w:tcBorders>
              <w:top w:val="single" w:color="auto" w:sz="4" w:space="0"/>
              <w:left w:val="single" w:color="auto" w:sz="4" w:space="0"/>
              <w:bottom w:val="single" w:color="auto" w:sz="4" w:space="0"/>
              <w:right w:val="single" w:color="auto" w:sz="4" w:space="0"/>
            </w:tcBorders>
            <w:shd w:val="clear" w:color="auto" w:fill="FFFFFF"/>
            <w:vAlign w:val="center"/>
          </w:tcPr>
          <w:p w14:paraId="0106C72C">
            <w:pPr>
              <w:adjustRightInd w:val="0"/>
              <w:jc w:val="center"/>
              <w:rPr>
                <w:rFonts w:ascii="Times New Roman" w:hAnsi="Times New Roman" w:cs="Times New Roman"/>
                <w:szCs w:val="21"/>
              </w:rPr>
            </w:pPr>
          </w:p>
        </w:tc>
        <w:tc>
          <w:tcPr>
            <w:tcW w:w="672" w:type="pct"/>
            <w:tcBorders>
              <w:top w:val="single" w:color="auto" w:sz="4" w:space="0"/>
              <w:left w:val="single" w:color="auto" w:sz="4" w:space="0"/>
              <w:bottom w:val="single" w:color="auto" w:sz="4" w:space="0"/>
              <w:right w:val="single" w:color="auto" w:sz="4" w:space="0"/>
            </w:tcBorders>
            <w:shd w:val="clear" w:color="auto" w:fill="FFFFFF"/>
            <w:vAlign w:val="center"/>
          </w:tcPr>
          <w:p w14:paraId="7C13A61E">
            <w:pPr>
              <w:adjustRightInd w:val="0"/>
              <w:jc w:val="center"/>
              <w:rPr>
                <w:rFonts w:ascii="Times New Roman" w:hAnsi="Times New Roman" w:cs="Times New Roman"/>
                <w:szCs w:val="21"/>
              </w:rPr>
            </w:pPr>
          </w:p>
        </w:tc>
        <w:tc>
          <w:tcPr>
            <w:tcW w:w="502" w:type="pct"/>
            <w:tcBorders>
              <w:top w:val="single" w:color="auto" w:sz="4" w:space="0"/>
              <w:left w:val="single" w:color="auto" w:sz="4" w:space="0"/>
              <w:bottom w:val="single" w:color="auto" w:sz="4" w:space="0"/>
              <w:right w:val="single" w:color="auto" w:sz="4" w:space="0"/>
            </w:tcBorders>
            <w:shd w:val="clear" w:color="auto" w:fill="FFFFFF"/>
            <w:vAlign w:val="center"/>
          </w:tcPr>
          <w:p w14:paraId="18D8C384">
            <w:pPr>
              <w:adjustRightInd w:val="0"/>
              <w:jc w:val="center"/>
              <w:rPr>
                <w:rFonts w:ascii="Times New Roman" w:hAnsi="Times New Roman" w:cs="Times New Roman"/>
                <w:szCs w:val="21"/>
              </w:rPr>
            </w:pPr>
          </w:p>
        </w:tc>
        <w:tc>
          <w:tcPr>
            <w:tcW w:w="316" w:type="pct"/>
            <w:tcBorders>
              <w:top w:val="single" w:color="auto" w:sz="4" w:space="0"/>
              <w:left w:val="single" w:color="auto" w:sz="4" w:space="0"/>
              <w:bottom w:val="single" w:color="auto" w:sz="4" w:space="0"/>
              <w:right w:val="single" w:color="auto" w:sz="4" w:space="0"/>
            </w:tcBorders>
            <w:shd w:val="clear" w:color="auto" w:fill="FFFFFF"/>
            <w:vAlign w:val="center"/>
          </w:tcPr>
          <w:p w14:paraId="4ED14C49">
            <w:pPr>
              <w:adjustRightInd w:val="0"/>
              <w:jc w:val="center"/>
              <w:rPr>
                <w:rFonts w:ascii="Times New Roman" w:hAnsi="Times New Roman" w:cs="Times New Roman"/>
                <w:szCs w:val="21"/>
              </w:rPr>
            </w:pPr>
            <w:r>
              <w:rPr>
                <w:rFonts w:ascii="Times New Roman" w:hAnsi="Times New Roman" w:cs="Times New Roman"/>
                <w:szCs w:val="21"/>
              </w:rPr>
              <w:t>台</w:t>
            </w:r>
          </w:p>
        </w:tc>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4E68623D">
            <w:pPr>
              <w:jc w:val="center"/>
              <w:textAlignment w:val="center"/>
              <w:rPr>
                <w:rFonts w:ascii="Times New Roman" w:hAnsi="Times New Roman" w:cs="Times New Roman"/>
                <w:szCs w:val="21"/>
              </w:rPr>
            </w:pPr>
            <w:r>
              <w:rPr>
                <w:rFonts w:ascii="Times New Roman" w:hAnsi="Times New Roman" w:cs="Times New Roman"/>
                <w:szCs w:val="21"/>
              </w:rPr>
              <w:t>1</w:t>
            </w:r>
          </w:p>
        </w:tc>
        <w:tc>
          <w:tcPr>
            <w:tcW w:w="534" w:type="pct"/>
            <w:tcBorders>
              <w:top w:val="single" w:color="auto" w:sz="4" w:space="0"/>
              <w:left w:val="single" w:color="auto" w:sz="4" w:space="0"/>
              <w:bottom w:val="single" w:color="auto" w:sz="4" w:space="0"/>
              <w:right w:val="single" w:color="auto" w:sz="4" w:space="0"/>
            </w:tcBorders>
            <w:vAlign w:val="center"/>
          </w:tcPr>
          <w:p w14:paraId="158D9036">
            <w:pPr>
              <w:adjustRightInd w:val="0"/>
              <w:jc w:val="center"/>
              <w:rPr>
                <w:rFonts w:ascii="Times New Roman" w:hAnsi="Times New Roman" w:cs="Times New Roman"/>
                <w:szCs w:val="21"/>
              </w:rPr>
            </w:pPr>
          </w:p>
        </w:tc>
        <w:tc>
          <w:tcPr>
            <w:tcW w:w="597" w:type="pct"/>
            <w:tcBorders>
              <w:top w:val="single" w:color="auto" w:sz="4" w:space="0"/>
              <w:left w:val="single" w:color="auto" w:sz="4" w:space="0"/>
              <w:bottom w:val="single" w:color="auto" w:sz="4" w:space="0"/>
              <w:right w:val="single" w:color="auto" w:sz="4" w:space="0"/>
            </w:tcBorders>
            <w:vAlign w:val="center"/>
          </w:tcPr>
          <w:p w14:paraId="72E2171E">
            <w:pPr>
              <w:adjustRightInd w:val="0"/>
              <w:jc w:val="center"/>
              <w:rPr>
                <w:rFonts w:ascii="Times New Roman" w:hAnsi="Times New Roman" w:cs="Times New Roman"/>
                <w:szCs w:val="21"/>
              </w:rPr>
            </w:pPr>
          </w:p>
        </w:tc>
      </w:tr>
      <w:tr w14:paraId="0C3B7C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51B09E96">
            <w:pPr>
              <w:adjustRightInd w:val="0"/>
              <w:jc w:val="center"/>
              <w:rPr>
                <w:rFonts w:ascii="Times New Roman" w:hAnsi="Times New Roman" w:cs="Times New Roman"/>
                <w:szCs w:val="21"/>
              </w:rPr>
            </w:pPr>
            <w:r>
              <w:rPr>
                <w:rFonts w:ascii="Times New Roman" w:hAnsi="Times New Roman" w:cs="Times New Roman"/>
                <w:szCs w:val="21"/>
              </w:rPr>
              <w:t>（5）</w:t>
            </w:r>
          </w:p>
        </w:tc>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7FC0C830">
            <w:pPr>
              <w:adjustRightInd w:val="0"/>
              <w:jc w:val="center"/>
              <w:rPr>
                <w:rFonts w:ascii="Times New Roman" w:hAnsi="Times New Roman" w:cs="Times New Roman"/>
                <w:szCs w:val="21"/>
              </w:rPr>
            </w:pPr>
            <w:r>
              <w:rPr>
                <w:rFonts w:ascii="Times New Roman" w:hAnsi="Times New Roman" w:cs="Times New Roman"/>
                <w:szCs w:val="21"/>
              </w:rPr>
              <w:t>便携式防震航空箱</w:t>
            </w:r>
          </w:p>
        </w:tc>
        <w:tc>
          <w:tcPr>
            <w:tcW w:w="712" w:type="pct"/>
            <w:tcBorders>
              <w:top w:val="single" w:color="auto" w:sz="4" w:space="0"/>
              <w:left w:val="single" w:color="auto" w:sz="4" w:space="0"/>
              <w:bottom w:val="single" w:color="auto" w:sz="4" w:space="0"/>
              <w:right w:val="single" w:color="auto" w:sz="4" w:space="0"/>
            </w:tcBorders>
            <w:shd w:val="clear" w:color="auto" w:fill="FFFFFF"/>
            <w:vAlign w:val="center"/>
          </w:tcPr>
          <w:p w14:paraId="21CCE8A1">
            <w:pPr>
              <w:adjustRightInd w:val="0"/>
              <w:jc w:val="center"/>
              <w:rPr>
                <w:rFonts w:ascii="Times New Roman" w:hAnsi="Times New Roman" w:cs="Times New Roman"/>
                <w:szCs w:val="21"/>
              </w:rPr>
            </w:pPr>
          </w:p>
        </w:tc>
        <w:tc>
          <w:tcPr>
            <w:tcW w:w="672" w:type="pct"/>
            <w:tcBorders>
              <w:top w:val="single" w:color="auto" w:sz="4" w:space="0"/>
              <w:left w:val="single" w:color="auto" w:sz="4" w:space="0"/>
              <w:bottom w:val="single" w:color="auto" w:sz="4" w:space="0"/>
              <w:right w:val="single" w:color="auto" w:sz="4" w:space="0"/>
            </w:tcBorders>
            <w:shd w:val="clear" w:color="auto" w:fill="FFFFFF"/>
            <w:vAlign w:val="center"/>
          </w:tcPr>
          <w:p w14:paraId="4D052076">
            <w:pPr>
              <w:adjustRightInd w:val="0"/>
              <w:jc w:val="center"/>
              <w:rPr>
                <w:rFonts w:ascii="Times New Roman" w:hAnsi="Times New Roman" w:cs="Times New Roman"/>
                <w:szCs w:val="21"/>
              </w:rPr>
            </w:pPr>
          </w:p>
        </w:tc>
        <w:tc>
          <w:tcPr>
            <w:tcW w:w="502" w:type="pct"/>
            <w:tcBorders>
              <w:top w:val="single" w:color="auto" w:sz="4" w:space="0"/>
              <w:left w:val="single" w:color="auto" w:sz="4" w:space="0"/>
              <w:bottom w:val="single" w:color="auto" w:sz="4" w:space="0"/>
              <w:right w:val="single" w:color="auto" w:sz="4" w:space="0"/>
            </w:tcBorders>
            <w:shd w:val="clear" w:color="auto" w:fill="FFFFFF"/>
            <w:vAlign w:val="center"/>
          </w:tcPr>
          <w:p w14:paraId="58BB1CA4">
            <w:pPr>
              <w:adjustRightInd w:val="0"/>
              <w:jc w:val="center"/>
              <w:rPr>
                <w:rFonts w:ascii="Times New Roman" w:hAnsi="Times New Roman" w:cs="Times New Roman"/>
                <w:szCs w:val="21"/>
              </w:rPr>
            </w:pPr>
          </w:p>
        </w:tc>
        <w:tc>
          <w:tcPr>
            <w:tcW w:w="316" w:type="pct"/>
            <w:tcBorders>
              <w:top w:val="single" w:color="auto" w:sz="4" w:space="0"/>
              <w:left w:val="single" w:color="auto" w:sz="4" w:space="0"/>
              <w:bottom w:val="single" w:color="auto" w:sz="4" w:space="0"/>
              <w:right w:val="single" w:color="auto" w:sz="4" w:space="0"/>
            </w:tcBorders>
            <w:shd w:val="clear" w:color="auto" w:fill="FFFFFF"/>
            <w:vAlign w:val="center"/>
          </w:tcPr>
          <w:p w14:paraId="1D46AE40">
            <w:pPr>
              <w:adjustRightInd w:val="0"/>
              <w:jc w:val="center"/>
              <w:rPr>
                <w:rFonts w:ascii="Times New Roman" w:hAnsi="Times New Roman" w:cs="Times New Roman"/>
                <w:szCs w:val="21"/>
              </w:rPr>
            </w:pPr>
            <w:r>
              <w:rPr>
                <w:rFonts w:ascii="Times New Roman" w:hAnsi="Times New Roman" w:cs="Times New Roman"/>
                <w:szCs w:val="21"/>
              </w:rPr>
              <w:t>套</w:t>
            </w:r>
          </w:p>
        </w:tc>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3B978B97">
            <w:pPr>
              <w:jc w:val="center"/>
              <w:textAlignment w:val="center"/>
              <w:rPr>
                <w:rFonts w:ascii="Times New Roman" w:hAnsi="Times New Roman" w:cs="Times New Roman"/>
                <w:szCs w:val="21"/>
              </w:rPr>
            </w:pPr>
            <w:r>
              <w:rPr>
                <w:rFonts w:ascii="Times New Roman" w:hAnsi="Times New Roman" w:cs="Times New Roman"/>
                <w:szCs w:val="21"/>
              </w:rPr>
              <w:t>1</w:t>
            </w:r>
          </w:p>
        </w:tc>
        <w:tc>
          <w:tcPr>
            <w:tcW w:w="534" w:type="pct"/>
            <w:tcBorders>
              <w:top w:val="single" w:color="auto" w:sz="4" w:space="0"/>
              <w:left w:val="single" w:color="auto" w:sz="4" w:space="0"/>
              <w:bottom w:val="single" w:color="auto" w:sz="4" w:space="0"/>
              <w:right w:val="single" w:color="auto" w:sz="4" w:space="0"/>
            </w:tcBorders>
            <w:vAlign w:val="center"/>
          </w:tcPr>
          <w:p w14:paraId="3FD2FE7E">
            <w:pPr>
              <w:adjustRightInd w:val="0"/>
              <w:jc w:val="center"/>
              <w:rPr>
                <w:rFonts w:ascii="Times New Roman" w:hAnsi="Times New Roman" w:cs="Times New Roman"/>
                <w:szCs w:val="21"/>
              </w:rPr>
            </w:pPr>
          </w:p>
        </w:tc>
        <w:tc>
          <w:tcPr>
            <w:tcW w:w="597" w:type="pct"/>
            <w:tcBorders>
              <w:top w:val="single" w:color="auto" w:sz="4" w:space="0"/>
              <w:left w:val="single" w:color="auto" w:sz="4" w:space="0"/>
              <w:bottom w:val="single" w:color="auto" w:sz="4" w:space="0"/>
              <w:right w:val="single" w:color="auto" w:sz="4" w:space="0"/>
            </w:tcBorders>
            <w:vAlign w:val="center"/>
          </w:tcPr>
          <w:p w14:paraId="1C79EB10">
            <w:pPr>
              <w:adjustRightInd w:val="0"/>
              <w:jc w:val="center"/>
              <w:rPr>
                <w:rFonts w:ascii="Times New Roman" w:hAnsi="Times New Roman" w:cs="Times New Roman"/>
                <w:szCs w:val="21"/>
              </w:rPr>
            </w:pPr>
          </w:p>
        </w:tc>
      </w:tr>
      <w:tr w14:paraId="659890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402"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6129390D">
            <w:pPr>
              <w:adjustRightInd w:val="0"/>
              <w:jc w:val="center"/>
              <w:rPr>
                <w:rFonts w:ascii="Times New Roman" w:hAnsi="Times New Roman" w:cs="Times New Roman"/>
                <w:szCs w:val="21"/>
              </w:rPr>
            </w:pPr>
            <w:r>
              <w:rPr>
                <w:rFonts w:ascii="Times New Roman" w:hAnsi="Times New Roman" w:cs="Times New Roman"/>
                <w:szCs w:val="21"/>
              </w:rPr>
              <w:t>小计</w:t>
            </w:r>
          </w:p>
        </w:tc>
        <w:tc>
          <w:tcPr>
            <w:tcW w:w="597" w:type="pct"/>
            <w:tcBorders>
              <w:top w:val="single" w:color="auto" w:sz="4" w:space="0"/>
              <w:left w:val="single" w:color="auto" w:sz="4" w:space="0"/>
              <w:bottom w:val="single" w:color="auto" w:sz="4" w:space="0"/>
              <w:right w:val="single" w:color="auto" w:sz="4" w:space="0"/>
            </w:tcBorders>
            <w:vAlign w:val="center"/>
          </w:tcPr>
          <w:p w14:paraId="057E9EA3">
            <w:pPr>
              <w:adjustRightInd w:val="0"/>
              <w:jc w:val="center"/>
              <w:rPr>
                <w:rFonts w:ascii="Times New Roman" w:hAnsi="Times New Roman" w:cs="Times New Roman"/>
                <w:szCs w:val="21"/>
              </w:rPr>
            </w:pPr>
          </w:p>
        </w:tc>
      </w:tr>
    </w:tbl>
    <w:p w14:paraId="28F81484">
      <w:pPr>
        <w:adjustRightInd w:val="0"/>
        <w:snapToGrid w:val="0"/>
        <w:spacing w:line="288" w:lineRule="auto"/>
        <w:rPr>
          <w:rFonts w:ascii="Times New Roman" w:hAnsi="Times New Roman" w:cs="Times New Roman"/>
          <w:spacing w:val="-6"/>
          <w:szCs w:val="21"/>
        </w:rPr>
      </w:pPr>
      <w:r>
        <w:rPr>
          <w:rFonts w:ascii="Times New Roman" w:hAnsi="Times New Roman" w:cs="Times New Roman"/>
          <w:spacing w:val="-6"/>
          <w:szCs w:val="21"/>
        </w:rPr>
        <w:t>附3：视觉动态追踪系统组成明细表</w:t>
      </w:r>
    </w:p>
    <w:tbl>
      <w:tblPr>
        <w:tblStyle w:val="23"/>
        <w:tblW w:w="4993"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41"/>
        <w:gridCol w:w="1862"/>
        <w:gridCol w:w="1359"/>
        <w:gridCol w:w="1283"/>
        <w:gridCol w:w="958"/>
        <w:gridCol w:w="604"/>
        <w:gridCol w:w="604"/>
        <w:gridCol w:w="1052"/>
        <w:gridCol w:w="1152"/>
      </w:tblGrid>
      <w:tr w14:paraId="088370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5037D216">
            <w:pPr>
              <w:adjustRightInd w:val="0"/>
              <w:snapToGrid w:val="0"/>
              <w:jc w:val="center"/>
              <w:rPr>
                <w:rFonts w:ascii="Times New Roman" w:hAnsi="Times New Roman" w:cs="Times New Roman"/>
                <w:szCs w:val="21"/>
              </w:rPr>
            </w:pPr>
            <w:r>
              <w:rPr>
                <w:rFonts w:ascii="Times New Roman" w:hAnsi="Times New Roman" w:cs="Times New Roman"/>
                <w:spacing w:val="-6"/>
                <w:szCs w:val="21"/>
              </w:rPr>
              <w:t>视觉动态追踪系统组成明细表</w:t>
            </w:r>
          </w:p>
        </w:tc>
      </w:tr>
      <w:tr w14:paraId="3772CD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357D0F04">
            <w:pPr>
              <w:adjustRightInd w:val="0"/>
              <w:jc w:val="center"/>
              <w:rPr>
                <w:rFonts w:ascii="Times New Roman" w:hAnsi="Times New Roman" w:cs="Times New Roman"/>
                <w:szCs w:val="21"/>
              </w:rPr>
            </w:pPr>
            <w:r>
              <w:rPr>
                <w:rFonts w:ascii="Times New Roman" w:hAnsi="Times New Roman" w:cs="Times New Roman"/>
                <w:szCs w:val="21"/>
              </w:rPr>
              <w:t>序号</w:t>
            </w:r>
          </w:p>
        </w:tc>
        <w:tc>
          <w:tcPr>
            <w:tcW w:w="969" w:type="pct"/>
            <w:tcBorders>
              <w:top w:val="single" w:color="auto" w:sz="4" w:space="0"/>
              <w:left w:val="single" w:color="auto" w:sz="4" w:space="0"/>
              <w:bottom w:val="single" w:color="auto" w:sz="4" w:space="0"/>
              <w:right w:val="single" w:color="auto" w:sz="4" w:space="0"/>
            </w:tcBorders>
            <w:shd w:val="clear" w:color="auto" w:fill="auto"/>
            <w:vAlign w:val="center"/>
          </w:tcPr>
          <w:p w14:paraId="19B5EB3D">
            <w:pPr>
              <w:adjustRightInd w:val="0"/>
              <w:jc w:val="center"/>
              <w:rPr>
                <w:rFonts w:ascii="Times New Roman" w:hAnsi="Times New Roman" w:cs="Times New Roman"/>
                <w:szCs w:val="21"/>
              </w:rPr>
            </w:pPr>
            <w:r>
              <w:rPr>
                <w:rFonts w:ascii="Times New Roman" w:hAnsi="Times New Roman" w:cs="Times New Roman"/>
                <w:szCs w:val="21"/>
              </w:rPr>
              <w:t>名称</w:t>
            </w:r>
          </w:p>
        </w:tc>
        <w:tc>
          <w:tcPr>
            <w:tcW w:w="707" w:type="pct"/>
            <w:tcBorders>
              <w:top w:val="single" w:color="auto" w:sz="4" w:space="0"/>
              <w:left w:val="single" w:color="auto" w:sz="4" w:space="0"/>
              <w:bottom w:val="single" w:color="auto" w:sz="4" w:space="0"/>
              <w:right w:val="single" w:color="auto" w:sz="4" w:space="0"/>
            </w:tcBorders>
            <w:shd w:val="clear" w:color="auto" w:fill="FFFFFF"/>
            <w:vAlign w:val="center"/>
          </w:tcPr>
          <w:p w14:paraId="730E5461">
            <w:pPr>
              <w:adjustRightInd w:val="0"/>
              <w:jc w:val="center"/>
              <w:rPr>
                <w:rFonts w:ascii="Times New Roman" w:hAnsi="Times New Roman" w:cs="Times New Roman"/>
                <w:szCs w:val="21"/>
              </w:rPr>
            </w:pPr>
            <w:r>
              <w:rPr>
                <w:rFonts w:ascii="Times New Roman" w:hAnsi="Times New Roman" w:cs="Times New Roman"/>
                <w:szCs w:val="21"/>
              </w:rPr>
              <w:t>品牌</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07C8098C">
            <w:pPr>
              <w:adjustRightInd w:val="0"/>
              <w:jc w:val="center"/>
              <w:rPr>
                <w:rFonts w:ascii="Times New Roman" w:hAnsi="Times New Roman" w:cs="Times New Roman"/>
                <w:szCs w:val="21"/>
              </w:rPr>
            </w:pPr>
            <w:r>
              <w:rPr>
                <w:rFonts w:ascii="Times New Roman" w:hAnsi="Times New Roman" w:cs="Times New Roman"/>
                <w:szCs w:val="21"/>
              </w:rPr>
              <w:t>规格型号</w:t>
            </w:r>
          </w:p>
        </w:tc>
        <w:tc>
          <w:tcPr>
            <w:tcW w:w="498" w:type="pct"/>
            <w:tcBorders>
              <w:top w:val="single" w:color="auto" w:sz="4" w:space="0"/>
              <w:left w:val="single" w:color="auto" w:sz="4" w:space="0"/>
              <w:bottom w:val="single" w:color="auto" w:sz="4" w:space="0"/>
              <w:right w:val="single" w:color="auto" w:sz="4" w:space="0"/>
            </w:tcBorders>
            <w:shd w:val="clear" w:color="auto" w:fill="FFFFFF"/>
            <w:vAlign w:val="center"/>
          </w:tcPr>
          <w:p w14:paraId="20230086">
            <w:pPr>
              <w:adjustRightInd w:val="0"/>
              <w:jc w:val="center"/>
              <w:rPr>
                <w:rFonts w:ascii="Times New Roman" w:hAnsi="Times New Roman" w:cs="Times New Roman"/>
                <w:szCs w:val="21"/>
              </w:rPr>
            </w:pPr>
            <w:r>
              <w:rPr>
                <w:rFonts w:ascii="Times New Roman" w:hAnsi="Times New Roman" w:cs="Times New Roman"/>
                <w:szCs w:val="21"/>
              </w:rPr>
              <w:t>产地</w:t>
            </w: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14:paraId="79D7E526">
            <w:pPr>
              <w:adjustRightInd w:val="0"/>
              <w:jc w:val="center"/>
              <w:rPr>
                <w:rFonts w:ascii="Times New Roman" w:hAnsi="Times New Roman" w:cs="Times New Roman"/>
                <w:szCs w:val="21"/>
              </w:rPr>
            </w:pPr>
            <w:r>
              <w:rPr>
                <w:rFonts w:ascii="Times New Roman" w:hAnsi="Times New Roman" w:cs="Times New Roman"/>
                <w:szCs w:val="21"/>
              </w:rPr>
              <w:t>单位</w:t>
            </w: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14:paraId="6A7EE627">
            <w:pPr>
              <w:adjustRightInd w:val="0"/>
              <w:jc w:val="center"/>
              <w:rPr>
                <w:rFonts w:ascii="Times New Roman" w:hAnsi="Times New Roman" w:cs="Times New Roman"/>
                <w:szCs w:val="21"/>
              </w:rPr>
            </w:pPr>
            <w:r>
              <w:rPr>
                <w:rFonts w:ascii="Times New Roman" w:hAnsi="Times New Roman" w:cs="Times New Roman"/>
                <w:szCs w:val="21"/>
              </w:rPr>
              <w:t>数量</w:t>
            </w:r>
          </w:p>
        </w:tc>
        <w:tc>
          <w:tcPr>
            <w:tcW w:w="544" w:type="pct"/>
            <w:tcBorders>
              <w:top w:val="single" w:color="auto" w:sz="4" w:space="0"/>
              <w:left w:val="single" w:color="auto" w:sz="4" w:space="0"/>
              <w:bottom w:val="single" w:color="auto" w:sz="4" w:space="0"/>
              <w:right w:val="single" w:color="auto" w:sz="4" w:space="0"/>
            </w:tcBorders>
            <w:vAlign w:val="center"/>
          </w:tcPr>
          <w:p w14:paraId="2150500B">
            <w:pPr>
              <w:adjustRightInd w:val="0"/>
              <w:jc w:val="center"/>
              <w:rPr>
                <w:rFonts w:ascii="Times New Roman" w:hAnsi="Times New Roman" w:cs="Times New Roman"/>
                <w:szCs w:val="21"/>
              </w:rPr>
            </w:pPr>
            <w:r>
              <w:rPr>
                <w:rFonts w:ascii="Times New Roman" w:hAnsi="Times New Roman" w:cs="Times New Roman"/>
                <w:szCs w:val="21"/>
              </w:rPr>
              <w:t>单价</w:t>
            </w:r>
          </w:p>
        </w:tc>
        <w:tc>
          <w:tcPr>
            <w:tcW w:w="598" w:type="pct"/>
            <w:tcBorders>
              <w:top w:val="single" w:color="auto" w:sz="4" w:space="0"/>
              <w:left w:val="single" w:color="auto" w:sz="4" w:space="0"/>
              <w:bottom w:val="single" w:color="auto" w:sz="4" w:space="0"/>
              <w:right w:val="single" w:color="auto" w:sz="4" w:space="0"/>
            </w:tcBorders>
            <w:vAlign w:val="center"/>
          </w:tcPr>
          <w:p w14:paraId="211B82BA">
            <w:pPr>
              <w:adjustRightInd w:val="0"/>
              <w:jc w:val="center"/>
              <w:rPr>
                <w:rFonts w:ascii="Times New Roman" w:hAnsi="Times New Roman" w:cs="Times New Roman"/>
                <w:szCs w:val="21"/>
              </w:rPr>
            </w:pPr>
            <w:r>
              <w:rPr>
                <w:rFonts w:ascii="Times New Roman" w:hAnsi="Times New Roman" w:cs="Times New Roman"/>
                <w:szCs w:val="21"/>
              </w:rPr>
              <w:t>金额（人民币元）</w:t>
            </w:r>
          </w:p>
        </w:tc>
      </w:tr>
      <w:tr w14:paraId="580E82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4A311708">
            <w:pPr>
              <w:adjustRightInd w:val="0"/>
              <w:jc w:val="center"/>
              <w:rPr>
                <w:rFonts w:ascii="Times New Roman" w:hAnsi="Times New Roman" w:cs="Times New Roman"/>
                <w:szCs w:val="21"/>
              </w:rPr>
            </w:pPr>
            <w:r>
              <w:rPr>
                <w:rFonts w:ascii="Times New Roman" w:hAnsi="Times New Roman" w:cs="Times New Roman"/>
                <w:szCs w:val="21"/>
              </w:rPr>
              <w:t>（1）</w:t>
            </w:r>
          </w:p>
        </w:tc>
        <w:tc>
          <w:tcPr>
            <w:tcW w:w="969" w:type="pct"/>
            <w:tcBorders>
              <w:top w:val="single" w:color="auto" w:sz="4" w:space="0"/>
              <w:left w:val="single" w:color="auto" w:sz="4" w:space="0"/>
              <w:bottom w:val="single" w:color="auto" w:sz="4" w:space="0"/>
              <w:right w:val="single" w:color="auto" w:sz="4" w:space="0"/>
            </w:tcBorders>
            <w:shd w:val="clear" w:color="auto" w:fill="auto"/>
            <w:vAlign w:val="center"/>
          </w:tcPr>
          <w:p w14:paraId="584D674B">
            <w:pPr>
              <w:adjustRightInd w:val="0"/>
              <w:jc w:val="center"/>
              <w:rPr>
                <w:rFonts w:ascii="Times New Roman" w:hAnsi="Times New Roman" w:cs="Times New Roman"/>
                <w:szCs w:val="21"/>
              </w:rPr>
            </w:pPr>
            <w:r>
              <w:rPr>
                <w:rFonts w:ascii="Times New Roman" w:hAnsi="Times New Roman" w:cs="Times New Roman"/>
                <w:spacing w:val="-6"/>
                <w:szCs w:val="21"/>
              </w:rPr>
              <w:t>视觉动态追踪系统</w:t>
            </w:r>
          </w:p>
        </w:tc>
        <w:tc>
          <w:tcPr>
            <w:tcW w:w="707" w:type="pct"/>
            <w:tcBorders>
              <w:top w:val="single" w:color="auto" w:sz="4" w:space="0"/>
              <w:left w:val="single" w:color="auto" w:sz="4" w:space="0"/>
              <w:bottom w:val="single" w:color="auto" w:sz="4" w:space="0"/>
              <w:right w:val="single" w:color="auto" w:sz="4" w:space="0"/>
            </w:tcBorders>
            <w:shd w:val="clear" w:color="auto" w:fill="FFFFFF"/>
            <w:vAlign w:val="center"/>
          </w:tcPr>
          <w:p w14:paraId="2C809CD6">
            <w:pPr>
              <w:adjustRightInd w:val="0"/>
              <w:jc w:val="center"/>
              <w:rPr>
                <w:rFonts w:ascii="Times New Roman" w:hAnsi="Times New Roman" w:cs="Times New Roman"/>
                <w:szCs w:val="21"/>
              </w:rPr>
            </w:pP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5D0D897E">
            <w:pPr>
              <w:adjustRightInd w:val="0"/>
              <w:jc w:val="center"/>
              <w:rPr>
                <w:rFonts w:ascii="Times New Roman" w:hAnsi="Times New Roman" w:cs="Times New Roman"/>
                <w:szCs w:val="21"/>
              </w:rPr>
            </w:pPr>
          </w:p>
        </w:tc>
        <w:tc>
          <w:tcPr>
            <w:tcW w:w="498" w:type="pct"/>
            <w:tcBorders>
              <w:top w:val="single" w:color="auto" w:sz="4" w:space="0"/>
              <w:left w:val="single" w:color="auto" w:sz="4" w:space="0"/>
              <w:bottom w:val="single" w:color="auto" w:sz="4" w:space="0"/>
              <w:right w:val="single" w:color="auto" w:sz="4" w:space="0"/>
            </w:tcBorders>
            <w:shd w:val="clear" w:color="auto" w:fill="FFFFFF"/>
            <w:vAlign w:val="center"/>
          </w:tcPr>
          <w:p w14:paraId="6B60991D">
            <w:pPr>
              <w:adjustRightInd w:val="0"/>
              <w:jc w:val="center"/>
              <w:rPr>
                <w:rFonts w:ascii="Times New Roman" w:hAnsi="Times New Roman" w:cs="Times New Roman"/>
                <w:szCs w:val="21"/>
              </w:rPr>
            </w:pP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14:paraId="73DECE6A">
            <w:pPr>
              <w:adjustRightInd w:val="0"/>
              <w:jc w:val="center"/>
              <w:rPr>
                <w:rFonts w:ascii="Times New Roman" w:hAnsi="Times New Roman" w:cs="Times New Roman"/>
                <w:szCs w:val="21"/>
              </w:rPr>
            </w:pPr>
            <w:r>
              <w:rPr>
                <w:rFonts w:ascii="Times New Roman" w:hAnsi="Times New Roman" w:cs="Times New Roman"/>
                <w:szCs w:val="21"/>
              </w:rPr>
              <w:t>套</w:t>
            </w:r>
          </w:p>
        </w:tc>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45A1B377">
            <w:pPr>
              <w:jc w:val="center"/>
              <w:textAlignment w:val="center"/>
              <w:rPr>
                <w:rFonts w:ascii="Times New Roman" w:hAnsi="Times New Roman" w:cs="Times New Roman"/>
                <w:szCs w:val="21"/>
              </w:rPr>
            </w:pPr>
            <w:r>
              <w:rPr>
                <w:rFonts w:ascii="Times New Roman" w:hAnsi="Times New Roman" w:cs="Times New Roman"/>
                <w:szCs w:val="21"/>
              </w:rPr>
              <w:t>1</w:t>
            </w:r>
          </w:p>
        </w:tc>
        <w:tc>
          <w:tcPr>
            <w:tcW w:w="544" w:type="pct"/>
            <w:tcBorders>
              <w:top w:val="single" w:color="auto" w:sz="4" w:space="0"/>
              <w:left w:val="single" w:color="auto" w:sz="4" w:space="0"/>
              <w:bottom w:val="single" w:color="auto" w:sz="4" w:space="0"/>
              <w:right w:val="single" w:color="auto" w:sz="4" w:space="0"/>
            </w:tcBorders>
            <w:vAlign w:val="center"/>
          </w:tcPr>
          <w:p w14:paraId="676EB8EA">
            <w:pPr>
              <w:adjustRightInd w:val="0"/>
              <w:jc w:val="center"/>
              <w:rPr>
                <w:rFonts w:ascii="Times New Roman" w:hAnsi="Times New Roman" w:cs="Times New Roman"/>
                <w:szCs w:val="21"/>
              </w:rPr>
            </w:pPr>
          </w:p>
        </w:tc>
        <w:tc>
          <w:tcPr>
            <w:tcW w:w="598" w:type="pct"/>
            <w:tcBorders>
              <w:top w:val="single" w:color="auto" w:sz="4" w:space="0"/>
              <w:left w:val="single" w:color="auto" w:sz="4" w:space="0"/>
              <w:bottom w:val="single" w:color="auto" w:sz="4" w:space="0"/>
              <w:right w:val="single" w:color="auto" w:sz="4" w:space="0"/>
            </w:tcBorders>
            <w:vAlign w:val="center"/>
          </w:tcPr>
          <w:p w14:paraId="1DB8DD4D">
            <w:pPr>
              <w:adjustRightInd w:val="0"/>
              <w:jc w:val="center"/>
              <w:rPr>
                <w:rFonts w:ascii="Times New Roman" w:hAnsi="Times New Roman" w:cs="Times New Roman"/>
                <w:szCs w:val="21"/>
              </w:rPr>
            </w:pPr>
          </w:p>
        </w:tc>
      </w:tr>
      <w:tr w14:paraId="1F72D6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3FBEC1A8">
            <w:pPr>
              <w:adjustRightInd w:val="0"/>
              <w:jc w:val="center"/>
              <w:rPr>
                <w:rFonts w:ascii="Times New Roman" w:hAnsi="Times New Roman" w:cs="Times New Roman"/>
                <w:szCs w:val="21"/>
              </w:rPr>
            </w:pPr>
            <w:r>
              <w:rPr>
                <w:rFonts w:ascii="Times New Roman" w:hAnsi="Times New Roman" w:cs="Times New Roman"/>
                <w:szCs w:val="21"/>
              </w:rPr>
              <w:t>（2）</w:t>
            </w:r>
          </w:p>
        </w:tc>
        <w:tc>
          <w:tcPr>
            <w:tcW w:w="969" w:type="pct"/>
            <w:tcBorders>
              <w:top w:val="single" w:color="auto" w:sz="4" w:space="0"/>
              <w:left w:val="single" w:color="auto" w:sz="4" w:space="0"/>
              <w:bottom w:val="single" w:color="auto" w:sz="4" w:space="0"/>
              <w:right w:val="single" w:color="auto" w:sz="4" w:space="0"/>
            </w:tcBorders>
            <w:shd w:val="clear" w:color="auto" w:fill="auto"/>
            <w:vAlign w:val="center"/>
          </w:tcPr>
          <w:p w14:paraId="1418296B">
            <w:pPr>
              <w:adjustRightInd w:val="0"/>
              <w:jc w:val="center"/>
              <w:rPr>
                <w:rFonts w:ascii="Times New Roman" w:hAnsi="Times New Roman" w:cs="Times New Roman"/>
                <w:szCs w:val="21"/>
              </w:rPr>
            </w:pPr>
            <w:r>
              <w:rPr>
                <w:rFonts w:ascii="Times New Roman" w:hAnsi="Times New Roman" w:cs="Times New Roman"/>
                <w:szCs w:val="21"/>
              </w:rPr>
              <w:t>便携式专用主机</w:t>
            </w:r>
          </w:p>
        </w:tc>
        <w:tc>
          <w:tcPr>
            <w:tcW w:w="707" w:type="pct"/>
            <w:tcBorders>
              <w:top w:val="single" w:color="auto" w:sz="4" w:space="0"/>
              <w:left w:val="single" w:color="auto" w:sz="4" w:space="0"/>
              <w:bottom w:val="single" w:color="auto" w:sz="4" w:space="0"/>
              <w:right w:val="single" w:color="auto" w:sz="4" w:space="0"/>
            </w:tcBorders>
            <w:shd w:val="clear" w:color="auto" w:fill="FFFFFF"/>
            <w:vAlign w:val="center"/>
          </w:tcPr>
          <w:p w14:paraId="7DF9AA1C">
            <w:pPr>
              <w:adjustRightInd w:val="0"/>
              <w:jc w:val="center"/>
              <w:rPr>
                <w:rFonts w:ascii="Times New Roman" w:hAnsi="Times New Roman" w:cs="Times New Roman"/>
                <w:szCs w:val="21"/>
              </w:rPr>
            </w:pP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6DFFF5DF">
            <w:pPr>
              <w:adjustRightInd w:val="0"/>
              <w:jc w:val="center"/>
              <w:rPr>
                <w:rFonts w:ascii="Times New Roman" w:hAnsi="Times New Roman" w:cs="Times New Roman"/>
                <w:szCs w:val="21"/>
              </w:rPr>
            </w:pPr>
          </w:p>
        </w:tc>
        <w:tc>
          <w:tcPr>
            <w:tcW w:w="498" w:type="pct"/>
            <w:tcBorders>
              <w:top w:val="single" w:color="auto" w:sz="4" w:space="0"/>
              <w:left w:val="single" w:color="auto" w:sz="4" w:space="0"/>
              <w:bottom w:val="single" w:color="auto" w:sz="4" w:space="0"/>
              <w:right w:val="single" w:color="auto" w:sz="4" w:space="0"/>
            </w:tcBorders>
            <w:shd w:val="clear" w:color="auto" w:fill="FFFFFF"/>
            <w:vAlign w:val="center"/>
          </w:tcPr>
          <w:p w14:paraId="0F88560A">
            <w:pPr>
              <w:adjustRightInd w:val="0"/>
              <w:jc w:val="center"/>
              <w:rPr>
                <w:rFonts w:ascii="Times New Roman" w:hAnsi="Times New Roman" w:cs="Times New Roman"/>
                <w:szCs w:val="21"/>
              </w:rPr>
            </w:pP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14:paraId="7C597201">
            <w:pPr>
              <w:adjustRightInd w:val="0"/>
              <w:jc w:val="center"/>
              <w:rPr>
                <w:rFonts w:ascii="Times New Roman" w:hAnsi="Times New Roman" w:cs="Times New Roman"/>
                <w:szCs w:val="21"/>
              </w:rPr>
            </w:pPr>
            <w:r>
              <w:rPr>
                <w:rFonts w:ascii="Times New Roman" w:hAnsi="Times New Roman" w:cs="Times New Roman"/>
                <w:szCs w:val="21"/>
              </w:rPr>
              <w:t>台</w:t>
            </w:r>
          </w:p>
        </w:tc>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0E778F4C">
            <w:pPr>
              <w:jc w:val="center"/>
              <w:textAlignment w:val="center"/>
              <w:rPr>
                <w:rFonts w:ascii="Times New Roman" w:hAnsi="Times New Roman" w:cs="Times New Roman"/>
                <w:szCs w:val="21"/>
              </w:rPr>
            </w:pPr>
            <w:r>
              <w:rPr>
                <w:rFonts w:ascii="Times New Roman" w:hAnsi="Times New Roman" w:cs="Times New Roman"/>
                <w:szCs w:val="21"/>
              </w:rPr>
              <w:t>1</w:t>
            </w:r>
          </w:p>
        </w:tc>
        <w:tc>
          <w:tcPr>
            <w:tcW w:w="544" w:type="pct"/>
            <w:tcBorders>
              <w:top w:val="single" w:color="auto" w:sz="4" w:space="0"/>
              <w:left w:val="single" w:color="auto" w:sz="4" w:space="0"/>
              <w:bottom w:val="single" w:color="auto" w:sz="4" w:space="0"/>
              <w:right w:val="single" w:color="auto" w:sz="4" w:space="0"/>
            </w:tcBorders>
            <w:vAlign w:val="center"/>
          </w:tcPr>
          <w:p w14:paraId="1BC0FEB3">
            <w:pPr>
              <w:adjustRightInd w:val="0"/>
              <w:jc w:val="center"/>
              <w:rPr>
                <w:rFonts w:ascii="Times New Roman" w:hAnsi="Times New Roman" w:cs="Times New Roman"/>
                <w:szCs w:val="21"/>
              </w:rPr>
            </w:pPr>
          </w:p>
        </w:tc>
        <w:tc>
          <w:tcPr>
            <w:tcW w:w="598" w:type="pct"/>
            <w:tcBorders>
              <w:top w:val="single" w:color="auto" w:sz="4" w:space="0"/>
              <w:left w:val="single" w:color="auto" w:sz="4" w:space="0"/>
              <w:bottom w:val="single" w:color="auto" w:sz="4" w:space="0"/>
              <w:right w:val="single" w:color="auto" w:sz="4" w:space="0"/>
            </w:tcBorders>
            <w:vAlign w:val="center"/>
          </w:tcPr>
          <w:p w14:paraId="55F7D352">
            <w:pPr>
              <w:adjustRightInd w:val="0"/>
              <w:jc w:val="center"/>
              <w:rPr>
                <w:rFonts w:ascii="Times New Roman" w:hAnsi="Times New Roman" w:cs="Times New Roman"/>
                <w:szCs w:val="21"/>
              </w:rPr>
            </w:pPr>
          </w:p>
        </w:tc>
      </w:tr>
      <w:tr w14:paraId="46B6B9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401"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13A5FF36">
            <w:pPr>
              <w:adjustRightInd w:val="0"/>
              <w:jc w:val="center"/>
              <w:rPr>
                <w:rFonts w:ascii="Times New Roman" w:hAnsi="Times New Roman" w:cs="Times New Roman"/>
                <w:szCs w:val="21"/>
              </w:rPr>
            </w:pPr>
            <w:r>
              <w:rPr>
                <w:rFonts w:ascii="Times New Roman" w:hAnsi="Times New Roman" w:cs="Times New Roman"/>
                <w:szCs w:val="21"/>
              </w:rPr>
              <w:t>小计</w:t>
            </w:r>
          </w:p>
        </w:tc>
        <w:tc>
          <w:tcPr>
            <w:tcW w:w="598" w:type="pct"/>
            <w:tcBorders>
              <w:top w:val="single" w:color="auto" w:sz="4" w:space="0"/>
              <w:left w:val="single" w:color="auto" w:sz="4" w:space="0"/>
              <w:bottom w:val="single" w:color="auto" w:sz="4" w:space="0"/>
              <w:right w:val="single" w:color="auto" w:sz="4" w:space="0"/>
            </w:tcBorders>
            <w:vAlign w:val="center"/>
          </w:tcPr>
          <w:p w14:paraId="623C8492">
            <w:pPr>
              <w:adjustRightInd w:val="0"/>
              <w:jc w:val="center"/>
              <w:rPr>
                <w:rFonts w:ascii="Times New Roman" w:hAnsi="Times New Roman" w:cs="Times New Roman"/>
                <w:szCs w:val="21"/>
              </w:rPr>
            </w:pPr>
          </w:p>
        </w:tc>
      </w:tr>
    </w:tbl>
    <w:p w14:paraId="6AFACCEA">
      <w:pPr>
        <w:adjustRightInd w:val="0"/>
        <w:snapToGrid w:val="0"/>
        <w:spacing w:line="288" w:lineRule="auto"/>
        <w:rPr>
          <w:rFonts w:ascii="Times New Roman" w:hAnsi="Times New Roman" w:cs="Times New Roman"/>
          <w:spacing w:val="-6"/>
          <w:szCs w:val="21"/>
        </w:rPr>
      </w:pPr>
      <w:r>
        <w:rPr>
          <w:rFonts w:ascii="Times New Roman" w:hAnsi="Times New Roman" w:cs="Times New Roman"/>
          <w:spacing w:val="-6"/>
          <w:szCs w:val="21"/>
        </w:rPr>
        <w:t>附4：遥测式生理信号采集分析系统组成明细表</w:t>
      </w:r>
    </w:p>
    <w:tbl>
      <w:tblPr>
        <w:tblStyle w:val="23"/>
        <w:tblW w:w="4993"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37"/>
        <w:gridCol w:w="1854"/>
        <w:gridCol w:w="1350"/>
        <w:gridCol w:w="1273"/>
        <w:gridCol w:w="946"/>
        <w:gridCol w:w="590"/>
        <w:gridCol w:w="592"/>
        <w:gridCol w:w="1035"/>
        <w:gridCol w:w="1138"/>
      </w:tblGrid>
      <w:tr w14:paraId="77723A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32941EE6">
            <w:pPr>
              <w:adjustRightInd w:val="0"/>
              <w:snapToGrid w:val="0"/>
              <w:jc w:val="center"/>
              <w:rPr>
                <w:rFonts w:ascii="Times New Roman" w:hAnsi="Times New Roman" w:cs="Times New Roman"/>
                <w:szCs w:val="21"/>
              </w:rPr>
            </w:pPr>
            <w:r>
              <w:rPr>
                <w:rFonts w:ascii="Times New Roman" w:hAnsi="Times New Roman" w:cs="Times New Roman"/>
                <w:spacing w:val="-6"/>
                <w:szCs w:val="21"/>
              </w:rPr>
              <w:t>遥测式生理信号采集分析系统组成明细表</w:t>
            </w:r>
          </w:p>
        </w:tc>
      </w:tr>
      <w:tr w14:paraId="2C8AAB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744DE927">
            <w:pPr>
              <w:adjustRightInd w:val="0"/>
              <w:jc w:val="center"/>
              <w:rPr>
                <w:rFonts w:ascii="Times New Roman" w:hAnsi="Times New Roman" w:cs="Times New Roman"/>
                <w:szCs w:val="21"/>
              </w:rPr>
            </w:pPr>
            <w:r>
              <w:rPr>
                <w:rFonts w:ascii="Times New Roman" w:hAnsi="Times New Roman" w:cs="Times New Roman"/>
                <w:szCs w:val="21"/>
              </w:rPr>
              <w:t>序号</w:t>
            </w:r>
          </w:p>
        </w:tc>
        <w:tc>
          <w:tcPr>
            <w:tcW w:w="964" w:type="pct"/>
            <w:tcBorders>
              <w:top w:val="single" w:color="auto" w:sz="4" w:space="0"/>
              <w:left w:val="single" w:color="auto" w:sz="4" w:space="0"/>
              <w:bottom w:val="single" w:color="auto" w:sz="4" w:space="0"/>
              <w:right w:val="single" w:color="auto" w:sz="4" w:space="0"/>
            </w:tcBorders>
            <w:shd w:val="clear" w:color="auto" w:fill="auto"/>
            <w:vAlign w:val="center"/>
          </w:tcPr>
          <w:p w14:paraId="6BF67713">
            <w:pPr>
              <w:adjustRightInd w:val="0"/>
              <w:jc w:val="center"/>
              <w:rPr>
                <w:rFonts w:ascii="Times New Roman" w:hAnsi="Times New Roman" w:cs="Times New Roman"/>
                <w:szCs w:val="21"/>
              </w:rPr>
            </w:pPr>
            <w:r>
              <w:rPr>
                <w:rFonts w:ascii="Times New Roman" w:hAnsi="Times New Roman" w:cs="Times New Roman"/>
                <w:szCs w:val="21"/>
              </w:rPr>
              <w:t>名称</w:t>
            </w:r>
          </w:p>
        </w:tc>
        <w:tc>
          <w:tcPr>
            <w:tcW w:w="702" w:type="pct"/>
            <w:tcBorders>
              <w:top w:val="single" w:color="auto" w:sz="4" w:space="0"/>
              <w:left w:val="single" w:color="auto" w:sz="4" w:space="0"/>
              <w:bottom w:val="single" w:color="auto" w:sz="4" w:space="0"/>
              <w:right w:val="single" w:color="auto" w:sz="4" w:space="0"/>
            </w:tcBorders>
            <w:shd w:val="clear" w:color="auto" w:fill="FFFFFF"/>
            <w:vAlign w:val="center"/>
          </w:tcPr>
          <w:p w14:paraId="6943021F">
            <w:pPr>
              <w:adjustRightInd w:val="0"/>
              <w:jc w:val="center"/>
              <w:rPr>
                <w:rFonts w:ascii="Times New Roman" w:hAnsi="Times New Roman" w:cs="Times New Roman"/>
                <w:szCs w:val="21"/>
              </w:rPr>
            </w:pPr>
            <w:r>
              <w:rPr>
                <w:rFonts w:ascii="Times New Roman" w:hAnsi="Times New Roman" w:cs="Times New Roman"/>
                <w:szCs w:val="21"/>
              </w:rPr>
              <w:t>品牌</w:t>
            </w:r>
          </w:p>
        </w:tc>
        <w:tc>
          <w:tcPr>
            <w:tcW w:w="662" w:type="pct"/>
            <w:tcBorders>
              <w:top w:val="single" w:color="auto" w:sz="4" w:space="0"/>
              <w:left w:val="single" w:color="auto" w:sz="4" w:space="0"/>
              <w:bottom w:val="single" w:color="auto" w:sz="4" w:space="0"/>
              <w:right w:val="single" w:color="auto" w:sz="4" w:space="0"/>
            </w:tcBorders>
            <w:shd w:val="clear" w:color="auto" w:fill="FFFFFF"/>
            <w:vAlign w:val="center"/>
          </w:tcPr>
          <w:p w14:paraId="4AB54098">
            <w:pPr>
              <w:adjustRightInd w:val="0"/>
              <w:jc w:val="center"/>
              <w:rPr>
                <w:rFonts w:ascii="Times New Roman" w:hAnsi="Times New Roman" w:cs="Times New Roman"/>
                <w:szCs w:val="21"/>
              </w:rPr>
            </w:pPr>
            <w:r>
              <w:rPr>
                <w:rFonts w:ascii="Times New Roman" w:hAnsi="Times New Roman" w:cs="Times New Roman"/>
                <w:szCs w:val="21"/>
              </w:rPr>
              <w:t>规格型号</w:t>
            </w:r>
          </w:p>
        </w:tc>
        <w:tc>
          <w:tcPr>
            <w:tcW w:w="492" w:type="pct"/>
            <w:tcBorders>
              <w:top w:val="single" w:color="auto" w:sz="4" w:space="0"/>
              <w:left w:val="single" w:color="auto" w:sz="4" w:space="0"/>
              <w:bottom w:val="single" w:color="auto" w:sz="4" w:space="0"/>
              <w:right w:val="single" w:color="auto" w:sz="4" w:space="0"/>
            </w:tcBorders>
            <w:shd w:val="clear" w:color="auto" w:fill="FFFFFF"/>
            <w:vAlign w:val="center"/>
          </w:tcPr>
          <w:p w14:paraId="267BDF30">
            <w:pPr>
              <w:adjustRightInd w:val="0"/>
              <w:jc w:val="center"/>
              <w:rPr>
                <w:rFonts w:ascii="Times New Roman" w:hAnsi="Times New Roman" w:cs="Times New Roman"/>
                <w:szCs w:val="21"/>
              </w:rPr>
            </w:pPr>
            <w:r>
              <w:rPr>
                <w:rFonts w:ascii="Times New Roman" w:hAnsi="Times New Roman" w:cs="Times New Roman"/>
                <w:szCs w:val="21"/>
              </w:rPr>
              <w:t>产地</w:t>
            </w:r>
          </w:p>
        </w:tc>
        <w:tc>
          <w:tcPr>
            <w:tcW w:w="307" w:type="pct"/>
            <w:tcBorders>
              <w:top w:val="single" w:color="auto" w:sz="4" w:space="0"/>
              <w:left w:val="single" w:color="auto" w:sz="4" w:space="0"/>
              <w:bottom w:val="single" w:color="auto" w:sz="4" w:space="0"/>
              <w:right w:val="single" w:color="auto" w:sz="4" w:space="0"/>
            </w:tcBorders>
            <w:shd w:val="clear" w:color="auto" w:fill="FFFFFF"/>
            <w:vAlign w:val="center"/>
          </w:tcPr>
          <w:p w14:paraId="792DF15A">
            <w:pPr>
              <w:adjustRightInd w:val="0"/>
              <w:jc w:val="center"/>
              <w:rPr>
                <w:rFonts w:ascii="Times New Roman" w:hAnsi="Times New Roman" w:cs="Times New Roman"/>
                <w:szCs w:val="21"/>
              </w:rPr>
            </w:pPr>
            <w:r>
              <w:rPr>
                <w:rFonts w:ascii="Times New Roman" w:hAnsi="Times New Roman" w:cs="Times New Roman"/>
                <w:szCs w:val="21"/>
              </w:rPr>
              <w:t>单位</w:t>
            </w:r>
          </w:p>
        </w:tc>
        <w:tc>
          <w:tcPr>
            <w:tcW w:w="308" w:type="pct"/>
            <w:tcBorders>
              <w:top w:val="single" w:color="auto" w:sz="4" w:space="0"/>
              <w:left w:val="single" w:color="auto" w:sz="4" w:space="0"/>
              <w:bottom w:val="single" w:color="auto" w:sz="4" w:space="0"/>
              <w:right w:val="single" w:color="auto" w:sz="4" w:space="0"/>
            </w:tcBorders>
            <w:shd w:val="clear" w:color="auto" w:fill="FFFFFF"/>
            <w:vAlign w:val="center"/>
          </w:tcPr>
          <w:p w14:paraId="7290FD62">
            <w:pPr>
              <w:adjustRightInd w:val="0"/>
              <w:jc w:val="center"/>
              <w:rPr>
                <w:rFonts w:ascii="Times New Roman" w:hAnsi="Times New Roman" w:cs="Times New Roman"/>
                <w:szCs w:val="21"/>
              </w:rPr>
            </w:pPr>
            <w:r>
              <w:rPr>
                <w:rFonts w:ascii="Times New Roman" w:hAnsi="Times New Roman" w:cs="Times New Roman"/>
                <w:szCs w:val="21"/>
              </w:rPr>
              <w:t>数量</w:t>
            </w:r>
          </w:p>
        </w:tc>
        <w:tc>
          <w:tcPr>
            <w:tcW w:w="538" w:type="pct"/>
            <w:tcBorders>
              <w:top w:val="single" w:color="auto" w:sz="4" w:space="0"/>
              <w:left w:val="single" w:color="auto" w:sz="4" w:space="0"/>
              <w:bottom w:val="single" w:color="auto" w:sz="4" w:space="0"/>
              <w:right w:val="single" w:color="auto" w:sz="4" w:space="0"/>
            </w:tcBorders>
            <w:vAlign w:val="center"/>
          </w:tcPr>
          <w:p w14:paraId="3F5583D3">
            <w:pPr>
              <w:adjustRightInd w:val="0"/>
              <w:jc w:val="center"/>
              <w:rPr>
                <w:rFonts w:ascii="Times New Roman" w:hAnsi="Times New Roman" w:cs="Times New Roman"/>
                <w:szCs w:val="21"/>
              </w:rPr>
            </w:pPr>
            <w:r>
              <w:rPr>
                <w:rFonts w:ascii="Times New Roman" w:hAnsi="Times New Roman" w:cs="Times New Roman"/>
                <w:szCs w:val="21"/>
              </w:rPr>
              <w:t>单价</w:t>
            </w:r>
          </w:p>
        </w:tc>
        <w:tc>
          <w:tcPr>
            <w:tcW w:w="592" w:type="pct"/>
            <w:tcBorders>
              <w:top w:val="single" w:color="auto" w:sz="4" w:space="0"/>
              <w:left w:val="single" w:color="auto" w:sz="4" w:space="0"/>
              <w:bottom w:val="single" w:color="auto" w:sz="4" w:space="0"/>
              <w:right w:val="single" w:color="auto" w:sz="4" w:space="0"/>
            </w:tcBorders>
            <w:vAlign w:val="center"/>
          </w:tcPr>
          <w:p w14:paraId="4EAF0CCB">
            <w:pPr>
              <w:adjustRightInd w:val="0"/>
              <w:jc w:val="center"/>
              <w:rPr>
                <w:rFonts w:ascii="Times New Roman" w:hAnsi="Times New Roman" w:cs="Times New Roman"/>
                <w:szCs w:val="21"/>
              </w:rPr>
            </w:pPr>
            <w:r>
              <w:rPr>
                <w:rFonts w:ascii="Times New Roman" w:hAnsi="Times New Roman" w:cs="Times New Roman"/>
                <w:szCs w:val="21"/>
              </w:rPr>
              <w:t>金额（人民币元）</w:t>
            </w:r>
          </w:p>
        </w:tc>
      </w:tr>
      <w:tr w14:paraId="566A1B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5ED2D8BD">
            <w:pPr>
              <w:adjustRightInd w:val="0"/>
              <w:jc w:val="center"/>
              <w:rPr>
                <w:rFonts w:ascii="Times New Roman" w:hAnsi="Times New Roman" w:cs="Times New Roman"/>
                <w:szCs w:val="21"/>
              </w:rPr>
            </w:pPr>
            <w:r>
              <w:rPr>
                <w:rFonts w:ascii="Times New Roman" w:hAnsi="Times New Roman" w:cs="Times New Roman"/>
                <w:szCs w:val="21"/>
              </w:rPr>
              <w:t>（1）</w:t>
            </w:r>
          </w:p>
        </w:tc>
        <w:tc>
          <w:tcPr>
            <w:tcW w:w="964" w:type="pct"/>
            <w:tcBorders>
              <w:top w:val="single" w:color="auto" w:sz="4" w:space="0"/>
              <w:left w:val="single" w:color="auto" w:sz="4" w:space="0"/>
              <w:bottom w:val="single" w:color="auto" w:sz="4" w:space="0"/>
              <w:right w:val="single" w:color="auto" w:sz="4" w:space="0"/>
            </w:tcBorders>
            <w:shd w:val="clear" w:color="auto" w:fill="auto"/>
            <w:vAlign w:val="center"/>
          </w:tcPr>
          <w:p w14:paraId="59D1B1C3">
            <w:pPr>
              <w:adjustRightInd w:val="0"/>
              <w:jc w:val="center"/>
              <w:rPr>
                <w:rFonts w:ascii="Times New Roman" w:hAnsi="Times New Roman" w:cs="Times New Roman"/>
                <w:szCs w:val="21"/>
              </w:rPr>
            </w:pPr>
            <w:r>
              <w:rPr>
                <w:rFonts w:ascii="Times New Roman" w:hAnsi="Times New Roman" w:cs="Times New Roman"/>
                <w:szCs w:val="21"/>
              </w:rPr>
              <w:t>遥测式生理信号采集分析系统</w:t>
            </w:r>
          </w:p>
        </w:tc>
        <w:tc>
          <w:tcPr>
            <w:tcW w:w="702" w:type="pct"/>
            <w:tcBorders>
              <w:top w:val="single" w:color="auto" w:sz="4" w:space="0"/>
              <w:left w:val="single" w:color="auto" w:sz="4" w:space="0"/>
              <w:bottom w:val="single" w:color="auto" w:sz="4" w:space="0"/>
              <w:right w:val="single" w:color="auto" w:sz="4" w:space="0"/>
            </w:tcBorders>
            <w:shd w:val="clear" w:color="auto" w:fill="FFFFFF"/>
            <w:vAlign w:val="center"/>
          </w:tcPr>
          <w:p w14:paraId="5C9D5D48">
            <w:pPr>
              <w:adjustRightInd w:val="0"/>
              <w:jc w:val="center"/>
              <w:rPr>
                <w:rFonts w:ascii="Times New Roman" w:hAnsi="Times New Roman" w:cs="Times New Roman"/>
                <w:szCs w:val="21"/>
              </w:rPr>
            </w:pPr>
          </w:p>
        </w:tc>
        <w:tc>
          <w:tcPr>
            <w:tcW w:w="662" w:type="pct"/>
            <w:tcBorders>
              <w:top w:val="single" w:color="auto" w:sz="4" w:space="0"/>
              <w:left w:val="single" w:color="auto" w:sz="4" w:space="0"/>
              <w:bottom w:val="single" w:color="auto" w:sz="4" w:space="0"/>
              <w:right w:val="single" w:color="auto" w:sz="4" w:space="0"/>
            </w:tcBorders>
            <w:shd w:val="clear" w:color="auto" w:fill="FFFFFF"/>
            <w:vAlign w:val="center"/>
          </w:tcPr>
          <w:p w14:paraId="1C106C06">
            <w:pPr>
              <w:adjustRightInd w:val="0"/>
              <w:jc w:val="center"/>
              <w:rPr>
                <w:rFonts w:ascii="Times New Roman" w:hAnsi="Times New Roman" w:cs="Times New Roman"/>
                <w:szCs w:val="21"/>
              </w:rPr>
            </w:pPr>
          </w:p>
        </w:tc>
        <w:tc>
          <w:tcPr>
            <w:tcW w:w="492" w:type="pct"/>
            <w:tcBorders>
              <w:top w:val="single" w:color="auto" w:sz="4" w:space="0"/>
              <w:left w:val="single" w:color="auto" w:sz="4" w:space="0"/>
              <w:bottom w:val="single" w:color="auto" w:sz="4" w:space="0"/>
              <w:right w:val="single" w:color="auto" w:sz="4" w:space="0"/>
            </w:tcBorders>
            <w:shd w:val="clear" w:color="auto" w:fill="FFFFFF"/>
            <w:vAlign w:val="center"/>
          </w:tcPr>
          <w:p w14:paraId="3D0CE5FE">
            <w:pPr>
              <w:adjustRightInd w:val="0"/>
              <w:jc w:val="center"/>
              <w:rPr>
                <w:rFonts w:ascii="Times New Roman" w:hAnsi="Times New Roman" w:cs="Times New Roman"/>
                <w:szCs w:val="21"/>
              </w:rPr>
            </w:pPr>
          </w:p>
        </w:tc>
        <w:tc>
          <w:tcPr>
            <w:tcW w:w="307" w:type="pct"/>
            <w:tcBorders>
              <w:top w:val="single" w:color="auto" w:sz="4" w:space="0"/>
              <w:left w:val="single" w:color="auto" w:sz="4" w:space="0"/>
              <w:bottom w:val="single" w:color="auto" w:sz="4" w:space="0"/>
              <w:right w:val="single" w:color="auto" w:sz="4" w:space="0"/>
            </w:tcBorders>
            <w:shd w:val="clear" w:color="auto" w:fill="FFFFFF"/>
            <w:vAlign w:val="center"/>
          </w:tcPr>
          <w:p w14:paraId="32E00383">
            <w:pPr>
              <w:adjustRightInd w:val="0"/>
              <w:jc w:val="center"/>
              <w:rPr>
                <w:rFonts w:ascii="Times New Roman" w:hAnsi="Times New Roman" w:cs="Times New Roman"/>
                <w:szCs w:val="21"/>
              </w:rPr>
            </w:pPr>
            <w:r>
              <w:rPr>
                <w:rFonts w:ascii="Times New Roman" w:hAnsi="Times New Roman" w:cs="Times New Roman"/>
                <w:szCs w:val="21"/>
              </w:rPr>
              <w:t>套</w:t>
            </w:r>
          </w:p>
        </w:tc>
        <w:tc>
          <w:tcPr>
            <w:tcW w:w="308" w:type="pct"/>
            <w:tcBorders>
              <w:top w:val="single" w:color="auto" w:sz="4" w:space="0"/>
              <w:left w:val="single" w:color="auto" w:sz="4" w:space="0"/>
              <w:bottom w:val="single" w:color="auto" w:sz="4" w:space="0"/>
              <w:right w:val="single" w:color="auto" w:sz="4" w:space="0"/>
            </w:tcBorders>
            <w:shd w:val="clear" w:color="auto" w:fill="auto"/>
            <w:vAlign w:val="center"/>
          </w:tcPr>
          <w:p w14:paraId="56F381F2">
            <w:pPr>
              <w:jc w:val="center"/>
              <w:textAlignment w:val="center"/>
              <w:rPr>
                <w:rFonts w:ascii="Times New Roman" w:hAnsi="Times New Roman" w:cs="Times New Roman"/>
                <w:szCs w:val="21"/>
              </w:rPr>
            </w:pPr>
            <w:r>
              <w:rPr>
                <w:rFonts w:ascii="Times New Roman" w:hAnsi="Times New Roman" w:cs="Times New Roman"/>
                <w:szCs w:val="21"/>
              </w:rPr>
              <w:t>1</w:t>
            </w:r>
          </w:p>
        </w:tc>
        <w:tc>
          <w:tcPr>
            <w:tcW w:w="538" w:type="pct"/>
            <w:tcBorders>
              <w:top w:val="single" w:color="auto" w:sz="4" w:space="0"/>
              <w:left w:val="single" w:color="auto" w:sz="4" w:space="0"/>
              <w:bottom w:val="single" w:color="auto" w:sz="4" w:space="0"/>
              <w:right w:val="single" w:color="auto" w:sz="4" w:space="0"/>
            </w:tcBorders>
            <w:vAlign w:val="center"/>
          </w:tcPr>
          <w:p w14:paraId="56CCF415">
            <w:pPr>
              <w:adjustRightInd w:val="0"/>
              <w:jc w:val="center"/>
              <w:rPr>
                <w:rFonts w:ascii="Times New Roman" w:hAnsi="Times New Roman" w:cs="Times New Roman"/>
                <w:szCs w:val="21"/>
              </w:rPr>
            </w:pPr>
          </w:p>
        </w:tc>
        <w:tc>
          <w:tcPr>
            <w:tcW w:w="592" w:type="pct"/>
            <w:tcBorders>
              <w:top w:val="single" w:color="auto" w:sz="4" w:space="0"/>
              <w:left w:val="single" w:color="auto" w:sz="4" w:space="0"/>
              <w:bottom w:val="single" w:color="auto" w:sz="4" w:space="0"/>
              <w:right w:val="single" w:color="auto" w:sz="4" w:space="0"/>
            </w:tcBorders>
            <w:vAlign w:val="center"/>
          </w:tcPr>
          <w:p w14:paraId="0FBCBB4C">
            <w:pPr>
              <w:adjustRightInd w:val="0"/>
              <w:jc w:val="center"/>
              <w:rPr>
                <w:rFonts w:ascii="Times New Roman" w:hAnsi="Times New Roman" w:cs="Times New Roman"/>
                <w:szCs w:val="21"/>
              </w:rPr>
            </w:pPr>
          </w:p>
        </w:tc>
      </w:tr>
      <w:tr w14:paraId="3CFAD8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3FA00753">
            <w:pPr>
              <w:adjustRightInd w:val="0"/>
              <w:jc w:val="center"/>
              <w:rPr>
                <w:rFonts w:ascii="Times New Roman" w:hAnsi="Times New Roman" w:cs="Times New Roman"/>
                <w:szCs w:val="21"/>
              </w:rPr>
            </w:pPr>
            <w:r>
              <w:rPr>
                <w:rFonts w:ascii="Times New Roman" w:hAnsi="Times New Roman" w:cs="Times New Roman"/>
                <w:szCs w:val="21"/>
              </w:rPr>
              <w:t>（2）</w:t>
            </w:r>
          </w:p>
        </w:tc>
        <w:tc>
          <w:tcPr>
            <w:tcW w:w="964" w:type="pct"/>
            <w:tcBorders>
              <w:top w:val="single" w:color="auto" w:sz="4" w:space="0"/>
              <w:left w:val="single" w:color="auto" w:sz="4" w:space="0"/>
              <w:bottom w:val="single" w:color="auto" w:sz="4" w:space="0"/>
              <w:right w:val="single" w:color="auto" w:sz="4" w:space="0"/>
            </w:tcBorders>
            <w:shd w:val="clear" w:color="auto" w:fill="auto"/>
            <w:vAlign w:val="center"/>
          </w:tcPr>
          <w:p w14:paraId="7945CD6C">
            <w:pPr>
              <w:adjustRightInd w:val="0"/>
              <w:jc w:val="center"/>
              <w:rPr>
                <w:rFonts w:ascii="Times New Roman" w:hAnsi="Times New Roman" w:cs="Times New Roman"/>
                <w:szCs w:val="21"/>
              </w:rPr>
            </w:pPr>
            <w:r>
              <w:rPr>
                <w:rFonts w:ascii="Times New Roman" w:hAnsi="Times New Roman" w:cs="Times New Roman"/>
                <w:kern w:val="0"/>
                <w:szCs w:val="21"/>
                <w:lang w:bidi="ar"/>
              </w:rPr>
              <w:t>专用采集分析主机</w:t>
            </w:r>
          </w:p>
        </w:tc>
        <w:tc>
          <w:tcPr>
            <w:tcW w:w="702" w:type="pct"/>
            <w:tcBorders>
              <w:top w:val="single" w:color="auto" w:sz="4" w:space="0"/>
              <w:left w:val="single" w:color="auto" w:sz="4" w:space="0"/>
              <w:bottom w:val="single" w:color="auto" w:sz="4" w:space="0"/>
              <w:right w:val="single" w:color="auto" w:sz="4" w:space="0"/>
            </w:tcBorders>
            <w:shd w:val="clear" w:color="auto" w:fill="FFFFFF"/>
            <w:vAlign w:val="center"/>
          </w:tcPr>
          <w:p w14:paraId="05E69303">
            <w:pPr>
              <w:adjustRightInd w:val="0"/>
              <w:jc w:val="center"/>
              <w:rPr>
                <w:rFonts w:ascii="Times New Roman" w:hAnsi="Times New Roman" w:cs="Times New Roman"/>
                <w:szCs w:val="21"/>
              </w:rPr>
            </w:pPr>
          </w:p>
        </w:tc>
        <w:tc>
          <w:tcPr>
            <w:tcW w:w="662" w:type="pct"/>
            <w:tcBorders>
              <w:top w:val="single" w:color="auto" w:sz="4" w:space="0"/>
              <w:left w:val="single" w:color="auto" w:sz="4" w:space="0"/>
              <w:bottom w:val="single" w:color="auto" w:sz="4" w:space="0"/>
              <w:right w:val="single" w:color="auto" w:sz="4" w:space="0"/>
            </w:tcBorders>
            <w:shd w:val="clear" w:color="auto" w:fill="FFFFFF"/>
            <w:vAlign w:val="center"/>
          </w:tcPr>
          <w:p w14:paraId="79A2876B">
            <w:pPr>
              <w:adjustRightInd w:val="0"/>
              <w:jc w:val="center"/>
              <w:rPr>
                <w:rFonts w:ascii="Times New Roman" w:hAnsi="Times New Roman" w:cs="Times New Roman"/>
                <w:szCs w:val="21"/>
              </w:rPr>
            </w:pPr>
          </w:p>
        </w:tc>
        <w:tc>
          <w:tcPr>
            <w:tcW w:w="492" w:type="pct"/>
            <w:tcBorders>
              <w:top w:val="single" w:color="auto" w:sz="4" w:space="0"/>
              <w:left w:val="single" w:color="auto" w:sz="4" w:space="0"/>
              <w:bottom w:val="single" w:color="auto" w:sz="4" w:space="0"/>
              <w:right w:val="single" w:color="auto" w:sz="4" w:space="0"/>
            </w:tcBorders>
            <w:shd w:val="clear" w:color="auto" w:fill="FFFFFF"/>
            <w:vAlign w:val="center"/>
          </w:tcPr>
          <w:p w14:paraId="6B320FF3">
            <w:pPr>
              <w:adjustRightInd w:val="0"/>
              <w:jc w:val="center"/>
              <w:rPr>
                <w:rFonts w:ascii="Times New Roman" w:hAnsi="Times New Roman" w:cs="Times New Roman"/>
                <w:szCs w:val="21"/>
              </w:rPr>
            </w:pPr>
          </w:p>
        </w:tc>
        <w:tc>
          <w:tcPr>
            <w:tcW w:w="307" w:type="pct"/>
            <w:tcBorders>
              <w:top w:val="single" w:color="auto" w:sz="4" w:space="0"/>
              <w:left w:val="single" w:color="auto" w:sz="4" w:space="0"/>
              <w:bottom w:val="single" w:color="auto" w:sz="4" w:space="0"/>
              <w:right w:val="single" w:color="auto" w:sz="4" w:space="0"/>
            </w:tcBorders>
            <w:shd w:val="clear" w:color="auto" w:fill="FFFFFF"/>
            <w:vAlign w:val="center"/>
          </w:tcPr>
          <w:p w14:paraId="7A9AD5AF">
            <w:pPr>
              <w:adjustRightInd w:val="0"/>
              <w:jc w:val="center"/>
              <w:rPr>
                <w:rFonts w:ascii="Times New Roman" w:hAnsi="Times New Roman" w:cs="Times New Roman"/>
                <w:szCs w:val="21"/>
              </w:rPr>
            </w:pPr>
            <w:r>
              <w:rPr>
                <w:rFonts w:ascii="Times New Roman" w:hAnsi="Times New Roman" w:cs="Times New Roman"/>
                <w:szCs w:val="21"/>
              </w:rPr>
              <w:t>台</w:t>
            </w:r>
          </w:p>
        </w:tc>
        <w:tc>
          <w:tcPr>
            <w:tcW w:w="308" w:type="pct"/>
            <w:tcBorders>
              <w:top w:val="single" w:color="auto" w:sz="4" w:space="0"/>
              <w:left w:val="single" w:color="auto" w:sz="4" w:space="0"/>
              <w:bottom w:val="single" w:color="auto" w:sz="4" w:space="0"/>
              <w:right w:val="single" w:color="auto" w:sz="4" w:space="0"/>
            </w:tcBorders>
            <w:shd w:val="clear" w:color="auto" w:fill="auto"/>
            <w:vAlign w:val="center"/>
          </w:tcPr>
          <w:p w14:paraId="210496E2">
            <w:pPr>
              <w:jc w:val="center"/>
              <w:textAlignment w:val="center"/>
              <w:rPr>
                <w:rFonts w:ascii="Times New Roman" w:hAnsi="Times New Roman" w:cs="Times New Roman"/>
                <w:szCs w:val="21"/>
              </w:rPr>
            </w:pPr>
            <w:r>
              <w:rPr>
                <w:rFonts w:ascii="Times New Roman" w:hAnsi="Times New Roman" w:cs="Times New Roman"/>
                <w:szCs w:val="21"/>
              </w:rPr>
              <w:t>1</w:t>
            </w:r>
          </w:p>
        </w:tc>
        <w:tc>
          <w:tcPr>
            <w:tcW w:w="538" w:type="pct"/>
            <w:tcBorders>
              <w:top w:val="single" w:color="auto" w:sz="4" w:space="0"/>
              <w:left w:val="single" w:color="auto" w:sz="4" w:space="0"/>
              <w:bottom w:val="single" w:color="auto" w:sz="4" w:space="0"/>
              <w:right w:val="single" w:color="auto" w:sz="4" w:space="0"/>
            </w:tcBorders>
            <w:vAlign w:val="center"/>
          </w:tcPr>
          <w:p w14:paraId="481D1CC4">
            <w:pPr>
              <w:adjustRightInd w:val="0"/>
              <w:jc w:val="center"/>
              <w:rPr>
                <w:rFonts w:ascii="Times New Roman" w:hAnsi="Times New Roman" w:cs="Times New Roman"/>
                <w:szCs w:val="21"/>
              </w:rPr>
            </w:pPr>
          </w:p>
        </w:tc>
        <w:tc>
          <w:tcPr>
            <w:tcW w:w="592" w:type="pct"/>
            <w:tcBorders>
              <w:top w:val="single" w:color="auto" w:sz="4" w:space="0"/>
              <w:left w:val="single" w:color="auto" w:sz="4" w:space="0"/>
              <w:bottom w:val="single" w:color="auto" w:sz="4" w:space="0"/>
              <w:right w:val="single" w:color="auto" w:sz="4" w:space="0"/>
            </w:tcBorders>
            <w:vAlign w:val="center"/>
          </w:tcPr>
          <w:p w14:paraId="1FE55BAE">
            <w:pPr>
              <w:adjustRightInd w:val="0"/>
              <w:jc w:val="center"/>
              <w:rPr>
                <w:rFonts w:ascii="Times New Roman" w:hAnsi="Times New Roman" w:cs="Times New Roman"/>
                <w:szCs w:val="21"/>
              </w:rPr>
            </w:pPr>
          </w:p>
        </w:tc>
      </w:tr>
      <w:tr w14:paraId="689A10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408"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7E5D4D2D">
            <w:pPr>
              <w:adjustRightInd w:val="0"/>
              <w:jc w:val="center"/>
              <w:rPr>
                <w:rFonts w:ascii="Times New Roman" w:hAnsi="Times New Roman" w:cs="Times New Roman"/>
                <w:szCs w:val="21"/>
              </w:rPr>
            </w:pPr>
            <w:r>
              <w:rPr>
                <w:rFonts w:ascii="Times New Roman" w:hAnsi="Times New Roman" w:cs="Times New Roman"/>
                <w:szCs w:val="21"/>
              </w:rPr>
              <w:t>小计</w:t>
            </w:r>
          </w:p>
        </w:tc>
        <w:tc>
          <w:tcPr>
            <w:tcW w:w="592" w:type="pct"/>
            <w:tcBorders>
              <w:top w:val="single" w:color="auto" w:sz="4" w:space="0"/>
              <w:left w:val="single" w:color="auto" w:sz="4" w:space="0"/>
              <w:bottom w:val="single" w:color="auto" w:sz="4" w:space="0"/>
              <w:right w:val="single" w:color="auto" w:sz="4" w:space="0"/>
            </w:tcBorders>
            <w:vAlign w:val="center"/>
          </w:tcPr>
          <w:p w14:paraId="5C66A378">
            <w:pPr>
              <w:adjustRightInd w:val="0"/>
              <w:jc w:val="center"/>
              <w:rPr>
                <w:rFonts w:ascii="Times New Roman" w:hAnsi="Times New Roman" w:cs="Times New Roman"/>
                <w:szCs w:val="21"/>
              </w:rPr>
            </w:pPr>
          </w:p>
        </w:tc>
      </w:tr>
    </w:tbl>
    <w:p w14:paraId="797CC8C0">
      <w:pPr>
        <w:adjustRightInd w:val="0"/>
        <w:snapToGrid w:val="0"/>
        <w:spacing w:line="288" w:lineRule="auto"/>
        <w:rPr>
          <w:rFonts w:hint="eastAsia" w:ascii="宋体" w:hAnsi="宋体" w:eastAsia="宋体" w:cs="Times New Roman"/>
          <w:b/>
          <w:bCs/>
          <w:spacing w:val="-6"/>
          <w:szCs w:val="21"/>
        </w:rPr>
      </w:pPr>
    </w:p>
    <w:p w14:paraId="432E6CE7">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14:paraId="6714BD32">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日期：     年   月   日</w:t>
      </w:r>
    </w:p>
    <w:p w14:paraId="21AB1ADB">
      <w:pPr>
        <w:adjustRightInd w:val="0"/>
        <w:snapToGrid w:val="0"/>
        <w:spacing w:line="288" w:lineRule="auto"/>
        <w:rPr>
          <w:rFonts w:hint="eastAsia" w:ascii="宋体" w:hAnsi="宋体" w:eastAsia="宋体" w:cs="Times New Roman"/>
          <w:bCs/>
          <w:spacing w:val="-6"/>
          <w:szCs w:val="21"/>
        </w:rPr>
      </w:pPr>
    </w:p>
    <w:p w14:paraId="3C32086B">
      <w:pPr>
        <w:adjustRightInd w:val="0"/>
        <w:snapToGrid w:val="0"/>
        <w:spacing w:line="288" w:lineRule="auto"/>
        <w:rPr>
          <w:rFonts w:hint="eastAsia" w:ascii="宋体" w:hAnsi="宋体" w:eastAsia="宋体" w:cs="Times New Roman"/>
          <w:bCs/>
          <w:spacing w:val="-6"/>
          <w:szCs w:val="21"/>
        </w:rPr>
      </w:pPr>
    </w:p>
    <w:p w14:paraId="6679C7F0">
      <w:pPr>
        <w:adjustRightInd w:val="0"/>
        <w:snapToGrid w:val="0"/>
        <w:spacing w:line="288" w:lineRule="auto"/>
        <w:jc w:val="center"/>
        <w:rPr>
          <w:rFonts w:hint="eastAsia" w:ascii="宋体" w:hAnsi="宋体" w:eastAsia="宋体" w:cs="宋体"/>
          <w:b/>
          <w:spacing w:val="-6"/>
          <w:szCs w:val="21"/>
        </w:rPr>
      </w:pPr>
      <w:r>
        <w:rPr>
          <w:rFonts w:hint="eastAsia" w:ascii="宋体" w:hAnsi="宋体" w:eastAsia="宋体" w:cs="Times New Roman"/>
          <w:bCs/>
          <w:spacing w:val="-6"/>
          <w:szCs w:val="21"/>
        </w:rPr>
        <w:br w:type="page"/>
      </w:r>
    </w:p>
    <w:p w14:paraId="68F81E92">
      <w:pPr>
        <w:adjustRightInd w:val="0"/>
        <w:snapToGrid w:val="0"/>
        <w:spacing w:line="288" w:lineRule="auto"/>
        <w:jc w:val="center"/>
        <w:outlineLvl w:val="2"/>
        <w:rPr>
          <w:rFonts w:hint="eastAsia"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2</w:t>
      </w:r>
      <w:r>
        <w:rPr>
          <w:rFonts w:hint="eastAsia" w:ascii="宋体" w:hAnsi="宋体" w:eastAsia="宋体" w:cs="宋体"/>
          <w:b/>
          <w:spacing w:val="-6"/>
          <w:szCs w:val="21"/>
        </w:rPr>
        <w:t>）</w:t>
      </w:r>
      <w:r>
        <w:rPr>
          <w:rFonts w:ascii="宋体" w:hAnsi="宋体" w:eastAsia="宋体" w:cs="宋体"/>
          <w:b/>
          <w:spacing w:val="-6"/>
          <w:szCs w:val="21"/>
        </w:rPr>
        <w:t>中小企业声明函（货物）</w:t>
      </w:r>
      <w:r>
        <w:rPr>
          <w:rFonts w:hint="eastAsia" w:ascii="宋体" w:hAnsi="宋体" w:eastAsia="宋体" w:cs="宋体"/>
          <w:b/>
          <w:spacing w:val="-6"/>
          <w:szCs w:val="21"/>
        </w:rPr>
        <w:t>（若属于中小企业）</w:t>
      </w:r>
    </w:p>
    <w:p w14:paraId="11B9C5D2">
      <w:pPr>
        <w:adjustRightInd w:val="0"/>
        <w:snapToGrid w:val="0"/>
        <w:spacing w:line="288" w:lineRule="auto"/>
        <w:ind w:firstLine="498" w:firstLineChars="236"/>
        <w:rPr>
          <w:rFonts w:hint="eastAsia" w:ascii="宋体" w:hAnsi="宋体" w:eastAsia="宋体" w:cs="Times New Roman"/>
          <w:b/>
          <w:szCs w:val="21"/>
        </w:rPr>
      </w:pPr>
    </w:p>
    <w:p w14:paraId="1EE6C9A8">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本公司（联合体）郑重声明，根据《政府采购促进中小企业发展管理办法》（财库</w:t>
      </w:r>
      <w:r>
        <w:rPr>
          <w:rFonts w:hint="eastAsia" w:ascii="宋体" w:hAnsi="宋体" w:eastAsia="宋体" w:cs="Times New Roman"/>
          <w:szCs w:val="21"/>
        </w:rPr>
        <w:t>﹝</w:t>
      </w:r>
      <w:r>
        <w:rPr>
          <w:rFonts w:ascii="宋体" w:hAnsi="宋体" w:eastAsia="宋体" w:cs="Times New Roman"/>
          <w:szCs w:val="21"/>
        </w:rPr>
        <w:t>2020</w:t>
      </w:r>
      <w:r>
        <w:rPr>
          <w:rFonts w:hint="eastAsia" w:ascii="宋体" w:hAnsi="宋体" w:eastAsia="宋体" w:cs="Times New Roman"/>
          <w:szCs w:val="21"/>
        </w:rPr>
        <w:t>﹞</w:t>
      </w:r>
      <w:r>
        <w:rPr>
          <w:rFonts w:ascii="宋体" w:hAnsi="宋体" w:eastAsia="宋体" w:cs="Times New Roman"/>
          <w:szCs w:val="21"/>
        </w:rPr>
        <w:t>46 号）的规定，本公司（联合体）参加</w:t>
      </w:r>
      <w:r>
        <w:rPr>
          <w:rFonts w:hint="eastAsia" w:ascii="宋体" w:hAnsi="宋体" w:eastAsia="宋体" w:cs="Times New Roman"/>
          <w:szCs w:val="21"/>
          <w:u w:val="single"/>
        </w:rPr>
        <w:t>浙江工商大学</w:t>
      </w:r>
      <w:r>
        <w:rPr>
          <w:rFonts w:ascii="宋体" w:hAnsi="宋体" w:eastAsia="宋体" w:cs="Times New Roman"/>
          <w:szCs w:val="21"/>
        </w:rPr>
        <w:t>的</w:t>
      </w:r>
      <w:r>
        <w:rPr>
          <w:rFonts w:hint="eastAsia" w:ascii="宋体" w:hAnsi="宋体" w:eastAsia="宋体" w:cs="Times New Roman"/>
          <w:szCs w:val="21"/>
          <w:u w:val="single"/>
        </w:rPr>
        <w:t>浙江工商大学未来营养健康与共同富裕计算设备更新-共同富裕计算设备（第一批）</w:t>
      </w:r>
      <w:r>
        <w:rPr>
          <w:rFonts w:ascii="宋体" w:hAnsi="宋体" w:eastAsia="宋体" w:cs="Times New Roman"/>
          <w:szCs w:val="21"/>
        </w:rPr>
        <w:t>采购活动，提供的货物全部由符合政策要求的中小企业制造。相关企业（含联合体中的中小企业、签订分包意向协议的中小企业）的具体情况如下：</w:t>
      </w:r>
    </w:p>
    <w:p w14:paraId="16D2E6A2">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i/>
          <w:szCs w:val="21"/>
          <w:u w:val="single"/>
        </w:rPr>
        <w:t xml:space="preserve">1. </w:t>
      </w:r>
      <w:r>
        <w:rPr>
          <w:rFonts w:hint="eastAsia" w:ascii="宋体" w:hAnsi="宋体" w:eastAsia="宋体" w:cs="Times New Roman"/>
          <w:i/>
          <w:szCs w:val="21"/>
          <w:u w:val="single"/>
        </w:rPr>
        <w:t>超模态行为洞察平台</w:t>
      </w:r>
      <w:r>
        <w:rPr>
          <w:rFonts w:ascii="宋体" w:hAnsi="宋体" w:eastAsia="宋体" w:cs="Times New Roman"/>
          <w:i/>
          <w:szCs w:val="21"/>
          <w:u w:val="single"/>
        </w:rPr>
        <w:t>（标的名称）</w:t>
      </w:r>
      <w:r>
        <w:rPr>
          <w:rFonts w:ascii="宋体" w:hAnsi="宋体" w:eastAsia="宋体" w:cs="Times New Roman"/>
          <w:i/>
          <w:szCs w:val="21"/>
        </w:rPr>
        <w:t xml:space="preserve"> </w:t>
      </w:r>
      <w:r>
        <w:rPr>
          <w:rFonts w:ascii="宋体" w:hAnsi="宋体" w:eastAsia="宋体" w:cs="Times New Roman"/>
          <w:szCs w:val="21"/>
        </w:rPr>
        <w:t>，属于</w:t>
      </w:r>
      <w:r>
        <w:rPr>
          <w:rFonts w:hint="eastAsia" w:ascii="宋体" w:hAnsi="宋体" w:eastAsia="宋体" w:cs="Times New Roman"/>
          <w:szCs w:val="21"/>
          <w:u w:val="single"/>
        </w:rPr>
        <w:t>软件和信息技术服务业</w:t>
      </w:r>
      <w:r>
        <w:rPr>
          <w:rFonts w:ascii="宋体" w:hAnsi="宋体" w:eastAsia="宋体" w:cs="Times New Roman"/>
          <w:i/>
          <w:szCs w:val="21"/>
          <w:u w:val="single"/>
        </w:rPr>
        <w:t>（采购文件中明确的所属行业）行业</w:t>
      </w:r>
      <w:r>
        <w:rPr>
          <w:rFonts w:ascii="宋体" w:hAnsi="宋体" w:eastAsia="宋体" w:cs="Times New Roman"/>
          <w:szCs w:val="21"/>
        </w:rPr>
        <w:t>；制造商为</w:t>
      </w:r>
      <w:r>
        <w:rPr>
          <w:rFonts w:ascii="宋体" w:hAnsi="宋体" w:eastAsia="宋体" w:cs="Times New Roman"/>
          <w:i/>
          <w:szCs w:val="21"/>
          <w:u w:val="single"/>
        </w:rPr>
        <w:t>（企业名称）</w:t>
      </w:r>
      <w:r>
        <w:rPr>
          <w:rFonts w:ascii="宋体" w:hAnsi="宋体" w:eastAsia="宋体" w:cs="Times New Roman"/>
          <w:szCs w:val="21"/>
        </w:rPr>
        <w:t>，从业人员</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人，营业收入为</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万元，资产总额为</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万元，属于</w:t>
      </w:r>
      <w:r>
        <w:rPr>
          <w:rFonts w:ascii="宋体" w:hAnsi="宋体" w:eastAsia="宋体" w:cs="Times New Roman"/>
          <w:i/>
          <w:szCs w:val="21"/>
          <w:u w:val="single"/>
        </w:rPr>
        <w:t>（中型企业、小型企业、微型企业）</w:t>
      </w:r>
      <w:r>
        <w:rPr>
          <w:rFonts w:ascii="宋体" w:hAnsi="宋体" w:eastAsia="宋体" w:cs="Times New Roman"/>
          <w:szCs w:val="21"/>
        </w:rPr>
        <w:t>；</w:t>
      </w:r>
    </w:p>
    <w:p w14:paraId="33E69BF6">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i/>
          <w:szCs w:val="21"/>
          <w:u w:val="single"/>
        </w:rPr>
        <w:t xml:space="preserve">2. </w:t>
      </w:r>
      <w:r>
        <w:rPr>
          <w:rFonts w:hint="eastAsia" w:ascii="宋体" w:hAnsi="宋体" w:eastAsia="宋体" w:cs="Times New Roman"/>
          <w:i/>
          <w:szCs w:val="21"/>
          <w:u w:val="single"/>
        </w:rPr>
        <w:t>便携式行为观察记录分析系统</w:t>
      </w:r>
      <w:r>
        <w:rPr>
          <w:rFonts w:ascii="宋体" w:hAnsi="宋体" w:eastAsia="宋体" w:cs="Times New Roman"/>
          <w:i/>
          <w:szCs w:val="21"/>
          <w:u w:val="single"/>
        </w:rPr>
        <w:t>（标的名称）</w:t>
      </w:r>
      <w:r>
        <w:rPr>
          <w:rFonts w:ascii="宋体" w:hAnsi="宋体" w:eastAsia="宋体" w:cs="Times New Roman"/>
          <w:i/>
          <w:szCs w:val="21"/>
        </w:rPr>
        <w:t xml:space="preserve"> </w:t>
      </w:r>
      <w:r>
        <w:rPr>
          <w:rFonts w:ascii="宋体" w:hAnsi="宋体" w:eastAsia="宋体" w:cs="Times New Roman"/>
          <w:szCs w:val="21"/>
        </w:rPr>
        <w:t>，属于</w:t>
      </w:r>
      <w:r>
        <w:rPr>
          <w:rFonts w:hint="eastAsia" w:ascii="宋体" w:hAnsi="宋体" w:eastAsia="宋体" w:cs="Times New Roman"/>
          <w:szCs w:val="21"/>
          <w:u w:val="single"/>
        </w:rPr>
        <w:t>软件和信息技术服务业</w:t>
      </w:r>
      <w:r>
        <w:rPr>
          <w:rFonts w:ascii="宋体" w:hAnsi="宋体" w:eastAsia="宋体" w:cs="Times New Roman"/>
          <w:i/>
          <w:szCs w:val="21"/>
        </w:rPr>
        <w:t>（</w:t>
      </w:r>
      <w:r>
        <w:rPr>
          <w:rFonts w:ascii="宋体" w:hAnsi="宋体" w:eastAsia="宋体" w:cs="Times New Roman"/>
          <w:i/>
          <w:szCs w:val="21"/>
          <w:u w:val="single"/>
        </w:rPr>
        <w:t>采购文件中明确的所属行业）行业</w:t>
      </w:r>
      <w:r>
        <w:rPr>
          <w:rFonts w:ascii="宋体" w:hAnsi="宋体" w:eastAsia="宋体" w:cs="Times New Roman"/>
          <w:szCs w:val="21"/>
        </w:rPr>
        <w:t>；制造商为</w:t>
      </w:r>
      <w:r>
        <w:rPr>
          <w:rFonts w:ascii="宋体" w:hAnsi="宋体" w:eastAsia="宋体" w:cs="Times New Roman"/>
          <w:i/>
          <w:szCs w:val="21"/>
          <w:u w:val="single"/>
        </w:rPr>
        <w:t>（企业名称）</w:t>
      </w:r>
      <w:r>
        <w:rPr>
          <w:rFonts w:ascii="宋体" w:hAnsi="宋体" w:eastAsia="宋体" w:cs="Times New Roman"/>
          <w:szCs w:val="21"/>
        </w:rPr>
        <w:t>，从业人员</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人，营业收入为</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万元，资产总额为</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万元，属于</w:t>
      </w:r>
      <w:r>
        <w:rPr>
          <w:rFonts w:ascii="宋体" w:hAnsi="宋体" w:eastAsia="宋体" w:cs="Times New Roman"/>
          <w:i/>
          <w:szCs w:val="21"/>
          <w:u w:val="single"/>
        </w:rPr>
        <w:t>（中型企业、小型企业、微型企业）</w:t>
      </w:r>
      <w:r>
        <w:rPr>
          <w:rFonts w:hint="eastAsia" w:ascii="宋体" w:hAnsi="宋体" w:eastAsia="宋体" w:cs="Times New Roman"/>
          <w:szCs w:val="21"/>
        </w:rPr>
        <w:t>；</w:t>
      </w:r>
    </w:p>
    <w:p w14:paraId="30F9EE4E">
      <w:pPr>
        <w:adjustRightInd w:val="0"/>
        <w:snapToGrid w:val="0"/>
        <w:spacing w:line="288" w:lineRule="auto"/>
        <w:ind w:firstLine="495" w:firstLineChars="236"/>
        <w:rPr>
          <w:rFonts w:hint="eastAsia" w:ascii="宋体" w:hAnsi="宋体" w:eastAsia="宋体" w:cs="Times New Roman"/>
          <w:szCs w:val="21"/>
        </w:rPr>
      </w:pPr>
      <w:r>
        <w:rPr>
          <w:rFonts w:hint="eastAsia" w:ascii="宋体" w:hAnsi="宋体" w:eastAsia="宋体" w:cs="Times New Roman"/>
          <w:i/>
          <w:szCs w:val="21"/>
          <w:u w:val="single"/>
        </w:rPr>
        <w:t>3</w:t>
      </w:r>
      <w:r>
        <w:rPr>
          <w:rFonts w:ascii="宋体" w:hAnsi="宋体" w:eastAsia="宋体" w:cs="Times New Roman"/>
          <w:i/>
          <w:szCs w:val="21"/>
          <w:u w:val="single"/>
        </w:rPr>
        <w:t xml:space="preserve">. </w:t>
      </w:r>
      <w:r>
        <w:rPr>
          <w:rFonts w:hint="eastAsia" w:ascii="宋体" w:hAnsi="宋体" w:eastAsia="宋体" w:cs="Times New Roman"/>
          <w:i/>
          <w:szCs w:val="21"/>
          <w:u w:val="single"/>
        </w:rPr>
        <w:t>视觉动态追踪系统</w:t>
      </w:r>
      <w:r>
        <w:rPr>
          <w:rFonts w:ascii="宋体" w:hAnsi="宋体" w:eastAsia="宋体" w:cs="Times New Roman"/>
          <w:i/>
          <w:szCs w:val="21"/>
          <w:u w:val="single"/>
        </w:rPr>
        <w:t>（标的名称）</w:t>
      </w:r>
      <w:r>
        <w:rPr>
          <w:rFonts w:ascii="宋体" w:hAnsi="宋体" w:eastAsia="宋体" w:cs="Times New Roman"/>
          <w:i/>
          <w:szCs w:val="21"/>
        </w:rPr>
        <w:t xml:space="preserve"> </w:t>
      </w:r>
      <w:r>
        <w:rPr>
          <w:rFonts w:ascii="宋体" w:hAnsi="宋体" w:eastAsia="宋体" w:cs="Times New Roman"/>
          <w:szCs w:val="21"/>
        </w:rPr>
        <w:t>，属于</w:t>
      </w:r>
      <w:r>
        <w:rPr>
          <w:rFonts w:hint="eastAsia" w:ascii="宋体" w:hAnsi="宋体" w:eastAsia="宋体" w:cs="Times New Roman"/>
          <w:szCs w:val="21"/>
          <w:u w:val="single"/>
        </w:rPr>
        <w:t>软件和信息技术服务业</w:t>
      </w:r>
      <w:r>
        <w:rPr>
          <w:rFonts w:ascii="宋体" w:hAnsi="宋体" w:eastAsia="宋体" w:cs="Times New Roman"/>
          <w:i/>
          <w:szCs w:val="21"/>
        </w:rPr>
        <w:t>（</w:t>
      </w:r>
      <w:r>
        <w:rPr>
          <w:rFonts w:ascii="宋体" w:hAnsi="宋体" w:eastAsia="宋体" w:cs="Times New Roman"/>
          <w:i/>
          <w:szCs w:val="21"/>
          <w:u w:val="single"/>
        </w:rPr>
        <w:t>采购文件中明确的所属行业）行业</w:t>
      </w:r>
      <w:r>
        <w:rPr>
          <w:rFonts w:ascii="宋体" w:hAnsi="宋体" w:eastAsia="宋体" w:cs="Times New Roman"/>
          <w:szCs w:val="21"/>
        </w:rPr>
        <w:t>；制造商为</w:t>
      </w:r>
      <w:r>
        <w:rPr>
          <w:rFonts w:ascii="宋体" w:hAnsi="宋体" w:eastAsia="宋体" w:cs="Times New Roman"/>
          <w:i/>
          <w:szCs w:val="21"/>
          <w:u w:val="single"/>
        </w:rPr>
        <w:t>（企业名称）</w:t>
      </w:r>
      <w:r>
        <w:rPr>
          <w:rFonts w:ascii="宋体" w:hAnsi="宋体" w:eastAsia="宋体" w:cs="Times New Roman"/>
          <w:szCs w:val="21"/>
        </w:rPr>
        <w:t>，从业人员</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人，营业收入为</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万元，资产总额为</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万元，属于</w:t>
      </w:r>
      <w:r>
        <w:rPr>
          <w:rFonts w:ascii="宋体" w:hAnsi="宋体" w:eastAsia="宋体" w:cs="Times New Roman"/>
          <w:i/>
          <w:szCs w:val="21"/>
          <w:u w:val="single"/>
        </w:rPr>
        <w:t>（中型企业、小型企业、微型企业）</w:t>
      </w:r>
      <w:r>
        <w:rPr>
          <w:rFonts w:hint="eastAsia" w:ascii="宋体" w:hAnsi="宋体" w:eastAsia="宋体" w:cs="Times New Roman"/>
          <w:szCs w:val="21"/>
        </w:rPr>
        <w:t>；</w:t>
      </w:r>
    </w:p>
    <w:p w14:paraId="7F37FA2D">
      <w:pPr>
        <w:adjustRightInd w:val="0"/>
        <w:snapToGrid w:val="0"/>
        <w:spacing w:line="288" w:lineRule="auto"/>
        <w:ind w:firstLine="495" w:firstLineChars="236"/>
        <w:rPr>
          <w:rFonts w:hint="eastAsia" w:ascii="宋体" w:hAnsi="宋体" w:eastAsia="宋体" w:cs="Times New Roman"/>
          <w:szCs w:val="21"/>
        </w:rPr>
      </w:pPr>
      <w:r>
        <w:rPr>
          <w:rFonts w:hint="eastAsia" w:ascii="宋体" w:hAnsi="宋体" w:eastAsia="宋体" w:cs="Times New Roman"/>
          <w:i/>
          <w:szCs w:val="21"/>
          <w:u w:val="single"/>
        </w:rPr>
        <w:t>4</w:t>
      </w:r>
      <w:r>
        <w:rPr>
          <w:rFonts w:ascii="宋体" w:hAnsi="宋体" w:eastAsia="宋体" w:cs="Times New Roman"/>
          <w:i/>
          <w:szCs w:val="21"/>
          <w:u w:val="single"/>
        </w:rPr>
        <w:t xml:space="preserve">. </w:t>
      </w:r>
      <w:r>
        <w:rPr>
          <w:rFonts w:hint="eastAsia" w:ascii="宋体" w:hAnsi="宋体" w:eastAsia="宋体" w:cs="Times New Roman"/>
          <w:i/>
          <w:szCs w:val="21"/>
          <w:u w:val="single"/>
        </w:rPr>
        <w:t>遥测式生理信号采集分析系统</w:t>
      </w:r>
      <w:r>
        <w:rPr>
          <w:rFonts w:ascii="宋体" w:hAnsi="宋体" w:eastAsia="宋体" w:cs="Times New Roman"/>
          <w:i/>
          <w:szCs w:val="21"/>
          <w:u w:val="single"/>
        </w:rPr>
        <w:t>（标的名称）</w:t>
      </w:r>
      <w:r>
        <w:rPr>
          <w:rFonts w:ascii="宋体" w:hAnsi="宋体" w:eastAsia="宋体" w:cs="Times New Roman"/>
          <w:i/>
          <w:szCs w:val="21"/>
        </w:rPr>
        <w:t xml:space="preserve"> </w:t>
      </w:r>
      <w:r>
        <w:rPr>
          <w:rFonts w:ascii="宋体" w:hAnsi="宋体" w:eastAsia="宋体" w:cs="Times New Roman"/>
          <w:szCs w:val="21"/>
        </w:rPr>
        <w:t>，属于</w:t>
      </w:r>
      <w:r>
        <w:rPr>
          <w:rFonts w:hint="eastAsia" w:ascii="宋体" w:hAnsi="宋体" w:eastAsia="宋体" w:cs="Times New Roman"/>
          <w:szCs w:val="21"/>
          <w:u w:val="single"/>
        </w:rPr>
        <w:t>软件和信息技术服务业</w:t>
      </w:r>
      <w:r>
        <w:rPr>
          <w:rFonts w:ascii="宋体" w:hAnsi="宋体" w:eastAsia="宋体" w:cs="Times New Roman"/>
          <w:i/>
          <w:szCs w:val="21"/>
        </w:rPr>
        <w:t>（</w:t>
      </w:r>
      <w:r>
        <w:rPr>
          <w:rFonts w:ascii="宋体" w:hAnsi="宋体" w:eastAsia="宋体" w:cs="Times New Roman"/>
          <w:i/>
          <w:szCs w:val="21"/>
          <w:u w:val="single"/>
        </w:rPr>
        <w:t>采购文件中明确的所属行业）行业</w:t>
      </w:r>
      <w:r>
        <w:rPr>
          <w:rFonts w:ascii="宋体" w:hAnsi="宋体" w:eastAsia="宋体" w:cs="Times New Roman"/>
          <w:szCs w:val="21"/>
        </w:rPr>
        <w:t>；制造商为</w:t>
      </w:r>
      <w:r>
        <w:rPr>
          <w:rFonts w:ascii="宋体" w:hAnsi="宋体" w:eastAsia="宋体" w:cs="Times New Roman"/>
          <w:i/>
          <w:szCs w:val="21"/>
          <w:u w:val="single"/>
        </w:rPr>
        <w:t>（企业名称）</w:t>
      </w:r>
      <w:r>
        <w:rPr>
          <w:rFonts w:ascii="宋体" w:hAnsi="宋体" w:eastAsia="宋体" w:cs="Times New Roman"/>
          <w:szCs w:val="21"/>
        </w:rPr>
        <w:t>，从业人员</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人，营业收入为</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万元，资产总额为</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万元，属于</w:t>
      </w:r>
      <w:r>
        <w:rPr>
          <w:rFonts w:ascii="宋体" w:hAnsi="宋体" w:eastAsia="宋体" w:cs="Times New Roman"/>
          <w:i/>
          <w:szCs w:val="21"/>
          <w:u w:val="single"/>
        </w:rPr>
        <w:t>（中型企业、小型企业、微型企业）</w:t>
      </w:r>
      <w:r>
        <w:rPr>
          <w:rFonts w:hint="eastAsia" w:ascii="宋体" w:hAnsi="宋体" w:eastAsia="宋体" w:cs="Times New Roman"/>
          <w:szCs w:val="21"/>
        </w:rPr>
        <w:t>；</w:t>
      </w:r>
    </w:p>
    <w:p w14:paraId="21859A5E">
      <w:pPr>
        <w:adjustRightInd w:val="0"/>
        <w:snapToGrid w:val="0"/>
        <w:spacing w:line="288" w:lineRule="auto"/>
        <w:ind w:firstLine="495" w:firstLineChars="236"/>
        <w:rPr>
          <w:rFonts w:hint="eastAsia" w:ascii="宋体" w:hAnsi="宋体" w:eastAsia="宋体" w:cs="Times New Roman"/>
          <w:szCs w:val="21"/>
        </w:rPr>
      </w:pPr>
    </w:p>
    <w:p w14:paraId="1D7FD21B">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w:t>
      </w:r>
    </w:p>
    <w:p w14:paraId="4BAC1400">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以上企业，不属于大企业的分支机构，不存在控股股东为大企业的情形，也不存在与大企业的负责人为同一人的情形。</w:t>
      </w:r>
    </w:p>
    <w:p w14:paraId="238814B3">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本企业对上述声明内容的真实性负责。如有虚假，将依法承担相应责任。</w:t>
      </w:r>
    </w:p>
    <w:p w14:paraId="368EE28E">
      <w:pPr>
        <w:adjustRightInd w:val="0"/>
        <w:snapToGrid w:val="0"/>
        <w:spacing w:line="288" w:lineRule="auto"/>
        <w:ind w:firstLine="495" w:firstLineChars="236"/>
        <w:rPr>
          <w:rFonts w:hint="eastAsia" w:ascii="宋体" w:hAnsi="宋体" w:eastAsia="宋体" w:cs="Times New Roman"/>
          <w:szCs w:val="21"/>
        </w:rPr>
      </w:pPr>
    </w:p>
    <w:p w14:paraId="22963F06">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企业名称（盖章）：</w:t>
      </w:r>
    </w:p>
    <w:p w14:paraId="78FC900F">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日期：</w:t>
      </w:r>
    </w:p>
    <w:p w14:paraId="0C2F8936">
      <w:pPr>
        <w:adjustRightInd w:val="0"/>
        <w:snapToGrid w:val="0"/>
        <w:spacing w:line="288" w:lineRule="auto"/>
        <w:ind w:firstLine="495" w:firstLineChars="236"/>
        <w:rPr>
          <w:rFonts w:hint="eastAsia" w:ascii="宋体" w:hAnsi="宋体" w:eastAsia="宋体" w:cs="Times New Roman"/>
          <w:szCs w:val="21"/>
        </w:rPr>
      </w:pPr>
    </w:p>
    <w:p w14:paraId="16AF968A">
      <w:pPr>
        <w:adjustRightInd w:val="0"/>
        <w:snapToGrid w:val="0"/>
        <w:spacing w:line="288" w:lineRule="auto"/>
        <w:ind w:firstLine="495" w:firstLineChars="236"/>
        <w:rPr>
          <w:rFonts w:hint="eastAsia" w:ascii="宋体" w:hAnsi="宋体" w:eastAsia="宋体" w:cs="Times New Roman"/>
          <w:szCs w:val="21"/>
        </w:rPr>
      </w:pPr>
      <w:r>
        <w:rPr>
          <w:rFonts w:hint="eastAsia" w:ascii="宋体" w:hAnsi="宋体" w:eastAsia="宋体" w:cs="Times New Roman"/>
          <w:szCs w:val="21"/>
        </w:rPr>
        <w:t>注：</w:t>
      </w:r>
    </w:p>
    <w:p w14:paraId="692EEF44">
      <w:pPr>
        <w:adjustRightInd w:val="0"/>
        <w:snapToGrid w:val="0"/>
        <w:spacing w:line="288" w:lineRule="auto"/>
        <w:ind w:firstLine="495" w:firstLineChars="236"/>
        <w:rPr>
          <w:rFonts w:hint="eastAsia" w:ascii="宋体" w:hAnsi="宋体" w:eastAsia="宋体" w:cs="宋体"/>
          <w:szCs w:val="21"/>
        </w:rPr>
      </w:pPr>
      <w:r>
        <w:rPr>
          <w:rFonts w:hint="eastAsia" w:ascii="宋体" w:hAnsi="宋体" w:eastAsia="宋体" w:cs="宋体"/>
          <w:szCs w:val="21"/>
        </w:rPr>
        <w:t>1.标的名称，按照【招标文件】中明确的标的填写；</w:t>
      </w:r>
    </w:p>
    <w:p w14:paraId="489DFA50">
      <w:pPr>
        <w:adjustRightInd w:val="0"/>
        <w:snapToGrid w:val="0"/>
        <w:spacing w:line="288" w:lineRule="auto"/>
        <w:ind w:firstLine="495" w:firstLineChars="236"/>
        <w:rPr>
          <w:rFonts w:hint="eastAsia" w:ascii="宋体" w:hAnsi="宋体" w:eastAsia="宋体" w:cs="宋体"/>
          <w:szCs w:val="21"/>
        </w:rPr>
      </w:pPr>
      <w:r>
        <w:rPr>
          <w:rFonts w:hint="eastAsia" w:ascii="宋体" w:hAnsi="宋体" w:eastAsia="宋体" w:cs="宋体"/>
          <w:szCs w:val="21"/>
        </w:rPr>
        <w:t>2.所属行业，按照【招标文件】中明确的标的“所属行业”填写；</w:t>
      </w:r>
    </w:p>
    <w:p w14:paraId="6F98BD81">
      <w:pPr>
        <w:adjustRightInd w:val="0"/>
        <w:snapToGrid w:val="0"/>
        <w:spacing w:line="288" w:lineRule="auto"/>
        <w:ind w:firstLine="495" w:firstLineChars="236"/>
        <w:rPr>
          <w:rFonts w:hint="eastAsia" w:ascii="宋体" w:hAnsi="宋体" w:eastAsia="宋体" w:cs="宋体"/>
          <w:szCs w:val="21"/>
        </w:rPr>
      </w:pPr>
      <w:r>
        <w:rPr>
          <w:rFonts w:hint="eastAsia" w:ascii="宋体" w:hAnsi="宋体" w:eastAsia="宋体" w:cs="宋体"/>
          <w:szCs w:val="21"/>
        </w:rPr>
        <w:t>3.制造商，货物由中小企业制造，即货物由中小企业生产且使用该中小企业商号或者注册商标；</w:t>
      </w:r>
    </w:p>
    <w:p w14:paraId="51AAF406">
      <w:pPr>
        <w:adjustRightInd w:val="0"/>
        <w:snapToGrid w:val="0"/>
        <w:spacing w:line="288" w:lineRule="auto"/>
        <w:ind w:firstLine="495" w:firstLineChars="236"/>
        <w:rPr>
          <w:rFonts w:hint="eastAsia" w:ascii="宋体" w:hAnsi="宋体" w:eastAsia="宋体" w:cs="宋体"/>
          <w:szCs w:val="21"/>
        </w:rPr>
      </w:pPr>
      <w:r>
        <w:rPr>
          <w:rFonts w:hint="eastAsia" w:ascii="宋体" w:hAnsi="宋体" w:eastAsia="宋体" w:cs="宋体"/>
          <w:szCs w:val="21"/>
        </w:rPr>
        <w:t>4.从业人员、营业收入、资产总额填报上一年度数据，无上一年度数据的新成立企业可不填报。</w:t>
      </w:r>
    </w:p>
    <w:p w14:paraId="26607541">
      <w:pPr>
        <w:adjustRightInd w:val="0"/>
        <w:snapToGrid w:val="0"/>
        <w:spacing w:line="288" w:lineRule="auto"/>
        <w:ind w:firstLine="495" w:firstLineChars="236"/>
        <w:rPr>
          <w:rFonts w:hint="eastAsia" w:ascii="宋体" w:hAnsi="宋体" w:eastAsia="宋体" w:cs="宋体"/>
          <w:szCs w:val="21"/>
        </w:rPr>
      </w:pPr>
      <w:r>
        <w:rPr>
          <w:rFonts w:hint="eastAsia" w:ascii="宋体" w:hAnsi="宋体" w:eastAsia="宋体" w:cs="宋体"/>
          <w:szCs w:val="21"/>
        </w:rPr>
        <w:t>▲5.企业类型（包括新成立企业），按照《中小企业划型标准规定》（工信部联企业〔2011〕300号）规定和【招标文件】中明确的标的“所属行业”，选择“中型企业、小型企业、微型企业”其中之一；</w:t>
      </w:r>
    </w:p>
    <w:p w14:paraId="5D7F07BE">
      <w:pPr>
        <w:widowControl/>
        <w:adjustRightInd w:val="0"/>
        <w:snapToGrid w:val="0"/>
        <w:spacing w:line="288" w:lineRule="auto"/>
        <w:ind w:firstLine="495" w:firstLineChars="236"/>
        <w:jc w:val="left"/>
        <w:rPr>
          <w:rFonts w:hint="eastAsia" w:ascii="宋体" w:hAnsi="宋体" w:eastAsia="宋体" w:cs="宋体"/>
          <w:szCs w:val="21"/>
        </w:rPr>
      </w:pPr>
      <w:r>
        <w:rPr>
          <w:rFonts w:hint="eastAsia" w:ascii="宋体" w:hAnsi="宋体" w:eastAsia="宋体" w:cs="宋体"/>
          <w:szCs w:val="21"/>
        </w:rPr>
        <w:t>6.招标文件中明确的标的是能够独立发挥功能的产品，配件、辅料不作为标的，不需要在《中小企业声明函》里填列。</w:t>
      </w:r>
    </w:p>
    <w:p w14:paraId="6D58E8A6">
      <w:pPr>
        <w:widowControl/>
        <w:adjustRightInd w:val="0"/>
        <w:snapToGrid w:val="0"/>
        <w:spacing w:line="288" w:lineRule="auto"/>
        <w:ind w:firstLine="495" w:firstLineChars="236"/>
        <w:jc w:val="left"/>
        <w:rPr>
          <w:rFonts w:hint="eastAsia" w:ascii="宋体" w:hAnsi="宋体" w:eastAsia="宋体" w:cs="Times New Roman"/>
          <w:szCs w:val="21"/>
        </w:rPr>
      </w:pPr>
      <w:r>
        <w:rPr>
          <w:rFonts w:ascii="宋体" w:hAnsi="宋体" w:eastAsia="宋体" w:cs="Times New Roman"/>
          <w:szCs w:val="21"/>
        </w:rPr>
        <w:br w:type="page"/>
      </w:r>
    </w:p>
    <w:p w14:paraId="06E22657">
      <w:pPr>
        <w:adjustRightInd w:val="0"/>
        <w:snapToGrid w:val="0"/>
        <w:spacing w:line="288" w:lineRule="auto"/>
        <w:jc w:val="center"/>
        <w:outlineLvl w:val="2"/>
        <w:rPr>
          <w:rFonts w:hint="eastAsia" w:ascii="宋体" w:hAnsi="宋体" w:eastAsia="宋体" w:cs="宋体"/>
          <w:kern w:val="0"/>
          <w:szCs w:val="21"/>
        </w:rPr>
      </w:pPr>
      <w:r>
        <w:rPr>
          <w:rFonts w:hint="eastAsia" w:ascii="宋体" w:hAnsi="宋体" w:eastAsia="宋体" w:cs="宋体"/>
          <w:b/>
          <w:spacing w:val="-6"/>
          <w:szCs w:val="21"/>
        </w:rPr>
        <w:t>（</w:t>
      </w:r>
      <w:r>
        <w:rPr>
          <w:rFonts w:ascii="宋体" w:hAnsi="宋体" w:eastAsia="宋体" w:cs="宋体"/>
          <w:b/>
          <w:spacing w:val="-6"/>
          <w:szCs w:val="21"/>
        </w:rPr>
        <w:t>3</w:t>
      </w:r>
      <w:r>
        <w:rPr>
          <w:rFonts w:hint="eastAsia" w:ascii="宋体" w:hAnsi="宋体" w:eastAsia="宋体" w:cs="宋体"/>
          <w:b/>
          <w:spacing w:val="-6"/>
          <w:szCs w:val="21"/>
        </w:rPr>
        <w:t>）属于监狱企业的证明文件（若属于监狱企业）</w:t>
      </w:r>
    </w:p>
    <w:p w14:paraId="2CE578CD">
      <w:pPr>
        <w:adjustRightInd w:val="0"/>
        <w:snapToGrid w:val="0"/>
        <w:spacing w:line="288" w:lineRule="auto"/>
        <w:rPr>
          <w:rFonts w:hint="eastAsia" w:ascii="宋体" w:hAnsi="宋体" w:eastAsia="宋体" w:cs="宋体"/>
          <w:kern w:val="0"/>
          <w:szCs w:val="21"/>
        </w:rPr>
      </w:pPr>
    </w:p>
    <w:p w14:paraId="7A5815DA">
      <w:pPr>
        <w:adjustRightInd w:val="0"/>
        <w:snapToGrid w:val="0"/>
        <w:spacing w:line="288" w:lineRule="auto"/>
        <w:ind w:firstLine="373" w:firstLineChars="177"/>
        <w:rPr>
          <w:rFonts w:hint="eastAsia" w:ascii="宋体" w:hAnsi="宋体" w:eastAsia="宋体"/>
          <w:b/>
          <w:bCs/>
          <w:szCs w:val="21"/>
        </w:rPr>
      </w:pPr>
      <w:r>
        <w:rPr>
          <w:rFonts w:hint="eastAsia" w:ascii="宋体" w:hAnsi="宋体" w:eastAsia="宋体" w:cs="宋体"/>
          <w:b/>
          <w:bCs/>
          <w:kern w:val="0"/>
          <w:szCs w:val="21"/>
        </w:rPr>
        <w:t>监狱企业参加政府采购活动时，应当提供由省级以上监狱管理局、戒毒管理局（含新疆生产建设兵团）出具的属于监狱企业的证明文件。</w:t>
      </w:r>
    </w:p>
    <w:p w14:paraId="204B540B">
      <w:pPr>
        <w:adjustRightInd w:val="0"/>
        <w:snapToGrid w:val="0"/>
        <w:spacing w:line="288" w:lineRule="auto"/>
        <w:rPr>
          <w:rFonts w:hint="eastAsia" w:ascii="宋体" w:hAnsi="宋体" w:eastAsia="宋体"/>
          <w:szCs w:val="21"/>
        </w:rPr>
      </w:pPr>
    </w:p>
    <w:p w14:paraId="04E3E99D">
      <w:pPr>
        <w:adjustRightInd w:val="0"/>
        <w:snapToGrid w:val="0"/>
        <w:spacing w:line="288" w:lineRule="auto"/>
        <w:rPr>
          <w:rFonts w:hint="eastAsia" w:ascii="宋体" w:hAnsi="宋体" w:eastAsia="宋体"/>
          <w:b/>
          <w:bCs/>
          <w:szCs w:val="21"/>
        </w:rPr>
      </w:pPr>
      <w:r>
        <w:rPr>
          <w:rFonts w:hint="eastAsia" w:ascii="宋体" w:hAnsi="宋体" w:eastAsia="宋体"/>
          <w:b/>
          <w:bCs/>
          <w:szCs w:val="21"/>
        </w:rPr>
        <w:t>说明：</w:t>
      </w:r>
    </w:p>
    <w:p w14:paraId="3685E7AE">
      <w:pPr>
        <w:widowControl/>
        <w:shd w:val="clear" w:color="auto" w:fill="FFFFFF"/>
        <w:adjustRightInd w:val="0"/>
        <w:snapToGrid w:val="0"/>
        <w:spacing w:line="288" w:lineRule="auto"/>
        <w:ind w:firstLine="371" w:firstLineChars="177"/>
        <w:jc w:val="left"/>
        <w:rPr>
          <w:rFonts w:hint="eastAsia" w:ascii="宋体" w:hAnsi="宋体" w:eastAsia="宋体" w:cs="宋体"/>
          <w:kern w:val="0"/>
          <w:szCs w:val="21"/>
        </w:rPr>
      </w:pPr>
      <w:r>
        <w:rPr>
          <w:rFonts w:hint="eastAsia" w:ascii="宋体" w:hAnsi="宋体" w:eastAsia="宋体" w:cs="宋体"/>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4A15C82A">
      <w:pPr>
        <w:widowControl/>
        <w:shd w:val="clear" w:color="auto" w:fill="FFFFFF"/>
        <w:adjustRightInd w:val="0"/>
        <w:snapToGrid w:val="0"/>
        <w:spacing w:line="288" w:lineRule="auto"/>
        <w:ind w:firstLine="371" w:firstLineChars="177"/>
        <w:jc w:val="left"/>
        <w:rPr>
          <w:rFonts w:hint="eastAsia" w:ascii="宋体" w:hAnsi="宋体" w:eastAsia="宋体" w:cs="宋体"/>
          <w:kern w:val="0"/>
          <w:szCs w:val="21"/>
        </w:rPr>
      </w:pPr>
      <w:r>
        <w:rPr>
          <w:rFonts w:hint="eastAsia" w:ascii="宋体" w:hAnsi="宋体" w:eastAsia="宋体" w:cs="宋体"/>
          <w:kern w:val="0"/>
          <w:szCs w:val="21"/>
        </w:rPr>
        <w:t>二、在政府采购活动中，监狱企业视同小型、微型企业，享受预留份额、评审中价格扣除等政府采购促进中小企业发展的政府采购政策。</w:t>
      </w:r>
    </w:p>
    <w:p w14:paraId="40ACD7D0">
      <w:pPr>
        <w:widowControl/>
        <w:adjustRightInd w:val="0"/>
        <w:snapToGrid w:val="0"/>
        <w:spacing w:line="288" w:lineRule="auto"/>
        <w:jc w:val="left"/>
        <w:rPr>
          <w:rFonts w:hint="eastAsia" w:ascii="宋体" w:hAnsi="宋体" w:eastAsia="宋体" w:cs="宋体"/>
          <w:b/>
          <w:spacing w:val="-6"/>
          <w:szCs w:val="21"/>
        </w:rPr>
      </w:pPr>
      <w:r>
        <w:rPr>
          <w:rFonts w:ascii="宋体" w:hAnsi="宋体" w:eastAsia="宋体" w:cs="宋体"/>
          <w:b/>
          <w:spacing w:val="-6"/>
          <w:szCs w:val="21"/>
        </w:rPr>
        <w:br w:type="page"/>
      </w:r>
    </w:p>
    <w:p w14:paraId="41E01743">
      <w:pPr>
        <w:adjustRightInd w:val="0"/>
        <w:snapToGrid w:val="0"/>
        <w:spacing w:line="288" w:lineRule="auto"/>
        <w:jc w:val="center"/>
        <w:outlineLvl w:val="2"/>
        <w:rPr>
          <w:rFonts w:hint="eastAsia"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4</w:t>
      </w:r>
      <w:r>
        <w:rPr>
          <w:rFonts w:hint="eastAsia" w:ascii="宋体" w:hAnsi="宋体" w:eastAsia="宋体" w:cs="宋体"/>
          <w:b/>
          <w:spacing w:val="-6"/>
          <w:szCs w:val="21"/>
        </w:rPr>
        <w:t>）残疾人福利性单位声明函（若属于残疾人福利性单位）</w:t>
      </w:r>
    </w:p>
    <w:p w14:paraId="4CE930DE">
      <w:pPr>
        <w:adjustRightInd w:val="0"/>
        <w:snapToGrid w:val="0"/>
        <w:spacing w:line="288" w:lineRule="auto"/>
        <w:rPr>
          <w:rFonts w:hint="eastAsia" w:ascii="宋体" w:hAnsi="宋体" w:eastAsia="宋体" w:cs="Times New Roman"/>
          <w:b/>
          <w:spacing w:val="6"/>
          <w:szCs w:val="21"/>
        </w:rPr>
      </w:pPr>
    </w:p>
    <w:p w14:paraId="29049216">
      <w:pPr>
        <w:adjustRightInd w:val="0"/>
        <w:snapToGrid w:val="0"/>
        <w:spacing w:line="288" w:lineRule="auto"/>
        <w:ind w:firstLine="444" w:firstLineChars="200"/>
        <w:rPr>
          <w:rFonts w:hint="eastAsia" w:ascii="宋体" w:hAnsi="宋体" w:eastAsia="宋体" w:cs="Times New Roman"/>
          <w:spacing w:val="6"/>
          <w:szCs w:val="21"/>
        </w:rPr>
      </w:pPr>
      <w:r>
        <w:rPr>
          <w:rFonts w:hint="eastAsia" w:ascii="宋体" w:hAnsi="宋体" w:eastAsia="宋体" w:cs="Times New Roman"/>
          <w:spacing w:val="6"/>
          <w:szCs w:val="21"/>
        </w:rPr>
        <w:t>本单位郑重声明，根据《财政部 民政部 中国残疾人联合会关于促进残疾人就业政府采购政策的通知》（财库</w:t>
      </w:r>
      <w:r>
        <w:rPr>
          <w:rFonts w:hint="eastAsia" w:ascii="宋体" w:hAnsi="宋体" w:eastAsia="宋体" w:cs="Times New Roman"/>
          <w:szCs w:val="21"/>
        </w:rPr>
        <w:t>〔2017〕 141</w:t>
      </w:r>
      <w:r>
        <w:rPr>
          <w:rFonts w:hint="eastAsia" w:ascii="宋体" w:hAnsi="宋体" w:eastAsia="宋体" w:cs="Times New Roman"/>
          <w:spacing w:val="6"/>
          <w:szCs w:val="21"/>
        </w:rPr>
        <w:t>号）的规定，</w:t>
      </w:r>
      <w:r>
        <w:rPr>
          <w:rFonts w:hint="eastAsia" w:ascii="宋体" w:hAnsi="宋体" w:eastAsia="宋体" w:cs="Times New Roman"/>
          <w:b/>
          <w:bCs/>
          <w:spacing w:val="6"/>
          <w:szCs w:val="21"/>
        </w:rPr>
        <w:t>本单位为符合条件的残疾人福利性单位</w:t>
      </w:r>
      <w:r>
        <w:rPr>
          <w:rFonts w:hint="eastAsia" w:ascii="宋体" w:hAnsi="宋体" w:eastAsia="宋体" w:cs="Times New Roman"/>
          <w:spacing w:val="6"/>
          <w:szCs w:val="21"/>
        </w:rPr>
        <w:t>，且本单位参加______（采购人）单位的______（项目名称）项目采购活动提供本单位制造的货物（由本单位承担工程/提供服务），或者提供其他残疾人福利性单位制造的货物（不包括使用非残疾人福利性单位注册商标的货物）。</w:t>
      </w:r>
    </w:p>
    <w:p w14:paraId="2F651CE0">
      <w:pPr>
        <w:adjustRightInd w:val="0"/>
        <w:snapToGrid w:val="0"/>
        <w:spacing w:line="288" w:lineRule="auto"/>
        <w:ind w:firstLine="444" w:firstLineChars="200"/>
        <w:rPr>
          <w:rFonts w:hint="eastAsia" w:ascii="宋体" w:hAnsi="宋体" w:eastAsia="宋体" w:cs="Times New Roman"/>
          <w:spacing w:val="6"/>
          <w:szCs w:val="21"/>
        </w:rPr>
      </w:pPr>
      <w:r>
        <w:rPr>
          <w:rFonts w:hint="eastAsia" w:ascii="宋体" w:hAnsi="宋体" w:eastAsia="宋体" w:cs="Times New Roman"/>
          <w:spacing w:val="6"/>
          <w:szCs w:val="21"/>
        </w:rPr>
        <w:t>本单位对上述声明的真实性负责。如有虚假，将依法承担相应责任。</w:t>
      </w:r>
    </w:p>
    <w:p w14:paraId="551190C5">
      <w:pPr>
        <w:tabs>
          <w:tab w:val="left" w:pos="4860"/>
        </w:tabs>
        <w:adjustRightInd w:val="0"/>
        <w:snapToGrid w:val="0"/>
        <w:spacing w:line="288" w:lineRule="auto"/>
        <w:ind w:right="1560" w:firstLine="444" w:firstLineChars="200"/>
        <w:rPr>
          <w:rFonts w:hint="eastAsia" w:ascii="宋体" w:hAnsi="宋体" w:eastAsia="宋体" w:cs="Times New Roman"/>
          <w:spacing w:val="6"/>
          <w:szCs w:val="21"/>
        </w:rPr>
      </w:pPr>
      <w:r>
        <w:rPr>
          <w:rFonts w:hint="eastAsia" w:ascii="宋体" w:hAnsi="宋体" w:eastAsia="宋体" w:cs="Times New Roman"/>
          <w:spacing w:val="6"/>
          <w:szCs w:val="21"/>
        </w:rPr>
        <w:t>单位名称（盖章）：</w:t>
      </w:r>
    </w:p>
    <w:p w14:paraId="1DEBB5C7">
      <w:pPr>
        <w:tabs>
          <w:tab w:val="left" w:pos="4860"/>
        </w:tabs>
        <w:adjustRightInd w:val="0"/>
        <w:snapToGrid w:val="0"/>
        <w:spacing w:line="288" w:lineRule="auto"/>
        <w:ind w:right="1560" w:firstLine="444" w:firstLineChars="200"/>
        <w:rPr>
          <w:rFonts w:hint="eastAsia" w:ascii="宋体" w:hAnsi="宋体" w:eastAsia="宋体" w:cs="Times New Roman"/>
          <w:spacing w:val="6"/>
          <w:szCs w:val="21"/>
        </w:rPr>
      </w:pPr>
      <w:r>
        <w:rPr>
          <w:rFonts w:hint="eastAsia" w:ascii="宋体" w:hAnsi="宋体" w:eastAsia="宋体" w:cs="Times New Roman"/>
          <w:spacing w:val="6"/>
          <w:szCs w:val="21"/>
        </w:rPr>
        <w:t>日  期：</w:t>
      </w:r>
    </w:p>
    <w:p w14:paraId="76A94F75">
      <w:pPr>
        <w:adjustRightInd w:val="0"/>
        <w:snapToGrid w:val="0"/>
        <w:spacing w:line="288" w:lineRule="auto"/>
        <w:rPr>
          <w:rFonts w:hint="eastAsia" w:ascii="宋体" w:hAnsi="宋体" w:eastAsia="宋体"/>
          <w:szCs w:val="21"/>
        </w:rPr>
      </w:pPr>
    </w:p>
    <w:p w14:paraId="585A363C">
      <w:pPr>
        <w:adjustRightInd w:val="0"/>
        <w:snapToGrid w:val="0"/>
        <w:spacing w:line="288" w:lineRule="auto"/>
        <w:rPr>
          <w:rFonts w:hint="eastAsia" w:ascii="宋体" w:hAnsi="宋体" w:eastAsia="宋体"/>
          <w:b/>
          <w:bCs/>
          <w:szCs w:val="21"/>
        </w:rPr>
      </w:pPr>
      <w:r>
        <w:rPr>
          <w:rFonts w:hint="eastAsia" w:ascii="宋体" w:hAnsi="宋体" w:eastAsia="宋体"/>
          <w:b/>
          <w:bCs/>
          <w:szCs w:val="21"/>
        </w:rPr>
        <w:t>说明：</w:t>
      </w:r>
    </w:p>
    <w:p w14:paraId="17DF8A05">
      <w:pPr>
        <w:pStyle w:val="20"/>
        <w:shd w:val="clear" w:color="auto" w:fill="FFFFFF"/>
        <w:adjustRightInd w:val="0"/>
        <w:snapToGrid w:val="0"/>
        <w:spacing w:before="0" w:beforeAutospacing="0" w:after="0" w:afterAutospacing="0" w:line="288" w:lineRule="auto"/>
        <w:ind w:firstLine="371" w:firstLineChars="177"/>
        <w:rPr>
          <w:rFonts w:hint="eastAsia"/>
          <w:sz w:val="21"/>
          <w:szCs w:val="21"/>
        </w:rPr>
      </w:pPr>
      <w:r>
        <w:rPr>
          <w:rFonts w:hint="eastAsia"/>
          <w:sz w:val="21"/>
          <w:szCs w:val="21"/>
        </w:rPr>
        <w:t>一、享受政府采购支持政策的残疾人福利性单位应当同时满足以下条件：</w:t>
      </w:r>
    </w:p>
    <w:p w14:paraId="75BE9CB5">
      <w:pPr>
        <w:pStyle w:val="20"/>
        <w:shd w:val="clear" w:color="auto" w:fill="FFFFFF"/>
        <w:adjustRightInd w:val="0"/>
        <w:snapToGrid w:val="0"/>
        <w:spacing w:before="0" w:beforeAutospacing="0" w:after="0" w:afterAutospacing="0" w:line="288" w:lineRule="auto"/>
        <w:ind w:firstLine="371" w:firstLineChars="177"/>
        <w:rPr>
          <w:rFonts w:hint="eastAsia"/>
          <w:sz w:val="21"/>
          <w:szCs w:val="21"/>
        </w:rPr>
      </w:pPr>
      <w:r>
        <w:rPr>
          <w:rFonts w:hint="eastAsia"/>
          <w:sz w:val="21"/>
          <w:szCs w:val="21"/>
        </w:rPr>
        <w:t>（一）安置的残疾人占本单位在职职工人数的比例不低于25%（含25%），并且安置的残疾人人数不少于10人（含10人）；</w:t>
      </w:r>
    </w:p>
    <w:p w14:paraId="2C8EC31E">
      <w:pPr>
        <w:pStyle w:val="20"/>
        <w:shd w:val="clear" w:color="auto" w:fill="FFFFFF"/>
        <w:adjustRightInd w:val="0"/>
        <w:snapToGrid w:val="0"/>
        <w:spacing w:before="0" w:beforeAutospacing="0" w:after="0" w:afterAutospacing="0" w:line="288" w:lineRule="auto"/>
        <w:ind w:firstLine="371" w:firstLineChars="177"/>
        <w:rPr>
          <w:rFonts w:hint="eastAsia"/>
          <w:sz w:val="21"/>
          <w:szCs w:val="21"/>
        </w:rPr>
      </w:pPr>
      <w:r>
        <w:rPr>
          <w:rFonts w:hint="eastAsia"/>
          <w:sz w:val="21"/>
          <w:szCs w:val="21"/>
        </w:rPr>
        <w:t>（二）依法与安置的每位残疾人签订了一年以上（含一年）的劳动合同或服务协议；</w:t>
      </w:r>
    </w:p>
    <w:p w14:paraId="7BE01702">
      <w:pPr>
        <w:pStyle w:val="20"/>
        <w:shd w:val="clear" w:color="auto" w:fill="FFFFFF"/>
        <w:adjustRightInd w:val="0"/>
        <w:snapToGrid w:val="0"/>
        <w:spacing w:before="0" w:beforeAutospacing="0" w:after="0" w:afterAutospacing="0" w:line="288" w:lineRule="auto"/>
        <w:ind w:firstLine="371" w:firstLineChars="177"/>
        <w:rPr>
          <w:rFonts w:hint="eastAsia"/>
          <w:sz w:val="21"/>
          <w:szCs w:val="21"/>
        </w:rPr>
      </w:pPr>
      <w:r>
        <w:rPr>
          <w:rFonts w:hint="eastAsia"/>
          <w:sz w:val="21"/>
          <w:szCs w:val="21"/>
        </w:rPr>
        <w:t>（三）为安置的每位残疾人按月足额缴纳了基本养老保险、基本医疗保险、失业保险、工伤保险和生育保险等社会保险费；</w:t>
      </w:r>
    </w:p>
    <w:p w14:paraId="5EDFA202">
      <w:pPr>
        <w:pStyle w:val="20"/>
        <w:shd w:val="clear" w:color="auto" w:fill="FFFFFF"/>
        <w:adjustRightInd w:val="0"/>
        <w:snapToGrid w:val="0"/>
        <w:spacing w:before="0" w:beforeAutospacing="0" w:after="0" w:afterAutospacing="0" w:line="288" w:lineRule="auto"/>
        <w:ind w:firstLine="371" w:firstLineChars="177"/>
        <w:rPr>
          <w:rFonts w:hint="eastAsia"/>
          <w:sz w:val="21"/>
          <w:szCs w:val="21"/>
        </w:rPr>
      </w:pPr>
      <w:r>
        <w:rPr>
          <w:rFonts w:hint="eastAsia"/>
          <w:sz w:val="21"/>
          <w:szCs w:val="21"/>
        </w:rPr>
        <w:t>（四）通过银行等金融机构向安置的每位残疾人，按月支付了不低于单位所在区县适用的经省级人民政府批准的月最低工资标准的工资；</w:t>
      </w:r>
    </w:p>
    <w:p w14:paraId="44571159">
      <w:pPr>
        <w:pStyle w:val="20"/>
        <w:shd w:val="clear" w:color="auto" w:fill="FFFFFF"/>
        <w:adjustRightInd w:val="0"/>
        <w:snapToGrid w:val="0"/>
        <w:spacing w:before="0" w:beforeAutospacing="0" w:after="0" w:afterAutospacing="0" w:line="288" w:lineRule="auto"/>
        <w:ind w:firstLine="371" w:firstLineChars="177"/>
        <w:rPr>
          <w:rFonts w:hint="eastAsia"/>
          <w:sz w:val="21"/>
          <w:szCs w:val="21"/>
        </w:rPr>
      </w:pPr>
      <w:r>
        <w:rPr>
          <w:rFonts w:hint="eastAsia"/>
          <w:sz w:val="21"/>
          <w:szCs w:val="21"/>
        </w:rPr>
        <w:t>（五）提供本单位制造的货物、承担的工程或者服务（以下简称产品），或者提供其他残疾人福利性单位制造的货物（不包括使用非残疾人福利性单位注册商标的货物）。</w:t>
      </w:r>
    </w:p>
    <w:p w14:paraId="5B416F61">
      <w:pPr>
        <w:pStyle w:val="20"/>
        <w:shd w:val="clear" w:color="auto" w:fill="FFFFFF"/>
        <w:adjustRightInd w:val="0"/>
        <w:snapToGrid w:val="0"/>
        <w:spacing w:before="0" w:beforeAutospacing="0" w:after="0" w:afterAutospacing="0" w:line="288" w:lineRule="auto"/>
        <w:ind w:firstLine="371" w:firstLineChars="177"/>
        <w:rPr>
          <w:rFonts w:hint="eastAsia"/>
          <w:sz w:val="21"/>
          <w:szCs w:val="21"/>
        </w:rPr>
      </w:pPr>
      <w:r>
        <w:rPr>
          <w:rFonts w:hint="eastAsia"/>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85AB33A">
      <w:pPr>
        <w:pStyle w:val="20"/>
        <w:shd w:val="clear" w:color="auto" w:fill="FFFFFF"/>
        <w:adjustRightInd w:val="0"/>
        <w:snapToGrid w:val="0"/>
        <w:spacing w:before="0" w:beforeAutospacing="0" w:after="0" w:afterAutospacing="0" w:line="288" w:lineRule="auto"/>
        <w:ind w:firstLine="371" w:firstLineChars="177"/>
        <w:rPr>
          <w:rFonts w:hint="eastAsia"/>
          <w:sz w:val="21"/>
          <w:szCs w:val="21"/>
        </w:rPr>
      </w:pPr>
      <w:r>
        <w:rPr>
          <w:rFonts w:hint="eastAsia"/>
          <w:sz w:val="21"/>
          <w:szCs w:val="21"/>
        </w:rPr>
        <w:t>二、符合条件的残疾人福利性单位在参加政府采购活动时，应当提供财库</w:t>
      </w:r>
      <w:r>
        <w:rPr>
          <w:sz w:val="21"/>
          <w:szCs w:val="21"/>
        </w:rPr>
        <w:t>[2017]141号</w:t>
      </w:r>
      <w:r>
        <w:rPr>
          <w:rFonts w:hint="eastAsia"/>
          <w:sz w:val="21"/>
          <w:szCs w:val="21"/>
        </w:rPr>
        <w:t>文件规定的《残疾人福利性单位声明函》，并对声明的真实性负责。</w:t>
      </w:r>
    </w:p>
    <w:p w14:paraId="4A9AB3DA">
      <w:pPr>
        <w:pStyle w:val="20"/>
        <w:shd w:val="clear" w:color="auto" w:fill="FFFFFF"/>
        <w:adjustRightInd w:val="0"/>
        <w:snapToGrid w:val="0"/>
        <w:spacing w:before="0" w:beforeAutospacing="0" w:after="0" w:afterAutospacing="0" w:line="288" w:lineRule="auto"/>
        <w:ind w:firstLine="371" w:firstLineChars="177"/>
        <w:rPr>
          <w:rFonts w:hint="eastAsia"/>
          <w:sz w:val="21"/>
          <w:szCs w:val="21"/>
        </w:rPr>
      </w:pPr>
      <w:r>
        <w:rPr>
          <w:rFonts w:hint="eastAsia"/>
          <w:sz w:val="21"/>
          <w:szCs w:val="21"/>
        </w:rPr>
        <w:t>三、在政府采购活动中，残疾人福利性单位视同小型、微型企业，享受预留份额、评审中价格扣除等促进中小企业发展的政府采购政策。</w:t>
      </w:r>
    </w:p>
    <w:p w14:paraId="2BF28EBC">
      <w:pPr>
        <w:pStyle w:val="20"/>
        <w:shd w:val="clear" w:color="auto" w:fill="FFFFFF"/>
        <w:adjustRightInd w:val="0"/>
        <w:snapToGrid w:val="0"/>
        <w:spacing w:before="0" w:beforeAutospacing="0" w:after="0" w:afterAutospacing="0" w:line="288" w:lineRule="auto"/>
        <w:ind w:firstLine="371" w:firstLineChars="177"/>
        <w:rPr>
          <w:rFonts w:hint="eastAsia"/>
          <w:sz w:val="21"/>
          <w:szCs w:val="21"/>
        </w:rPr>
      </w:pPr>
      <w:r>
        <w:rPr>
          <w:rFonts w:hint="eastAsia"/>
          <w:sz w:val="21"/>
          <w:szCs w:val="21"/>
        </w:rPr>
        <w:t>残疾人福利性单位属于小型、微型企业的，不重复享受政策。</w:t>
      </w:r>
    </w:p>
    <w:p w14:paraId="135A824A">
      <w:pPr>
        <w:widowControl/>
        <w:jc w:val="left"/>
        <w:rPr>
          <w:rFonts w:hint="eastAsia" w:ascii="宋体" w:hAnsi="宋体" w:eastAsia="宋体" w:cs="Times New Roman"/>
          <w:b/>
          <w:spacing w:val="-6"/>
          <w:szCs w:val="21"/>
        </w:rPr>
      </w:pPr>
      <w:r>
        <w:rPr>
          <w:rFonts w:ascii="宋体" w:hAnsi="宋体" w:eastAsia="宋体" w:cs="Times New Roman"/>
          <w:b/>
          <w:spacing w:val="-6"/>
          <w:szCs w:val="21"/>
        </w:rPr>
        <w:br w:type="page"/>
      </w:r>
    </w:p>
    <w:p w14:paraId="12450902">
      <w:pPr>
        <w:adjustRightInd w:val="0"/>
        <w:snapToGrid w:val="0"/>
        <w:spacing w:line="288" w:lineRule="auto"/>
        <w:outlineLvl w:val="2"/>
        <w:rPr>
          <w:rFonts w:hint="eastAsia" w:ascii="宋体" w:hAnsi="宋体" w:eastAsia="宋体" w:cs="Times New Roman"/>
          <w:b/>
          <w:bCs/>
          <w:szCs w:val="21"/>
        </w:rPr>
      </w:pPr>
      <w:r>
        <w:rPr>
          <w:rFonts w:hint="eastAsia" w:ascii="宋体" w:hAnsi="宋体" w:eastAsia="宋体" w:cs="Times New Roman"/>
          <w:b/>
          <w:spacing w:val="-6"/>
          <w:szCs w:val="21"/>
        </w:rPr>
        <w:t>附件1：</w:t>
      </w:r>
      <w:r>
        <w:rPr>
          <w:rFonts w:hint="eastAsia" w:ascii="宋体" w:hAnsi="宋体" w:eastAsia="宋体" w:cs="Times New Roman"/>
          <w:b/>
          <w:bCs/>
          <w:szCs w:val="21"/>
        </w:rPr>
        <w:t>业务专用章使用说明函</w:t>
      </w:r>
    </w:p>
    <w:p w14:paraId="7D774712">
      <w:pPr>
        <w:snapToGrid w:val="0"/>
        <w:spacing w:line="288" w:lineRule="auto"/>
        <w:rPr>
          <w:rFonts w:hint="eastAsia" w:ascii="宋体" w:hAnsi="宋体" w:eastAsia="宋体" w:cs="仿宋_GB2312"/>
          <w:szCs w:val="21"/>
          <w:u w:val="single"/>
        </w:rPr>
      </w:pPr>
    </w:p>
    <w:p w14:paraId="63EE8A54">
      <w:pPr>
        <w:snapToGrid w:val="0"/>
        <w:spacing w:line="288" w:lineRule="auto"/>
        <w:rPr>
          <w:rFonts w:hint="eastAsia" w:ascii="宋体" w:hAnsi="宋体" w:eastAsia="宋体" w:cs="Times New Roman"/>
          <w:szCs w:val="21"/>
        </w:rPr>
      </w:pPr>
      <w:r>
        <w:rPr>
          <w:rFonts w:hint="eastAsia" w:ascii="宋体" w:hAnsi="宋体" w:eastAsia="宋体" w:cs="仿宋_GB2312"/>
          <w:szCs w:val="21"/>
          <w:u w:val="single"/>
        </w:rPr>
        <w:t>（采购人）、（采购代理机构）</w:t>
      </w:r>
    </w:p>
    <w:p w14:paraId="513D9E0B">
      <w:pPr>
        <w:snapToGrid w:val="0"/>
        <w:spacing w:line="288" w:lineRule="auto"/>
        <w:ind w:firstLine="424" w:firstLineChars="202"/>
        <w:rPr>
          <w:rFonts w:hint="eastAsia" w:ascii="宋体" w:hAnsi="宋体" w:eastAsia="宋体" w:cs="宋体"/>
          <w:szCs w:val="21"/>
        </w:rPr>
      </w:pPr>
      <w:r>
        <w:rPr>
          <w:rFonts w:hint="eastAsia" w:ascii="宋体" w:hAnsi="宋体" w:eastAsia="宋体" w:cs="仿宋_GB2312"/>
          <w:kern w:val="0"/>
          <w:szCs w:val="21"/>
          <w:lang w:val="zh-CN"/>
        </w:rPr>
        <w:t>我方</w:t>
      </w:r>
      <w:r>
        <w:rPr>
          <w:rFonts w:ascii="宋体" w:hAnsi="宋体" w:eastAsia="宋体" w:cs="仿宋_GB2312"/>
          <w:kern w:val="0"/>
          <w:szCs w:val="21"/>
          <w:u w:val="single"/>
          <w:lang w:val="zh-CN"/>
        </w:rPr>
        <w:t xml:space="preserve">                         </w:t>
      </w:r>
      <w:r>
        <w:rPr>
          <w:rFonts w:ascii="宋体" w:hAnsi="宋体" w:eastAsia="宋体" w:cs="仿宋_GB2312"/>
          <w:szCs w:val="21"/>
        </w:rPr>
        <w:t>(</w:t>
      </w:r>
      <w:r>
        <w:rPr>
          <w:rFonts w:hint="eastAsia" w:ascii="宋体" w:hAnsi="宋体" w:eastAsia="宋体" w:cs="仿宋_GB2312"/>
          <w:szCs w:val="21"/>
        </w:rPr>
        <w:t>供应商</w:t>
      </w:r>
      <w:r>
        <w:rPr>
          <w:rFonts w:ascii="宋体" w:hAnsi="宋体" w:eastAsia="宋体" w:cs="仿宋_GB2312"/>
          <w:szCs w:val="21"/>
        </w:rPr>
        <w:t>全称)</w:t>
      </w:r>
      <w:r>
        <w:rPr>
          <w:rFonts w:hint="eastAsia" w:ascii="宋体" w:hAnsi="宋体" w:eastAsia="宋体" w:cs="Times New Roman"/>
          <w:szCs w:val="21"/>
        </w:rPr>
        <w:t>是中华人民共和国依法登记注册的合法企业，</w:t>
      </w:r>
      <w:r>
        <w:rPr>
          <w:rFonts w:hint="eastAsia" w:ascii="宋体" w:hAnsi="宋体" w:eastAsia="宋体" w:cs="宋体"/>
          <w:bCs/>
          <w:szCs w:val="21"/>
        </w:rPr>
        <w:t>在参加</w:t>
      </w:r>
      <w:r>
        <w:rPr>
          <w:rFonts w:hint="eastAsia" w:ascii="宋体" w:hAnsi="宋体" w:eastAsia="宋体" w:cs="仿宋_GB2312"/>
          <w:szCs w:val="21"/>
        </w:rPr>
        <w:t>你方组织的</w:t>
      </w:r>
      <w:r>
        <w:rPr>
          <w:rFonts w:hint="eastAsia" w:ascii="宋体" w:hAnsi="宋体" w:eastAsia="宋体" w:cs="仿宋_GB2312"/>
          <w:szCs w:val="21"/>
          <w:u w:val="single"/>
        </w:rPr>
        <w:t>（项目名称）</w:t>
      </w:r>
      <w:r>
        <w:rPr>
          <w:rFonts w:hint="eastAsia" w:ascii="宋体" w:hAnsi="宋体" w:eastAsia="宋体" w:cs="仿宋_GB2312"/>
          <w:szCs w:val="21"/>
        </w:rPr>
        <w:t>项目</w:t>
      </w:r>
      <w:r>
        <w:rPr>
          <w:rFonts w:hint="eastAsia" w:ascii="宋体" w:hAnsi="宋体" w:eastAsia="宋体" w:cs="仿宋_GB2312"/>
          <w:szCs w:val="21"/>
          <w:u w:val="single"/>
        </w:rPr>
        <w:t>（项目编号）</w:t>
      </w:r>
      <w:r>
        <w:rPr>
          <w:rFonts w:hint="eastAsia" w:ascii="宋体" w:hAnsi="宋体" w:eastAsia="宋体" w:cs="宋体"/>
          <w:bCs/>
          <w:szCs w:val="21"/>
        </w:rPr>
        <w:t>投标活动中作如下说明：</w:t>
      </w:r>
      <w:r>
        <w:rPr>
          <w:rFonts w:hint="eastAsia" w:ascii="宋体" w:hAnsi="宋体" w:eastAsia="宋体" w:cs="宋体"/>
          <w:szCs w:val="21"/>
        </w:rPr>
        <w:t>我方所使用的</w:t>
      </w:r>
      <w:r>
        <w:rPr>
          <w:rFonts w:hint="eastAsia" w:ascii="宋体" w:hAnsi="宋体" w:eastAsia="宋体" w:cs="宋体"/>
          <w:szCs w:val="21"/>
          <w:u w:val="single"/>
        </w:rPr>
        <w:t>“</w:t>
      </w:r>
      <w:r>
        <w:rPr>
          <w:rFonts w:ascii="宋体" w:hAnsi="宋体" w:eastAsia="宋体" w:cs="仿宋_GB2312"/>
          <w:szCs w:val="21"/>
          <w:u w:val="single"/>
        </w:rPr>
        <w:t>XX</w:t>
      </w:r>
      <w:r>
        <w:rPr>
          <w:rFonts w:hint="eastAsia" w:ascii="宋体" w:hAnsi="宋体" w:eastAsia="宋体" w:cs="宋体"/>
          <w:szCs w:val="21"/>
          <w:u w:val="single"/>
        </w:rPr>
        <w:t>专用章”</w:t>
      </w:r>
      <w:r>
        <w:rPr>
          <w:rFonts w:hint="eastAsia" w:ascii="宋体" w:hAnsi="宋体" w:eastAsia="宋体" w:cs="宋体"/>
          <w:szCs w:val="21"/>
        </w:rPr>
        <w:t>与法定名称章具有同等的法律效力，对使用</w:t>
      </w:r>
      <w:r>
        <w:rPr>
          <w:rFonts w:hint="eastAsia" w:ascii="宋体" w:hAnsi="宋体" w:eastAsia="宋体" w:cs="宋体"/>
          <w:szCs w:val="21"/>
          <w:u w:val="single"/>
        </w:rPr>
        <w:t>“</w:t>
      </w:r>
      <w:r>
        <w:rPr>
          <w:rFonts w:ascii="宋体" w:hAnsi="宋体" w:eastAsia="宋体" w:cs="仿宋_GB2312"/>
          <w:szCs w:val="21"/>
          <w:u w:val="single"/>
        </w:rPr>
        <w:t>XX</w:t>
      </w:r>
      <w:r>
        <w:rPr>
          <w:rFonts w:hint="eastAsia" w:ascii="宋体" w:hAnsi="宋体" w:eastAsia="宋体" w:cs="宋体"/>
          <w:szCs w:val="21"/>
          <w:u w:val="single"/>
        </w:rPr>
        <w:t>专用章”</w:t>
      </w:r>
      <w:r>
        <w:rPr>
          <w:rFonts w:hint="eastAsia" w:ascii="宋体" w:hAnsi="宋体" w:eastAsia="宋体" w:cs="宋体"/>
          <w:szCs w:val="21"/>
        </w:rPr>
        <w:t>的行为予以完全承认，并愿意承担相应责任。</w:t>
      </w:r>
    </w:p>
    <w:p w14:paraId="43E4EA8E">
      <w:pPr>
        <w:snapToGrid w:val="0"/>
        <w:spacing w:line="288" w:lineRule="auto"/>
        <w:ind w:firstLine="424" w:firstLineChars="202"/>
        <w:rPr>
          <w:rFonts w:hint="eastAsia" w:ascii="宋体" w:hAnsi="宋体" w:eastAsia="宋体" w:cs="宋体"/>
          <w:szCs w:val="21"/>
        </w:rPr>
      </w:pPr>
      <w:r>
        <w:rPr>
          <w:rFonts w:hint="eastAsia" w:ascii="宋体" w:hAnsi="宋体" w:eastAsia="宋体" w:cs="宋体"/>
          <w:szCs w:val="21"/>
        </w:rPr>
        <w:t>特此说明。</w:t>
      </w:r>
    </w:p>
    <w:p w14:paraId="40072C44">
      <w:pPr>
        <w:snapToGrid w:val="0"/>
        <w:spacing w:line="288" w:lineRule="auto"/>
        <w:ind w:right="480" w:firstLine="424" w:firstLineChars="202"/>
        <w:rPr>
          <w:rFonts w:hint="eastAsia" w:ascii="宋体" w:hAnsi="宋体" w:eastAsia="宋体" w:cs="宋体"/>
          <w:szCs w:val="21"/>
        </w:rPr>
      </w:pPr>
      <w:r>
        <w:rPr>
          <w:rFonts w:hint="eastAsia" w:ascii="宋体" w:hAnsi="宋体" w:eastAsia="宋体" w:cs="宋体"/>
          <w:szCs w:val="21"/>
        </w:rPr>
        <w:t>供应商（法定名称章）：</w:t>
      </w:r>
    </w:p>
    <w:p w14:paraId="6E3A0F02">
      <w:pPr>
        <w:snapToGrid w:val="0"/>
        <w:spacing w:line="288" w:lineRule="auto"/>
        <w:ind w:right="1440" w:firstLine="424" w:firstLineChars="202"/>
        <w:rPr>
          <w:rFonts w:hint="eastAsia" w:ascii="宋体" w:hAnsi="宋体" w:eastAsia="宋体" w:cs="宋体"/>
          <w:szCs w:val="21"/>
        </w:rPr>
      </w:pPr>
      <w:r>
        <w:rPr>
          <w:rFonts w:ascii="宋体" w:hAnsi="宋体" w:eastAsia="宋体" w:cs="宋体"/>
          <w:szCs w:val="21"/>
        </w:rPr>
        <w:t>日期：       年     月     日</w:t>
      </w:r>
    </w:p>
    <w:p w14:paraId="445EA58E">
      <w:pPr>
        <w:snapToGrid w:val="0"/>
        <w:spacing w:line="288" w:lineRule="auto"/>
        <w:rPr>
          <w:rFonts w:hint="eastAsia" w:ascii="宋体" w:hAnsi="宋体" w:eastAsia="宋体" w:cs="宋体"/>
          <w:b/>
          <w:bCs/>
          <w:szCs w:val="21"/>
        </w:rPr>
      </w:pPr>
    </w:p>
    <w:p w14:paraId="7E020CBA">
      <w:pPr>
        <w:snapToGrid w:val="0"/>
        <w:spacing w:line="288" w:lineRule="auto"/>
        <w:rPr>
          <w:rFonts w:hint="eastAsia" w:ascii="宋体" w:hAnsi="宋体" w:eastAsia="宋体" w:cs="宋体"/>
          <w:szCs w:val="21"/>
        </w:rPr>
      </w:pPr>
      <w:r>
        <w:rPr>
          <w:rFonts w:hint="eastAsia" w:ascii="宋体" w:hAnsi="宋体" w:eastAsia="宋体" w:cs="宋体"/>
          <w:b/>
          <w:bCs/>
          <w:szCs w:val="21"/>
        </w:rPr>
        <w:t>附：</w:t>
      </w:r>
      <w:r>
        <w:rPr>
          <w:rFonts w:hint="eastAsia" w:ascii="宋体" w:hAnsi="宋体" w:eastAsia="宋体" w:cs="宋体"/>
          <w:szCs w:val="21"/>
        </w:rPr>
        <w:t>供应商法定名称章（印模）</w:t>
      </w:r>
      <w:r>
        <w:rPr>
          <w:rFonts w:ascii="宋体" w:hAnsi="宋体" w:eastAsia="宋体" w:cs="宋体"/>
          <w:szCs w:val="21"/>
        </w:rPr>
        <w:t xml:space="preserve">                </w:t>
      </w:r>
      <w:r>
        <w:rPr>
          <w:rFonts w:hint="eastAsia" w:ascii="宋体" w:hAnsi="宋体" w:eastAsia="宋体" w:cs="宋体"/>
          <w:szCs w:val="21"/>
        </w:rPr>
        <w:t>供应商“</w:t>
      </w:r>
      <w:r>
        <w:rPr>
          <w:rFonts w:ascii="宋体" w:hAnsi="宋体" w:eastAsia="宋体" w:cs="仿宋_GB2312"/>
          <w:szCs w:val="21"/>
        </w:rPr>
        <w:t>XX</w:t>
      </w:r>
      <w:r>
        <w:rPr>
          <w:rFonts w:hint="eastAsia" w:ascii="宋体" w:hAnsi="宋体" w:eastAsia="宋体" w:cs="宋体"/>
          <w:szCs w:val="21"/>
        </w:rPr>
        <w:t>专用章”（印模）</w:t>
      </w:r>
    </w:p>
    <w:p w14:paraId="2FAF3B19">
      <w:pPr>
        <w:snapToGrid w:val="0"/>
        <w:spacing w:line="288" w:lineRule="auto"/>
        <w:rPr>
          <w:rFonts w:hint="eastAsia" w:ascii="宋体" w:hAnsi="宋体" w:eastAsia="宋体" w:cs="宋体"/>
          <w:szCs w:val="21"/>
        </w:rPr>
      </w:pPr>
      <w:r>
        <w:rPr>
          <w:rFonts w:ascii="宋体" w:hAnsi="宋体" w:eastAsia="宋体" w:cs="Times New Roman"/>
          <w:b/>
          <w:bCs/>
          <w:szCs w:val="21"/>
        </w:rPr>
        <mc:AlternateContent>
          <mc:Choice Requires="wps">
            <w:drawing>
              <wp:inline distT="0" distB="0" distL="0" distR="0">
                <wp:extent cx="2704465" cy="2253615"/>
                <wp:effectExtent l="0" t="0" r="19685" b="13335"/>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w:pict>
              <v:rect id="Rectangle 17" o:spid="_x0000_s1026" o:spt="1" style="height:177.45pt;width:212.95pt;" fillcolor="#FFFFFF" filled="t" stroked="t" coordsize="21600,21600" o:gfxdata="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NeRvNYAAAAFAQAADwAAAAAAAAABACAAAAAiAAAAZHJzL2Rvd25yZXYueG1sUEsBAhQAFAAA&#10;AAgAh07iQOLXmAkqAgAAdAQAAA4AAAAAAAAAAQAgAAAAJQEAAGRycy9lMm9Eb2MueG1sUEsFBgAA&#10;AAAGAAYAWQEAAMEFAAAAAA==&#10;">
                <v:fill on="t" focussize="0,0"/>
                <v:stroke color="#000000" miterlimit="2" joinstyle="miter"/>
                <v:imagedata o:title=""/>
                <o:lock v:ext="edit" aspectratio="f"/>
                <w10:wrap type="none"/>
                <w10:anchorlock/>
              </v:rect>
            </w:pict>
          </mc:Fallback>
        </mc:AlternateContent>
      </w:r>
      <w:r>
        <w:rPr>
          <w:rFonts w:hint="eastAsia" w:ascii="宋体" w:hAnsi="宋体" w:eastAsia="宋体" w:cs="宋体"/>
          <w:szCs w:val="21"/>
        </w:rPr>
        <w:t xml:space="preserve"> </w:t>
      </w:r>
      <w:r>
        <w:rPr>
          <w:rFonts w:ascii="宋体" w:hAnsi="宋体" w:eastAsia="宋体" w:cs="Times New Roman"/>
          <w:b/>
          <w:bCs/>
          <w:szCs w:val="21"/>
        </w:rPr>
        <mc:AlternateContent>
          <mc:Choice Requires="wps">
            <w:drawing>
              <wp:inline distT="0" distB="0" distL="0" distR="0">
                <wp:extent cx="2647950" cy="2253615"/>
                <wp:effectExtent l="0" t="0" r="19050" b="13335"/>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w:pict>
              <v:rect id="Rectangle 16" o:spid="_x0000_s1026" o:spt="1" style="height:177.45pt;width:208.5pt;" fillcolor="#FFFFFF" filled="t" stroked="t" coordsize="21600,21600" o:gfxdata="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FVJTLUAAAABQEAAA8AAAAAAAAAAQAgAAAAIgAAAGRycy9kb3ducmV2LnhtbFBLAQIUABQAAAAI&#10;AIdO4kB3gn1EKgIAAHQEAAAOAAAAAAAAAAEAIAAAACMBAABkcnMvZTJvRG9jLnhtbFBLBQYAAAAA&#10;BgAGAFkBAAC/BQAAAAA=&#10;">
                <v:fill on="t" focussize="0,0"/>
                <v:stroke color="#000000" miterlimit="2" joinstyle="miter"/>
                <v:imagedata o:title=""/>
                <o:lock v:ext="edit" aspectratio="f"/>
                <w10:wrap type="none"/>
                <w10:anchorlock/>
              </v:rect>
            </w:pict>
          </mc:Fallback>
        </mc:AlternateContent>
      </w:r>
    </w:p>
    <w:p w14:paraId="707B0DEA">
      <w:pPr>
        <w:widowControl/>
        <w:jc w:val="left"/>
        <w:rPr>
          <w:rFonts w:hint="eastAsia" w:ascii="宋体" w:hAnsi="宋体" w:eastAsia="宋体" w:cs="Times New Roman"/>
          <w:b/>
          <w:spacing w:val="-6"/>
          <w:szCs w:val="21"/>
        </w:rPr>
      </w:pPr>
      <w:r>
        <w:rPr>
          <w:rFonts w:ascii="宋体" w:hAnsi="宋体" w:eastAsia="宋体" w:cs="Times New Roman"/>
          <w:b/>
          <w:spacing w:val="-6"/>
          <w:szCs w:val="21"/>
        </w:rPr>
        <w:br w:type="page"/>
      </w:r>
    </w:p>
    <w:p w14:paraId="3BD1B010">
      <w:pPr>
        <w:snapToGrid w:val="0"/>
        <w:spacing w:line="288" w:lineRule="auto"/>
        <w:jc w:val="center"/>
        <w:outlineLvl w:val="2"/>
        <w:rPr>
          <w:rFonts w:hint="eastAsia" w:ascii="宋体" w:hAnsi="宋体" w:eastAsia="宋体" w:cs="仿宋_GB2312"/>
          <w:b/>
          <w:kern w:val="0"/>
          <w:szCs w:val="21"/>
          <w:lang w:val="zh-CN"/>
        </w:rPr>
      </w:pPr>
      <w:r>
        <w:rPr>
          <w:rFonts w:hint="eastAsia" w:ascii="宋体" w:hAnsi="宋体" w:eastAsia="宋体" w:cs="仿宋_GB2312"/>
          <w:b/>
          <w:kern w:val="0"/>
          <w:szCs w:val="21"/>
          <w:lang w:val="zh-CN"/>
        </w:rPr>
        <w:t>附件2</w:t>
      </w:r>
      <w:r>
        <w:rPr>
          <w:rFonts w:ascii="宋体" w:hAnsi="宋体" w:eastAsia="宋体" w:cs="仿宋_GB2312"/>
          <w:b/>
          <w:kern w:val="0"/>
          <w:szCs w:val="21"/>
          <w:lang w:val="zh-CN"/>
        </w:rPr>
        <w:t>：</w:t>
      </w:r>
      <w:r>
        <w:rPr>
          <w:rFonts w:hint="eastAsia" w:ascii="宋体" w:hAnsi="宋体" w:eastAsia="宋体" w:cs="仿宋_GB2312"/>
          <w:b/>
          <w:kern w:val="0"/>
          <w:szCs w:val="21"/>
          <w:lang w:val="zh-CN"/>
        </w:rPr>
        <w:t>联合协议</w:t>
      </w:r>
    </w:p>
    <w:p w14:paraId="765C1892">
      <w:pPr>
        <w:widowControl/>
        <w:snapToGrid w:val="0"/>
        <w:spacing w:line="288" w:lineRule="auto"/>
        <w:ind w:firstLine="424" w:firstLineChars="201"/>
        <w:jc w:val="left"/>
        <w:rPr>
          <w:rFonts w:hint="eastAsia" w:ascii="宋体" w:hAnsi="宋体" w:eastAsia="宋体" w:cs="仿宋_GB2312"/>
          <w:b/>
          <w:szCs w:val="21"/>
        </w:rPr>
      </w:pPr>
      <w:r>
        <w:rPr>
          <w:rFonts w:hint="eastAsia" w:ascii="宋体" w:hAnsi="宋体" w:eastAsia="宋体" w:cs="仿宋_GB2312"/>
          <w:b/>
          <w:szCs w:val="21"/>
        </w:rPr>
        <w:t>（以联合体形式投标的，提供联合协议；本项目不接受联合体投标或者投标人不以联合体形式投标的，则不需要提供）</w:t>
      </w:r>
    </w:p>
    <w:p w14:paraId="4627932C">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u w:val="single"/>
        </w:rPr>
        <w:t>（联合体所有成员名称）</w:t>
      </w:r>
      <w:r>
        <w:rPr>
          <w:rFonts w:hint="eastAsia" w:ascii="宋体" w:hAnsi="宋体" w:eastAsia="宋体" w:cs="仿宋_GB2312"/>
          <w:kern w:val="0"/>
          <w:szCs w:val="21"/>
        </w:rPr>
        <w:t>自愿</w:t>
      </w:r>
      <w:r>
        <w:rPr>
          <w:rFonts w:hint="eastAsia" w:ascii="宋体" w:hAnsi="宋体" w:eastAsia="宋体" w:cs="仿宋_GB2312"/>
          <w:kern w:val="0"/>
          <w:szCs w:val="21"/>
          <w:lang w:val="zh-CN"/>
        </w:rPr>
        <w:t>组成一个联合体，以一个投标人的身份</w:t>
      </w:r>
      <w:r>
        <w:rPr>
          <w:rFonts w:hint="eastAsia" w:ascii="宋体" w:hAnsi="宋体" w:eastAsia="宋体" w:cs="仿宋_GB2312"/>
          <w:kern w:val="0"/>
          <w:szCs w:val="21"/>
        </w:rPr>
        <w:t>参加</w:t>
      </w:r>
      <w:r>
        <w:rPr>
          <w:rFonts w:hint="eastAsia" w:ascii="宋体" w:hAnsi="宋体" w:eastAsia="宋体" w:cs="仿宋_GB2312"/>
          <w:szCs w:val="21"/>
        </w:rPr>
        <w:t>（项目名称）【招标编号：</w:t>
      </w:r>
      <w:r>
        <w:rPr>
          <w:rFonts w:hint="eastAsia" w:ascii="宋体" w:hAnsi="宋体" w:eastAsia="宋体" w:cs="Times New Roman"/>
          <w:szCs w:val="21"/>
        </w:rPr>
        <w:t>（采购编号）</w:t>
      </w:r>
      <w:r>
        <w:rPr>
          <w:rFonts w:hint="eastAsia" w:ascii="宋体" w:hAnsi="宋体" w:eastAsia="宋体" w:cs="仿宋_GB2312"/>
          <w:szCs w:val="21"/>
        </w:rPr>
        <w:t>】</w:t>
      </w:r>
      <w:r>
        <w:rPr>
          <w:rFonts w:hint="eastAsia" w:ascii="宋体" w:hAnsi="宋体" w:eastAsia="宋体" w:cs="仿宋_GB2312"/>
          <w:kern w:val="0"/>
          <w:szCs w:val="21"/>
          <w:lang w:val="zh-CN"/>
        </w:rPr>
        <w:t>投标。</w:t>
      </w:r>
      <w:r>
        <w:rPr>
          <w:rFonts w:ascii="宋体" w:hAnsi="宋体" w:eastAsia="宋体" w:cs="仿宋_GB2312"/>
          <w:kern w:val="0"/>
          <w:szCs w:val="21"/>
          <w:lang w:val="zh-CN"/>
        </w:rPr>
        <w:t xml:space="preserve"> </w:t>
      </w:r>
    </w:p>
    <w:p w14:paraId="7745DBD1">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一、各方一致决定，</w:t>
      </w:r>
      <w:r>
        <w:rPr>
          <w:rFonts w:hint="eastAsia" w:ascii="宋体" w:hAnsi="宋体" w:eastAsia="宋体" w:cs="仿宋_GB2312"/>
          <w:kern w:val="0"/>
          <w:szCs w:val="21"/>
          <w:u w:val="single"/>
        </w:rPr>
        <w:t>（某联合体成员名称）</w:t>
      </w:r>
      <w:r>
        <w:rPr>
          <w:rFonts w:hint="eastAsia" w:ascii="宋体" w:hAnsi="宋体" w:eastAsia="宋体" w:cs="仿宋_GB2312"/>
          <w:kern w:val="0"/>
          <w:szCs w:val="21"/>
        </w:rPr>
        <w:t>为联合体</w:t>
      </w:r>
      <w:r>
        <w:rPr>
          <w:rFonts w:hint="eastAsia" w:ascii="宋体" w:hAnsi="宋体" w:eastAsia="宋体" w:cs="仿宋_GB2312"/>
          <w:kern w:val="0"/>
          <w:szCs w:val="21"/>
          <w:lang w:val="zh-CN"/>
        </w:rPr>
        <w:t>牵头人</w:t>
      </w:r>
      <w:r>
        <w:rPr>
          <w:rFonts w:hint="eastAsia" w:ascii="宋体" w:hAnsi="宋体" w:eastAsia="宋体" w:cs="Arial"/>
          <w:szCs w:val="21"/>
        </w:rPr>
        <w:t>，代表所有联合体成员负责投标和合同实施阶段的主办、协调工作</w:t>
      </w:r>
      <w:r>
        <w:rPr>
          <w:rFonts w:hint="eastAsia" w:ascii="宋体" w:hAnsi="宋体" w:eastAsia="宋体" w:cs="仿宋_GB2312"/>
          <w:kern w:val="0"/>
          <w:szCs w:val="21"/>
          <w:lang w:val="zh-CN"/>
        </w:rPr>
        <w:t>。</w:t>
      </w:r>
    </w:p>
    <w:p w14:paraId="4E0EE327">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二、</w:t>
      </w:r>
      <w:r>
        <w:rPr>
          <w:rFonts w:hint="eastAsia" w:ascii="宋体" w:hAnsi="宋体" w:eastAsia="宋体" w:cs="Arial"/>
          <w:szCs w:val="21"/>
        </w:rPr>
        <w:t>所有联合体成员各方签署授权书，授权书载明的</w:t>
      </w:r>
      <w:r>
        <w:rPr>
          <w:rFonts w:hint="eastAsia" w:ascii="宋体" w:hAnsi="宋体" w:eastAsia="宋体" w:cs="仿宋_GB2312"/>
          <w:kern w:val="0"/>
          <w:szCs w:val="21"/>
          <w:lang w:val="zh-CN"/>
        </w:rPr>
        <w:t>授权代表根据招标文件规定及投标内容而对采购人、采购代理机构所作的任何合法承诺，包括书面澄清及</w:t>
      </w:r>
      <w:r>
        <w:rPr>
          <w:rFonts w:hint="eastAsia" w:ascii="宋体" w:hAnsi="宋体" w:eastAsia="宋体" w:cs="仿宋_GB2312"/>
          <w:kern w:val="0"/>
          <w:szCs w:val="21"/>
        </w:rPr>
        <w:t>响应</w:t>
      </w:r>
      <w:r>
        <w:rPr>
          <w:rFonts w:hint="eastAsia" w:ascii="宋体" w:hAnsi="宋体" w:eastAsia="宋体" w:cs="仿宋_GB2312"/>
          <w:kern w:val="0"/>
          <w:szCs w:val="21"/>
          <w:lang w:val="zh-CN"/>
        </w:rPr>
        <w:t>等均对联合投标各方产生约束力。</w:t>
      </w:r>
    </w:p>
    <w:p w14:paraId="2C2D1D52">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三、本次联合投标中，分工如下：</w:t>
      </w:r>
      <w:r>
        <w:rPr>
          <w:rFonts w:hint="eastAsia" w:ascii="宋体" w:hAnsi="宋体" w:eastAsia="宋体" w:cs="仿宋_GB2312"/>
          <w:kern w:val="0"/>
          <w:szCs w:val="21"/>
          <w:u w:val="single"/>
        </w:rPr>
        <w:t>（联合体其中一方成员名称）</w:t>
      </w:r>
      <w:r>
        <w:rPr>
          <w:rFonts w:hint="eastAsia" w:ascii="宋体" w:hAnsi="宋体" w:eastAsia="宋体" w:cs="仿宋_GB2312"/>
          <w:kern w:val="0"/>
          <w:szCs w:val="21"/>
          <w:lang w:val="zh-CN"/>
        </w:rPr>
        <w:t>承担的工作和义务为：</w:t>
      </w:r>
      <w:r>
        <w:rPr>
          <w:rFonts w:ascii="宋体" w:hAnsi="宋体" w:eastAsia="宋体" w:cs="Times New Roman"/>
          <w:szCs w:val="21"/>
          <w:u w:val="single"/>
        </w:rPr>
        <w:t xml:space="preserve">             </w:t>
      </w:r>
      <w:r>
        <w:rPr>
          <w:rFonts w:hint="eastAsia" w:ascii="宋体" w:hAnsi="宋体" w:eastAsia="宋体" w:cs="仿宋_GB2312"/>
          <w:kern w:val="0"/>
          <w:szCs w:val="21"/>
          <w:lang w:val="zh-CN"/>
        </w:rPr>
        <w:t>；</w:t>
      </w:r>
      <w:r>
        <w:rPr>
          <w:rFonts w:ascii="宋体" w:hAnsi="宋体" w:eastAsia="宋体" w:cs="仿宋_GB2312"/>
          <w:kern w:val="0"/>
          <w:szCs w:val="21"/>
          <w:lang w:val="zh-CN"/>
        </w:rPr>
        <w:t>……。</w:t>
      </w:r>
    </w:p>
    <w:p w14:paraId="59CA9792">
      <w:pPr>
        <w:snapToGrid w:val="0"/>
        <w:spacing w:line="288" w:lineRule="auto"/>
        <w:ind w:firstLine="422" w:firstLineChars="201"/>
        <w:rPr>
          <w:rFonts w:hint="eastAsia" w:ascii="宋体" w:hAnsi="宋体" w:eastAsia="宋体" w:cs="仿宋_GB2312"/>
          <w:b/>
          <w:kern w:val="0"/>
          <w:szCs w:val="21"/>
          <w:lang w:val="zh-CN"/>
        </w:rPr>
      </w:pPr>
      <w:r>
        <w:rPr>
          <w:rFonts w:hint="eastAsia" w:ascii="宋体" w:hAnsi="宋体" w:eastAsia="宋体" w:cs="仿宋_GB2312"/>
          <w:kern w:val="0"/>
          <w:szCs w:val="21"/>
          <w:lang w:val="zh-CN"/>
        </w:rPr>
        <w:t>四、</w:t>
      </w:r>
      <w:r>
        <w:rPr>
          <w:rFonts w:hint="eastAsia" w:ascii="宋体" w:hAnsi="宋体" w:eastAsia="宋体" w:cs="仿宋_GB2312"/>
          <w:kern w:val="0"/>
          <w:szCs w:val="21"/>
          <w:u w:val="single"/>
        </w:rPr>
        <w:t>（联合体其中一方成员名称）</w:t>
      </w:r>
      <w:r>
        <w:rPr>
          <w:rFonts w:hint="eastAsia" w:ascii="宋体" w:hAnsi="宋体" w:eastAsia="宋体" w:cs="仿宋_GB2312"/>
          <w:kern w:val="0"/>
          <w:szCs w:val="21"/>
        </w:rPr>
        <w:t>提供的全部货物由小微企业制造，其合同份额占到合同总金额</w:t>
      </w:r>
      <w:r>
        <w:rPr>
          <w:rFonts w:ascii="宋体" w:hAnsi="宋体" w:eastAsia="宋体" w:cs="仿宋_GB2312"/>
          <w:kern w:val="0"/>
          <w:szCs w:val="21"/>
          <w:u w:val="single"/>
        </w:rPr>
        <w:t xml:space="preserve">     </w:t>
      </w:r>
      <w:r>
        <w:rPr>
          <w:rFonts w:ascii="宋体" w:hAnsi="宋体" w:eastAsia="宋体" w:cs="仿宋_GB2312"/>
          <w:kern w:val="0"/>
          <w:szCs w:val="21"/>
        </w:rPr>
        <w:t>%以上；</w:t>
      </w:r>
      <w:r>
        <w:rPr>
          <w:rFonts w:hint="eastAsia" w:ascii="宋体" w:hAnsi="宋体" w:eastAsia="宋体" w:cs="仿宋_GB2312"/>
          <w:kern w:val="0"/>
          <w:szCs w:val="21"/>
          <w:lang w:val="zh-CN"/>
        </w:rPr>
        <w:t>……。</w:t>
      </w:r>
      <w:r>
        <w:rPr>
          <w:rFonts w:hint="eastAsia" w:ascii="宋体" w:hAnsi="宋体" w:eastAsia="宋体" w:cs="仿宋_GB2312"/>
          <w:b/>
          <w:kern w:val="0"/>
          <w:szCs w:val="21"/>
          <w:lang w:val="zh-CN"/>
        </w:rPr>
        <w:t>（未预留份额专门面向中小企业采购的的采购项目，以及预留份额中的非预留部分采购包，接受联合体投标的，联合体其中一方提供的货物全部由小微企业制造，且其合同份额占到合同总金额</w:t>
      </w:r>
      <w:r>
        <w:rPr>
          <w:rFonts w:ascii="宋体" w:hAnsi="宋体" w:eastAsia="宋体" w:cs="仿宋_GB2312"/>
          <w:b/>
          <w:kern w:val="0"/>
          <w:szCs w:val="21"/>
          <w:lang w:val="zh-CN"/>
        </w:rPr>
        <w:t xml:space="preserve"> 30%以上</w:t>
      </w:r>
      <w:r>
        <w:rPr>
          <w:rFonts w:hint="eastAsia" w:ascii="宋体" w:hAnsi="宋体" w:eastAsia="宋体" w:cs="仿宋_GB2312"/>
          <w:b/>
          <w:kern w:val="0"/>
          <w:szCs w:val="21"/>
          <w:lang w:val="zh-CN"/>
        </w:rPr>
        <w:t>，对联合体报价给予</w:t>
      </w:r>
      <w:r>
        <w:rPr>
          <w:rFonts w:ascii="宋体" w:hAnsi="宋体" w:eastAsia="宋体" w:cs="仿宋_GB2312"/>
          <w:b/>
          <w:kern w:val="0"/>
          <w:szCs w:val="21"/>
          <w:lang w:val="zh-CN"/>
        </w:rPr>
        <w:t>6%的扣除</w:t>
      </w:r>
      <w:r>
        <w:rPr>
          <w:rFonts w:hint="eastAsia" w:ascii="宋体" w:hAnsi="宋体" w:eastAsia="宋体" w:cs="仿宋_GB2312"/>
          <w:b/>
          <w:kern w:val="0"/>
          <w:szCs w:val="21"/>
          <w:lang w:val="zh-CN"/>
        </w:rPr>
        <w:t>）</w:t>
      </w:r>
    </w:p>
    <w:p w14:paraId="4C25B280">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五、如果中标，</w:t>
      </w:r>
      <w:r>
        <w:rPr>
          <w:rFonts w:hint="eastAsia" w:ascii="宋体" w:hAnsi="宋体" w:eastAsia="宋体" w:cs="Times New Roman"/>
          <w:szCs w:val="21"/>
        </w:rPr>
        <w:t>联合体各成员方共同与采购人签订合同，并就采购合同约定的事项对采购人承担连带责任。</w:t>
      </w:r>
    </w:p>
    <w:p w14:paraId="5D3DB902">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六、有关本次联合投标的其他事宜：</w:t>
      </w:r>
    </w:p>
    <w:p w14:paraId="23EF59C5">
      <w:pPr>
        <w:snapToGrid w:val="0"/>
        <w:spacing w:line="288" w:lineRule="auto"/>
        <w:ind w:firstLine="422" w:firstLineChars="201"/>
        <w:rPr>
          <w:rFonts w:hint="eastAsia" w:ascii="宋体" w:hAnsi="宋体" w:eastAsia="宋体" w:cs="仿宋_GB2312"/>
          <w:kern w:val="0"/>
          <w:szCs w:val="21"/>
          <w:lang w:val="zh-CN"/>
        </w:rPr>
      </w:pPr>
      <w:r>
        <w:rPr>
          <w:rFonts w:ascii="宋体" w:hAnsi="宋体" w:eastAsia="宋体" w:cs="仿宋_GB2312"/>
          <w:kern w:val="0"/>
          <w:szCs w:val="21"/>
          <w:lang w:val="zh-CN"/>
        </w:rPr>
        <w:t>1、联合体各方不再单独参加或者与其</w:t>
      </w:r>
      <w:r>
        <w:rPr>
          <w:rFonts w:hint="eastAsia" w:ascii="宋体" w:hAnsi="宋体" w:eastAsia="宋体" w:cs="仿宋_GB2312"/>
          <w:kern w:val="0"/>
          <w:szCs w:val="21"/>
          <w:lang w:val="zh-CN"/>
        </w:rPr>
        <w:t>他供应商另外组成联合体参加同一合同项下的政府采购活动。</w:t>
      </w:r>
    </w:p>
    <w:p w14:paraId="30539E74">
      <w:pPr>
        <w:snapToGrid w:val="0"/>
        <w:spacing w:line="288" w:lineRule="auto"/>
        <w:ind w:firstLine="422" w:firstLineChars="201"/>
        <w:rPr>
          <w:rFonts w:hint="eastAsia" w:ascii="宋体" w:hAnsi="宋体" w:eastAsia="宋体" w:cs="仿宋_GB2312"/>
          <w:kern w:val="0"/>
          <w:szCs w:val="21"/>
          <w:lang w:val="zh-CN"/>
        </w:rPr>
      </w:pPr>
      <w:r>
        <w:rPr>
          <w:rFonts w:ascii="宋体" w:hAnsi="宋体" w:eastAsia="宋体" w:cs="仿宋_GB2312"/>
          <w:kern w:val="0"/>
          <w:szCs w:val="21"/>
          <w:lang w:val="zh-CN"/>
        </w:rPr>
        <w:t>2、联合体中有同类资质的各方按照联合体分工承担相同工作的，按照资质等级较低的供应商确定资质等级。</w:t>
      </w:r>
    </w:p>
    <w:p w14:paraId="12F29159">
      <w:pPr>
        <w:snapToGrid w:val="0"/>
        <w:spacing w:line="288" w:lineRule="auto"/>
        <w:ind w:firstLine="422" w:firstLineChars="201"/>
        <w:rPr>
          <w:rFonts w:hint="eastAsia" w:ascii="宋体" w:hAnsi="宋体" w:eastAsia="宋体" w:cs="仿宋_GB2312"/>
          <w:kern w:val="0"/>
          <w:szCs w:val="21"/>
          <w:lang w:val="zh-CN"/>
        </w:rPr>
      </w:pPr>
      <w:r>
        <w:rPr>
          <w:rFonts w:ascii="宋体" w:hAnsi="宋体" w:eastAsia="宋体" w:cs="仿宋_GB2312"/>
          <w:kern w:val="0"/>
          <w:szCs w:val="21"/>
          <w:lang w:val="zh-CN"/>
        </w:rPr>
        <w:t>3、本协议提交采购人、</w:t>
      </w:r>
      <w:r>
        <w:rPr>
          <w:rFonts w:hint="eastAsia" w:ascii="宋体" w:hAnsi="宋体" w:eastAsia="宋体" w:cs="仿宋_GB2312"/>
          <w:kern w:val="0"/>
          <w:szCs w:val="21"/>
          <w:lang w:val="zh-CN"/>
        </w:rPr>
        <w:t>采购代理机构</w:t>
      </w:r>
      <w:r>
        <w:rPr>
          <w:rFonts w:ascii="宋体" w:hAnsi="宋体" w:eastAsia="宋体" w:cs="仿宋_GB2312"/>
          <w:kern w:val="0"/>
          <w:szCs w:val="21"/>
          <w:lang w:val="zh-CN"/>
        </w:rPr>
        <w:t>后，联合体各方不得以任何形式对上述内容进行修改或撤销。</w:t>
      </w:r>
    </w:p>
    <w:p w14:paraId="7EBEC890">
      <w:pPr>
        <w:snapToGrid w:val="0"/>
        <w:spacing w:line="288" w:lineRule="auto"/>
        <w:ind w:firstLine="422" w:firstLineChars="201"/>
        <w:rPr>
          <w:rFonts w:hint="eastAsia" w:ascii="宋体" w:hAnsi="宋体" w:eastAsia="宋体" w:cs="仿宋_GB2312"/>
          <w:kern w:val="0"/>
          <w:szCs w:val="21"/>
          <w:lang w:val="zh-CN"/>
        </w:rPr>
      </w:pPr>
    </w:p>
    <w:p w14:paraId="78213638">
      <w:pPr>
        <w:snapToGrid w:val="0"/>
        <w:spacing w:line="288" w:lineRule="auto"/>
        <w:ind w:firstLine="422" w:firstLineChars="201"/>
        <w:rPr>
          <w:rFonts w:hint="eastAsia" w:ascii="宋体" w:hAnsi="宋体" w:eastAsia="宋体" w:cs="仿宋_GB2312"/>
          <w:kern w:val="0"/>
          <w:szCs w:val="21"/>
          <w:lang w:val="zh-CN"/>
        </w:rPr>
      </w:pPr>
    </w:p>
    <w:p w14:paraId="2D29F091">
      <w:pPr>
        <w:snapToGrid w:val="0"/>
        <w:spacing w:line="288" w:lineRule="auto"/>
        <w:ind w:firstLine="424" w:firstLineChars="201"/>
        <w:rPr>
          <w:rFonts w:hint="eastAsia" w:ascii="宋体" w:hAnsi="宋体" w:eastAsia="宋体" w:cs="仿宋_GB2312"/>
          <w:b/>
          <w:bCs/>
          <w:kern w:val="0"/>
          <w:szCs w:val="21"/>
          <w:lang w:val="zh-CN"/>
        </w:rPr>
      </w:pPr>
      <w:r>
        <w:rPr>
          <w:rFonts w:hint="eastAsia" w:ascii="宋体" w:hAnsi="宋体" w:eastAsia="宋体" w:cs="仿宋_GB2312"/>
          <w:b/>
          <w:bCs/>
          <w:kern w:val="0"/>
          <w:szCs w:val="21"/>
          <w:lang w:val="zh-CN"/>
        </w:rPr>
        <w:t>联合体成员名称</w:t>
      </w:r>
      <w:r>
        <w:rPr>
          <w:rFonts w:ascii="宋体" w:hAnsi="宋体" w:eastAsia="宋体" w:cs="仿宋_GB2312"/>
          <w:b/>
          <w:bCs/>
          <w:kern w:val="0"/>
          <w:szCs w:val="21"/>
          <w:lang w:val="zh-CN"/>
        </w:rPr>
        <w:t>(电子签名/公章)：</w:t>
      </w:r>
    </w:p>
    <w:p w14:paraId="3CFEA5A5">
      <w:pPr>
        <w:snapToGrid w:val="0"/>
        <w:spacing w:line="288" w:lineRule="auto"/>
        <w:ind w:firstLine="424" w:firstLineChars="201"/>
        <w:rPr>
          <w:rFonts w:hint="eastAsia" w:ascii="宋体" w:hAnsi="宋体" w:eastAsia="宋体" w:cs="仿宋_GB2312"/>
          <w:b/>
          <w:bCs/>
          <w:kern w:val="0"/>
          <w:szCs w:val="21"/>
          <w:lang w:val="zh-CN"/>
        </w:rPr>
      </w:pPr>
    </w:p>
    <w:p w14:paraId="102582E9">
      <w:pPr>
        <w:snapToGrid w:val="0"/>
        <w:spacing w:line="288" w:lineRule="auto"/>
        <w:ind w:firstLine="424" w:firstLineChars="201"/>
        <w:rPr>
          <w:rFonts w:hint="eastAsia" w:ascii="宋体" w:hAnsi="宋体" w:eastAsia="宋体" w:cs="Times New Roman"/>
          <w:b/>
          <w:bCs/>
          <w:szCs w:val="21"/>
        </w:rPr>
      </w:pPr>
    </w:p>
    <w:p w14:paraId="0A1BE191">
      <w:pPr>
        <w:snapToGrid w:val="0"/>
        <w:spacing w:line="288" w:lineRule="auto"/>
        <w:ind w:firstLine="424" w:firstLineChars="201"/>
        <w:rPr>
          <w:rFonts w:hint="eastAsia" w:ascii="宋体" w:hAnsi="宋体" w:eastAsia="宋体" w:cs="仿宋_GB2312"/>
          <w:b/>
          <w:bCs/>
          <w:kern w:val="0"/>
          <w:szCs w:val="21"/>
          <w:lang w:val="zh-CN"/>
        </w:rPr>
      </w:pPr>
      <w:r>
        <w:rPr>
          <w:rFonts w:ascii="宋体" w:hAnsi="宋体" w:eastAsia="宋体" w:cs="仿宋_GB2312"/>
          <w:b/>
          <w:bCs/>
          <w:kern w:val="0"/>
          <w:szCs w:val="21"/>
          <w:lang w:val="zh-CN"/>
        </w:rPr>
        <w:t>日期：  年  月   日</w:t>
      </w:r>
    </w:p>
    <w:p w14:paraId="6AA91EA3">
      <w:pPr>
        <w:widowControl/>
        <w:jc w:val="left"/>
        <w:rPr>
          <w:rFonts w:hint="eastAsia" w:ascii="宋体" w:hAnsi="宋体" w:eastAsia="宋体" w:cs="仿宋_GB2312"/>
          <w:b/>
          <w:kern w:val="0"/>
          <w:szCs w:val="21"/>
        </w:rPr>
      </w:pPr>
      <w:r>
        <w:rPr>
          <w:rFonts w:ascii="宋体" w:hAnsi="宋体" w:eastAsia="宋体" w:cs="仿宋_GB2312"/>
          <w:b/>
          <w:kern w:val="0"/>
          <w:szCs w:val="21"/>
        </w:rPr>
        <w:br w:type="page"/>
      </w:r>
    </w:p>
    <w:p w14:paraId="75093E6F">
      <w:pPr>
        <w:snapToGrid w:val="0"/>
        <w:spacing w:line="288" w:lineRule="auto"/>
        <w:jc w:val="center"/>
        <w:outlineLvl w:val="2"/>
        <w:rPr>
          <w:rFonts w:hint="eastAsia" w:ascii="宋体" w:hAnsi="宋体" w:eastAsia="宋体" w:cs="仿宋_GB2312"/>
          <w:b/>
          <w:kern w:val="0"/>
          <w:szCs w:val="21"/>
        </w:rPr>
      </w:pPr>
      <w:r>
        <w:rPr>
          <w:rFonts w:hint="eastAsia" w:ascii="宋体" w:hAnsi="宋体" w:eastAsia="宋体" w:cs="仿宋_GB2312"/>
          <w:b/>
          <w:kern w:val="0"/>
          <w:szCs w:val="21"/>
        </w:rPr>
        <w:t>附件3</w:t>
      </w:r>
      <w:r>
        <w:rPr>
          <w:rFonts w:ascii="宋体" w:hAnsi="宋体" w:eastAsia="宋体" w:cs="仿宋_GB2312"/>
          <w:b/>
          <w:kern w:val="0"/>
          <w:szCs w:val="21"/>
        </w:rPr>
        <w:t>：</w:t>
      </w:r>
      <w:r>
        <w:rPr>
          <w:rFonts w:hint="eastAsia" w:ascii="宋体" w:hAnsi="宋体" w:eastAsia="宋体" w:cs="仿宋_GB2312"/>
          <w:b/>
          <w:kern w:val="0"/>
          <w:szCs w:val="21"/>
        </w:rPr>
        <w:t>分包意向协议</w:t>
      </w:r>
    </w:p>
    <w:p w14:paraId="7EAD25C0">
      <w:pPr>
        <w:widowControl/>
        <w:snapToGrid w:val="0"/>
        <w:spacing w:line="288" w:lineRule="auto"/>
        <w:ind w:firstLine="422" w:firstLineChars="201"/>
        <w:jc w:val="left"/>
        <w:rPr>
          <w:rFonts w:hint="eastAsia" w:ascii="宋体" w:hAnsi="宋体" w:eastAsia="宋体" w:cs="仿宋_GB2312"/>
          <w:szCs w:val="21"/>
        </w:rPr>
      </w:pPr>
      <w:r>
        <w:rPr>
          <w:rFonts w:hint="eastAsia" w:ascii="宋体" w:hAnsi="宋体" w:eastAsia="宋体" w:cs="仿宋_GB2312"/>
          <w:szCs w:val="21"/>
        </w:rPr>
        <w:t>（</w:t>
      </w:r>
      <w:r>
        <w:rPr>
          <w:rFonts w:hint="eastAsia" w:ascii="宋体" w:hAnsi="宋体" w:eastAsia="宋体" w:cs="仿宋_GB2312"/>
          <w:b/>
          <w:szCs w:val="21"/>
        </w:rPr>
        <w:t>中标后以分包方式履行合同的，提供分包意向协议；采购人不同意分包或者投标人中标后不以分包方式履行合同的，则不需要提供。</w:t>
      </w:r>
      <w:r>
        <w:rPr>
          <w:rFonts w:hint="eastAsia" w:ascii="宋体" w:hAnsi="宋体" w:eastAsia="宋体" w:cs="仿宋_GB2312"/>
          <w:szCs w:val="21"/>
        </w:rPr>
        <w:t>）</w:t>
      </w:r>
    </w:p>
    <w:p w14:paraId="538E39A6">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u w:val="single"/>
        </w:rPr>
        <w:t>（投标人名称）</w:t>
      </w:r>
      <w:r>
        <w:rPr>
          <w:rFonts w:hint="eastAsia" w:ascii="宋体" w:hAnsi="宋体" w:eastAsia="宋体" w:cs="仿宋_GB2312"/>
          <w:kern w:val="0"/>
          <w:szCs w:val="21"/>
          <w:lang w:val="zh-CN"/>
        </w:rPr>
        <w:t>若成为</w:t>
      </w:r>
      <w:r>
        <w:rPr>
          <w:rFonts w:hint="eastAsia" w:ascii="宋体" w:hAnsi="宋体" w:eastAsia="宋体" w:cs="仿宋_GB2312"/>
          <w:szCs w:val="21"/>
        </w:rPr>
        <w:t>（项目名称）【招标编号：</w:t>
      </w:r>
      <w:r>
        <w:rPr>
          <w:rFonts w:hint="eastAsia" w:ascii="宋体" w:hAnsi="宋体" w:eastAsia="宋体" w:cs="Times New Roman"/>
          <w:szCs w:val="21"/>
        </w:rPr>
        <w:t>（采购编号）</w:t>
      </w:r>
      <w:r>
        <w:rPr>
          <w:rFonts w:hint="eastAsia" w:ascii="宋体" w:hAnsi="宋体" w:eastAsia="宋体" w:cs="仿宋_GB2312"/>
          <w:szCs w:val="21"/>
        </w:rPr>
        <w:t>】</w:t>
      </w:r>
      <w:r>
        <w:rPr>
          <w:rFonts w:hint="eastAsia" w:ascii="宋体" w:hAnsi="宋体" w:eastAsia="宋体" w:cs="仿宋_GB2312"/>
          <w:kern w:val="0"/>
          <w:szCs w:val="21"/>
          <w:lang w:val="zh-CN"/>
        </w:rPr>
        <w:t>的中标供应商，将依法采取分包方式履行合同。</w:t>
      </w:r>
      <w:r>
        <w:rPr>
          <w:rFonts w:hint="eastAsia" w:ascii="宋体" w:hAnsi="宋体" w:eastAsia="宋体" w:cs="仿宋_GB2312"/>
          <w:kern w:val="0"/>
          <w:szCs w:val="21"/>
          <w:u w:val="single"/>
        </w:rPr>
        <w:t>（投标人名称）</w:t>
      </w:r>
      <w:r>
        <w:rPr>
          <w:rFonts w:hint="eastAsia" w:ascii="宋体" w:hAnsi="宋体" w:eastAsia="宋体" w:cs="仿宋_GB2312"/>
          <w:kern w:val="0"/>
          <w:szCs w:val="21"/>
        </w:rPr>
        <w:t>与</w:t>
      </w:r>
      <w:r>
        <w:rPr>
          <w:rFonts w:hint="eastAsia" w:ascii="宋体" w:hAnsi="宋体" w:eastAsia="宋体" w:cs="仿宋_GB2312"/>
          <w:kern w:val="0"/>
          <w:szCs w:val="21"/>
          <w:u w:val="single"/>
        </w:rPr>
        <w:t>（所有分包供应商名称）</w:t>
      </w:r>
      <w:r>
        <w:rPr>
          <w:rFonts w:hint="eastAsia" w:ascii="宋体" w:hAnsi="宋体" w:eastAsia="宋体" w:cs="仿宋_GB2312"/>
          <w:kern w:val="0"/>
          <w:szCs w:val="21"/>
        </w:rPr>
        <w:t>达成分包意向协议</w:t>
      </w:r>
      <w:r>
        <w:rPr>
          <w:rFonts w:hint="eastAsia" w:ascii="宋体" w:hAnsi="宋体" w:eastAsia="宋体" w:cs="仿宋_GB2312"/>
          <w:kern w:val="0"/>
          <w:szCs w:val="21"/>
          <w:lang w:val="zh-CN"/>
        </w:rPr>
        <w:t>。</w:t>
      </w:r>
      <w:r>
        <w:rPr>
          <w:rFonts w:ascii="宋体" w:hAnsi="宋体" w:eastAsia="宋体" w:cs="仿宋_GB2312"/>
          <w:kern w:val="0"/>
          <w:szCs w:val="21"/>
          <w:lang w:val="zh-CN"/>
        </w:rPr>
        <w:t xml:space="preserve"> </w:t>
      </w:r>
    </w:p>
    <w:p w14:paraId="12467BBC">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一、分包标的及数量</w:t>
      </w:r>
    </w:p>
    <w:p w14:paraId="35059A63">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u w:val="single"/>
        </w:rPr>
        <w:t>（投标人名称）</w:t>
      </w:r>
      <w:r>
        <w:rPr>
          <w:rFonts w:hint="eastAsia" w:ascii="宋体" w:hAnsi="宋体" w:eastAsia="宋体" w:cs="仿宋_GB2312"/>
          <w:kern w:val="0"/>
          <w:szCs w:val="21"/>
          <w:lang w:val="zh-CN"/>
        </w:rPr>
        <w:t>将</w:t>
      </w:r>
      <w:r>
        <w:rPr>
          <w:rFonts w:ascii="宋体" w:hAnsi="宋体" w:eastAsia="宋体" w:cs="Times New Roman"/>
          <w:szCs w:val="21"/>
          <w:u w:val="single"/>
        </w:rPr>
        <w:t xml:space="preserve">   XX工作内容   </w:t>
      </w:r>
      <w:r>
        <w:rPr>
          <w:rFonts w:hint="eastAsia" w:ascii="宋体" w:hAnsi="宋体" w:eastAsia="宋体" w:cs="Arial"/>
          <w:szCs w:val="21"/>
        </w:rPr>
        <w:t>分包给</w:t>
      </w:r>
      <w:r>
        <w:rPr>
          <w:rFonts w:hint="eastAsia" w:ascii="宋体" w:hAnsi="宋体" w:eastAsia="宋体" w:cs="仿宋_GB2312"/>
          <w:kern w:val="0"/>
          <w:szCs w:val="21"/>
          <w:u w:val="single"/>
        </w:rPr>
        <w:t>（某分包供应商名称）</w:t>
      </w:r>
      <w:r>
        <w:rPr>
          <w:rFonts w:hint="eastAsia" w:ascii="宋体" w:hAnsi="宋体" w:eastAsia="宋体" w:cs="仿宋_GB2312"/>
          <w:kern w:val="0"/>
          <w:szCs w:val="21"/>
          <w:lang w:val="zh-CN"/>
        </w:rPr>
        <w:t>，</w:t>
      </w:r>
      <w:r>
        <w:rPr>
          <w:rFonts w:hint="eastAsia" w:ascii="宋体" w:hAnsi="宋体" w:eastAsia="宋体" w:cs="仿宋_GB2312"/>
          <w:kern w:val="0"/>
          <w:szCs w:val="21"/>
          <w:u w:val="single"/>
        </w:rPr>
        <w:t>（某分包供应商名称），</w:t>
      </w:r>
      <w:r>
        <w:rPr>
          <w:rFonts w:hint="eastAsia" w:ascii="宋体" w:hAnsi="宋体" w:eastAsia="宋体" w:cs="仿宋_GB2312"/>
          <w:kern w:val="0"/>
          <w:szCs w:val="21"/>
          <w:lang w:val="zh-CN"/>
        </w:rPr>
        <w:t>具备承</w:t>
      </w:r>
      <w:r>
        <w:rPr>
          <w:rFonts w:hint="eastAsia" w:ascii="宋体" w:hAnsi="宋体" w:eastAsia="宋体" w:cs="仿宋_GB2312"/>
          <w:kern w:val="0"/>
          <w:szCs w:val="21"/>
        </w:rPr>
        <w:t>担</w:t>
      </w:r>
      <w:r>
        <w:rPr>
          <w:rFonts w:ascii="宋体" w:hAnsi="宋体" w:eastAsia="宋体" w:cs="仿宋_GB2312"/>
          <w:kern w:val="0"/>
          <w:szCs w:val="21"/>
          <w:u w:val="single"/>
          <w:lang w:val="zh-CN"/>
        </w:rPr>
        <w:t>XX工作内容</w:t>
      </w:r>
      <w:r>
        <w:rPr>
          <w:rFonts w:hint="eastAsia" w:ascii="宋体" w:hAnsi="宋体" w:eastAsia="宋体" w:cs="仿宋_GB2312"/>
          <w:kern w:val="0"/>
          <w:szCs w:val="21"/>
          <w:lang w:val="zh-CN"/>
        </w:rPr>
        <w:t>相应资质条件且不得再次分包；</w:t>
      </w:r>
    </w:p>
    <w:p w14:paraId="33009F8F">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w:t>
      </w:r>
    </w:p>
    <w:p w14:paraId="39F5F163">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二、分包工作履行期限、地点、方式</w:t>
      </w:r>
    </w:p>
    <w:p w14:paraId="2B3A44E6">
      <w:pPr>
        <w:snapToGrid w:val="0"/>
        <w:spacing w:line="288" w:lineRule="auto"/>
        <w:ind w:firstLine="422" w:firstLineChars="201"/>
        <w:rPr>
          <w:rFonts w:hint="eastAsia" w:ascii="宋体" w:hAnsi="宋体" w:eastAsia="宋体" w:cs="Times New Roman"/>
          <w:szCs w:val="21"/>
          <w:u w:val="single"/>
        </w:rPr>
      </w:pPr>
      <w:r>
        <w:rPr>
          <w:rFonts w:ascii="宋体" w:hAnsi="宋体" w:eastAsia="宋体" w:cs="Times New Roman"/>
          <w:szCs w:val="21"/>
          <w:u w:val="single"/>
        </w:rPr>
        <w:t xml:space="preserve">                                                                                  </w:t>
      </w:r>
    </w:p>
    <w:p w14:paraId="7571EE8A">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三、质量</w:t>
      </w:r>
    </w:p>
    <w:p w14:paraId="2ED90CCF">
      <w:pPr>
        <w:snapToGrid w:val="0"/>
        <w:spacing w:line="288" w:lineRule="auto"/>
        <w:ind w:firstLine="422" w:firstLineChars="201"/>
        <w:rPr>
          <w:rFonts w:hint="eastAsia" w:ascii="宋体" w:hAnsi="宋体" w:eastAsia="宋体" w:cs="仿宋_GB2312"/>
          <w:kern w:val="0"/>
          <w:szCs w:val="21"/>
          <w:lang w:val="zh-CN"/>
        </w:rPr>
      </w:pPr>
      <w:r>
        <w:rPr>
          <w:rFonts w:ascii="宋体" w:hAnsi="宋体" w:eastAsia="宋体" w:cs="Times New Roman"/>
          <w:szCs w:val="21"/>
          <w:u w:val="single"/>
        </w:rPr>
        <w:t xml:space="preserve">                                                                                       </w:t>
      </w:r>
    </w:p>
    <w:p w14:paraId="57CD3199">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四、价款或者报酬</w:t>
      </w:r>
    </w:p>
    <w:p w14:paraId="75F49099">
      <w:pPr>
        <w:snapToGrid w:val="0"/>
        <w:spacing w:line="288" w:lineRule="auto"/>
        <w:ind w:firstLine="422" w:firstLineChars="201"/>
        <w:rPr>
          <w:rFonts w:hint="eastAsia" w:ascii="宋体" w:hAnsi="宋体" w:eastAsia="宋体" w:cs="仿宋_GB2312"/>
          <w:kern w:val="0"/>
          <w:szCs w:val="21"/>
          <w:lang w:val="zh-CN"/>
        </w:rPr>
      </w:pPr>
      <w:r>
        <w:rPr>
          <w:rFonts w:ascii="宋体" w:hAnsi="宋体" w:eastAsia="宋体" w:cs="Times New Roman"/>
          <w:szCs w:val="21"/>
          <w:u w:val="single"/>
        </w:rPr>
        <w:t xml:space="preserve">                                                                                     </w:t>
      </w:r>
    </w:p>
    <w:p w14:paraId="425C2B81">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五、违约责任</w:t>
      </w:r>
    </w:p>
    <w:p w14:paraId="64FDB952">
      <w:pPr>
        <w:snapToGrid w:val="0"/>
        <w:spacing w:line="288" w:lineRule="auto"/>
        <w:ind w:firstLine="422" w:firstLineChars="201"/>
        <w:rPr>
          <w:rFonts w:hint="eastAsia" w:ascii="宋体" w:hAnsi="宋体" w:eastAsia="宋体" w:cs="仿宋_GB2312"/>
          <w:kern w:val="0"/>
          <w:szCs w:val="21"/>
          <w:lang w:val="zh-CN"/>
        </w:rPr>
      </w:pPr>
      <w:r>
        <w:rPr>
          <w:rFonts w:ascii="宋体" w:hAnsi="宋体" w:eastAsia="宋体" w:cs="Times New Roman"/>
          <w:szCs w:val="21"/>
          <w:u w:val="single"/>
        </w:rPr>
        <w:t xml:space="preserve">                                                                                     </w:t>
      </w:r>
    </w:p>
    <w:p w14:paraId="74BB673C">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六、争议解决的办法</w:t>
      </w:r>
    </w:p>
    <w:p w14:paraId="547470F1">
      <w:pPr>
        <w:snapToGrid w:val="0"/>
        <w:spacing w:line="288" w:lineRule="auto"/>
        <w:ind w:firstLine="422" w:firstLineChars="201"/>
        <w:rPr>
          <w:rFonts w:hint="eastAsia" w:ascii="宋体" w:hAnsi="宋体" w:eastAsia="宋体" w:cs="仿宋_GB2312"/>
          <w:kern w:val="0"/>
          <w:szCs w:val="21"/>
          <w:lang w:val="zh-CN"/>
        </w:rPr>
      </w:pPr>
      <w:r>
        <w:rPr>
          <w:rFonts w:ascii="宋体" w:hAnsi="宋体" w:eastAsia="宋体" w:cs="Times New Roman"/>
          <w:szCs w:val="21"/>
          <w:u w:val="single"/>
        </w:rPr>
        <w:t xml:space="preserve">                                                                                  </w:t>
      </w:r>
    </w:p>
    <w:p w14:paraId="121DA90B">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七、其他</w:t>
      </w:r>
    </w:p>
    <w:p w14:paraId="16EAB628">
      <w:pPr>
        <w:snapToGrid w:val="0"/>
        <w:spacing w:line="288" w:lineRule="auto"/>
        <w:ind w:firstLine="422" w:firstLineChars="201"/>
        <w:rPr>
          <w:rFonts w:hint="eastAsia" w:ascii="宋体" w:hAnsi="宋体" w:eastAsia="宋体" w:cs="仿宋_GB2312"/>
          <w:b/>
          <w:kern w:val="0"/>
          <w:szCs w:val="21"/>
          <w:lang w:val="zh-CN"/>
        </w:rPr>
      </w:pPr>
      <w:r>
        <w:rPr>
          <w:rFonts w:hint="eastAsia" w:ascii="宋体" w:hAnsi="宋体" w:eastAsia="宋体" w:cs="仿宋_GB2312"/>
          <w:kern w:val="0"/>
          <w:szCs w:val="21"/>
          <w:u w:val="single"/>
        </w:rPr>
        <w:t>（分包供应商名称）提供的货物全部由小微企业制造，</w:t>
      </w:r>
      <w:r>
        <w:rPr>
          <w:rFonts w:hint="eastAsia" w:ascii="宋体" w:hAnsi="宋体" w:eastAsia="宋体" w:cs="仿宋_GB2312"/>
          <w:kern w:val="0"/>
          <w:szCs w:val="21"/>
        </w:rPr>
        <w:t>其合同份额占到合同总金额</w:t>
      </w:r>
      <w:r>
        <w:rPr>
          <w:rFonts w:ascii="宋体" w:hAnsi="宋体" w:eastAsia="宋体" w:cs="仿宋_GB2312"/>
          <w:kern w:val="0"/>
          <w:szCs w:val="21"/>
          <w:u w:val="single"/>
        </w:rPr>
        <w:t xml:space="preserve">     </w:t>
      </w:r>
      <w:r>
        <w:rPr>
          <w:rFonts w:ascii="宋体" w:hAnsi="宋体" w:eastAsia="宋体" w:cs="仿宋_GB2312"/>
          <w:kern w:val="0"/>
          <w:szCs w:val="21"/>
        </w:rPr>
        <w:t>%以上</w:t>
      </w:r>
      <w:r>
        <w:rPr>
          <w:rFonts w:hint="eastAsia" w:ascii="宋体" w:hAnsi="宋体" w:eastAsia="宋体" w:cs="Times New Roman"/>
          <w:szCs w:val="21"/>
        </w:rPr>
        <w:t>。</w:t>
      </w:r>
      <w:r>
        <w:rPr>
          <w:rFonts w:hint="eastAsia" w:ascii="宋体" w:hAnsi="宋体" w:eastAsia="宋体" w:cs="仿宋_GB2312"/>
          <w:b/>
          <w:kern w:val="0"/>
          <w:szCs w:val="21"/>
          <w:lang w:val="zh-CN"/>
        </w:rPr>
        <w:t>（未预留份额专门面向中小企业采购的的采购项目，以及预留份额中的非预留部分采购包，允许分包的，分包供应商提供的货物全部由小微企业制造，且其合同份额占到合同总金额</w:t>
      </w:r>
      <w:r>
        <w:rPr>
          <w:rFonts w:ascii="宋体" w:hAnsi="宋体" w:eastAsia="宋体" w:cs="仿宋_GB2312"/>
          <w:b/>
          <w:kern w:val="0"/>
          <w:szCs w:val="21"/>
          <w:lang w:val="zh-CN"/>
        </w:rPr>
        <w:t xml:space="preserve"> 30%以上</w:t>
      </w:r>
      <w:r>
        <w:rPr>
          <w:rFonts w:hint="eastAsia" w:ascii="宋体" w:hAnsi="宋体" w:eastAsia="宋体" w:cs="仿宋_GB2312"/>
          <w:b/>
          <w:kern w:val="0"/>
          <w:szCs w:val="21"/>
          <w:lang w:val="zh-CN"/>
        </w:rPr>
        <w:t>的，对大中型企业的报价给予</w:t>
      </w:r>
      <w:r>
        <w:rPr>
          <w:rFonts w:ascii="宋体" w:hAnsi="宋体" w:eastAsia="宋体" w:cs="仿宋_GB2312"/>
          <w:b/>
          <w:kern w:val="0"/>
          <w:szCs w:val="21"/>
          <w:lang w:val="zh-CN"/>
        </w:rPr>
        <w:t>6%的扣除</w:t>
      </w:r>
      <w:r>
        <w:rPr>
          <w:rFonts w:hint="eastAsia" w:ascii="宋体" w:hAnsi="宋体" w:eastAsia="宋体" w:cs="仿宋_GB2312"/>
          <w:b/>
          <w:kern w:val="0"/>
          <w:szCs w:val="21"/>
          <w:lang w:val="zh-CN"/>
        </w:rPr>
        <w:t>）</w:t>
      </w:r>
    </w:p>
    <w:p w14:paraId="455AE7FC">
      <w:pPr>
        <w:snapToGrid w:val="0"/>
        <w:spacing w:line="288" w:lineRule="auto"/>
        <w:rPr>
          <w:rFonts w:hint="eastAsia" w:ascii="宋体" w:hAnsi="宋体" w:eastAsia="宋体" w:cs="仿宋_GB2312"/>
          <w:kern w:val="0"/>
          <w:szCs w:val="21"/>
          <w:lang w:val="zh-CN"/>
        </w:rPr>
      </w:pPr>
    </w:p>
    <w:p w14:paraId="4B828504">
      <w:pPr>
        <w:snapToGrid w:val="0"/>
        <w:spacing w:line="288" w:lineRule="auto"/>
        <w:ind w:firstLine="422" w:firstLineChars="200"/>
        <w:rPr>
          <w:rFonts w:hint="eastAsia" w:ascii="宋体" w:hAnsi="宋体" w:eastAsia="宋体" w:cs="仿宋_GB2312"/>
          <w:b/>
          <w:bCs/>
          <w:kern w:val="0"/>
          <w:szCs w:val="21"/>
          <w:lang w:val="zh-CN"/>
        </w:rPr>
      </w:pPr>
      <w:r>
        <w:rPr>
          <w:rFonts w:hint="eastAsia" w:ascii="宋体" w:hAnsi="宋体" w:eastAsia="宋体" w:cs="仿宋_GB2312"/>
          <w:b/>
          <w:bCs/>
          <w:kern w:val="0"/>
          <w:szCs w:val="21"/>
          <w:lang w:val="zh-CN"/>
        </w:rPr>
        <w:t>投标人名称（电子签名</w:t>
      </w:r>
      <w:r>
        <w:rPr>
          <w:rFonts w:ascii="宋体" w:hAnsi="宋体" w:eastAsia="宋体" w:cs="仿宋_GB2312"/>
          <w:b/>
          <w:bCs/>
          <w:kern w:val="0"/>
          <w:szCs w:val="21"/>
          <w:lang w:val="zh-CN"/>
        </w:rPr>
        <w:t>/公章）：</w:t>
      </w:r>
    </w:p>
    <w:p w14:paraId="6935B574">
      <w:pPr>
        <w:snapToGrid w:val="0"/>
        <w:spacing w:line="288" w:lineRule="auto"/>
        <w:ind w:firstLine="424" w:firstLineChars="201"/>
        <w:rPr>
          <w:rFonts w:hint="eastAsia" w:ascii="宋体" w:hAnsi="宋体" w:eastAsia="宋体" w:cs="仿宋_GB2312"/>
          <w:b/>
          <w:bCs/>
          <w:kern w:val="0"/>
          <w:szCs w:val="21"/>
          <w:lang w:val="zh-CN"/>
        </w:rPr>
      </w:pPr>
    </w:p>
    <w:p w14:paraId="4C7F1C86">
      <w:pPr>
        <w:snapToGrid w:val="0"/>
        <w:spacing w:line="288" w:lineRule="auto"/>
        <w:ind w:firstLine="424" w:firstLineChars="201"/>
        <w:rPr>
          <w:rFonts w:hint="eastAsia" w:ascii="宋体" w:hAnsi="宋体" w:eastAsia="宋体" w:cs="仿宋_GB2312"/>
          <w:b/>
          <w:bCs/>
          <w:kern w:val="0"/>
          <w:szCs w:val="21"/>
          <w:lang w:val="zh-CN"/>
        </w:rPr>
      </w:pPr>
      <w:r>
        <w:rPr>
          <w:rFonts w:hint="eastAsia" w:ascii="宋体" w:hAnsi="宋体" w:eastAsia="宋体" w:cs="仿宋_GB2312"/>
          <w:b/>
          <w:bCs/>
          <w:kern w:val="0"/>
          <w:szCs w:val="21"/>
          <w:lang w:val="zh-CN"/>
        </w:rPr>
        <w:t>分包供应商名称（电子签名</w:t>
      </w:r>
      <w:r>
        <w:rPr>
          <w:rFonts w:ascii="宋体" w:hAnsi="宋体" w:eastAsia="宋体" w:cs="仿宋_GB2312"/>
          <w:b/>
          <w:bCs/>
          <w:kern w:val="0"/>
          <w:szCs w:val="21"/>
          <w:lang w:val="zh-CN"/>
        </w:rPr>
        <w:t>/公章）：</w:t>
      </w:r>
    </w:p>
    <w:p w14:paraId="43762469">
      <w:pPr>
        <w:snapToGrid w:val="0"/>
        <w:spacing w:line="288" w:lineRule="auto"/>
        <w:rPr>
          <w:rFonts w:hint="eastAsia" w:ascii="宋体" w:hAnsi="宋体" w:eastAsia="宋体" w:cs="仿宋_GB2312"/>
          <w:b/>
          <w:bCs/>
          <w:kern w:val="0"/>
          <w:szCs w:val="21"/>
          <w:lang w:val="zh-CN"/>
        </w:rPr>
      </w:pPr>
    </w:p>
    <w:p w14:paraId="265FA0EB">
      <w:pPr>
        <w:snapToGrid w:val="0"/>
        <w:spacing w:line="288" w:lineRule="auto"/>
        <w:ind w:firstLine="424" w:firstLineChars="201"/>
        <w:rPr>
          <w:rFonts w:hint="eastAsia" w:ascii="宋体" w:hAnsi="宋体" w:eastAsia="宋体" w:cs="仿宋_GB2312"/>
          <w:b/>
          <w:bCs/>
          <w:kern w:val="0"/>
          <w:szCs w:val="21"/>
          <w:lang w:val="zh-CN"/>
        </w:rPr>
      </w:pPr>
      <w:r>
        <w:rPr>
          <w:rFonts w:ascii="宋体" w:hAnsi="宋体" w:eastAsia="宋体" w:cs="仿宋_GB2312"/>
          <w:b/>
          <w:bCs/>
          <w:kern w:val="0"/>
          <w:szCs w:val="21"/>
          <w:lang w:val="zh-CN"/>
        </w:rPr>
        <w:t>日期：  年  月   日</w:t>
      </w:r>
    </w:p>
    <w:p w14:paraId="3DAD29DE">
      <w:pPr>
        <w:rPr>
          <w:rFonts w:hint="eastAsia" w:ascii="等线" w:hAnsi="等线" w:eastAsia="等线" w:cs="Times New Roman"/>
        </w:rPr>
      </w:pPr>
    </w:p>
    <w:p w14:paraId="372C02F7">
      <w:pPr>
        <w:adjustRightInd w:val="0"/>
        <w:snapToGrid w:val="0"/>
        <w:spacing w:line="288" w:lineRule="auto"/>
        <w:rPr>
          <w:rFonts w:hint="eastAsia" w:ascii="宋体" w:hAnsi="宋体" w:eastAsia="宋体" w:cs="Times New Roman"/>
          <w:b/>
          <w:spacing w:val="-6"/>
          <w:szCs w:val="21"/>
        </w:rPr>
      </w:pPr>
    </w:p>
    <w:sectPr>
      <w:footerReference r:id="rId6" w:type="default"/>
      <w:pgSz w:w="11906" w:h="16838"/>
      <w:pgMar w:top="1247" w:right="1247" w:bottom="1247" w:left="1247" w:header="0" w:footer="694" w:gutter="0"/>
      <w:pgNumType w:start="1"/>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pple-system">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Helvetica Neue Light">
    <w:altName w:val="Courier New"/>
    <w:panose1 w:val="00000000000000000000"/>
    <w:charset w:val="00"/>
    <w:family w:val="auto"/>
    <w:pitch w:val="default"/>
    <w:sig w:usb0="00000000" w:usb1="00000000" w:usb2="00000002" w:usb3="00000000" w:csb0="00000007" w:csb1="00000000"/>
  </w:font>
  <w:font w:name="ヒラギノ角ゴ Pro W3">
    <w:altName w:val="MS Gothic"/>
    <w:panose1 w:val="00000000000000000000"/>
    <w:charset w:val="80"/>
    <w:family w:val="auto"/>
    <w:pitch w:val="default"/>
    <w:sig w:usb0="00000000" w:usb1="00000000" w:usb2="00000012" w:usb3="00000000" w:csb0="0002000D" w:csb1="00000000"/>
  </w:font>
  <w:font w:name="MS Gothic">
    <w:panose1 w:val="020B0609070205080204"/>
    <w:charset w:val="80"/>
    <w:family w:val="auto"/>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906B6">
    <w:pPr>
      <w:pStyle w:val="16"/>
      <w:jc w:val="center"/>
      <w:rPr>
        <w:rFonts w:hint="eastAsia"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5B26A">
    <w:pPr>
      <w:pStyle w:val="16"/>
      <w:jc w:val="center"/>
      <w:rPr>
        <w:rFonts w:hint="eastAsia" w:ascii="宋体" w:hAnsi="宋体" w:eastAsia="宋体"/>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1214F">
    <w:pPr>
      <w:pStyle w:val="16"/>
      <w:jc w:val="center"/>
      <w:rPr>
        <w:rFonts w:hint="eastAsia"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PAGE   \* MERGEFORMAT</w:instrText>
    </w:r>
    <w:r>
      <w:rPr>
        <w:rFonts w:ascii="宋体" w:hAnsi="宋体" w:eastAsia="宋体"/>
        <w:sz w:val="21"/>
        <w:szCs w:val="21"/>
      </w:rPr>
      <w:fldChar w:fldCharType="separate"/>
    </w:r>
    <w:r>
      <w:rPr>
        <w:rFonts w:ascii="宋体" w:hAnsi="宋体" w:eastAsia="宋体"/>
        <w:sz w:val="21"/>
        <w:szCs w:val="21"/>
        <w:lang w:val="zh-CN"/>
      </w:rPr>
      <w:t>1</w:t>
    </w:r>
    <w:r>
      <w:rPr>
        <w:rFonts w:ascii="宋体" w:hAnsi="宋体" w:eastAsia="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4B93D">
    <w:pPr>
      <w:jc w:val="center"/>
      <w:rPr>
        <w:rFonts w:hint="eastAsia"/>
      </w:rPr>
    </w:pPr>
    <w:r>
      <w:drawing>
        <wp:inline distT="0" distB="0" distL="0" distR="0">
          <wp:extent cx="5905500" cy="679450"/>
          <wp:effectExtent l="0" t="0" r="0" b="6350"/>
          <wp:docPr id="10838090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809056"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5500" cy="679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FjNjQyZTEwMThkZmRmNDAyZTZiYmEzYjZiNGZmYTUifQ=="/>
  </w:docVars>
  <w:rsids>
    <w:rsidRoot w:val="00756626"/>
    <w:rsid w:val="000009E4"/>
    <w:rsid w:val="0000114F"/>
    <w:rsid w:val="0000436F"/>
    <w:rsid w:val="000062F4"/>
    <w:rsid w:val="00006469"/>
    <w:rsid w:val="00006CFD"/>
    <w:rsid w:val="000116E4"/>
    <w:rsid w:val="00012C41"/>
    <w:rsid w:val="00013608"/>
    <w:rsid w:val="00013B07"/>
    <w:rsid w:val="00014530"/>
    <w:rsid w:val="00015995"/>
    <w:rsid w:val="00016D69"/>
    <w:rsid w:val="00022A3E"/>
    <w:rsid w:val="00031311"/>
    <w:rsid w:val="00034595"/>
    <w:rsid w:val="00037CC3"/>
    <w:rsid w:val="00037F12"/>
    <w:rsid w:val="000404C3"/>
    <w:rsid w:val="00041035"/>
    <w:rsid w:val="0004184A"/>
    <w:rsid w:val="00042FA2"/>
    <w:rsid w:val="00043D3F"/>
    <w:rsid w:val="0004610A"/>
    <w:rsid w:val="00046C0F"/>
    <w:rsid w:val="00047FBE"/>
    <w:rsid w:val="000505CC"/>
    <w:rsid w:val="000536E0"/>
    <w:rsid w:val="00057E8D"/>
    <w:rsid w:val="0006261A"/>
    <w:rsid w:val="00065AAC"/>
    <w:rsid w:val="00066C2F"/>
    <w:rsid w:val="00067CDC"/>
    <w:rsid w:val="0007061E"/>
    <w:rsid w:val="00074377"/>
    <w:rsid w:val="000765FF"/>
    <w:rsid w:val="00080197"/>
    <w:rsid w:val="00080E86"/>
    <w:rsid w:val="000814E9"/>
    <w:rsid w:val="00082DB5"/>
    <w:rsid w:val="00082FB1"/>
    <w:rsid w:val="00085C8D"/>
    <w:rsid w:val="00085FCC"/>
    <w:rsid w:val="00086FEF"/>
    <w:rsid w:val="00090029"/>
    <w:rsid w:val="00091AA5"/>
    <w:rsid w:val="00091FF9"/>
    <w:rsid w:val="000922B3"/>
    <w:rsid w:val="00094854"/>
    <w:rsid w:val="000949E6"/>
    <w:rsid w:val="0009679C"/>
    <w:rsid w:val="0009761D"/>
    <w:rsid w:val="000A0BB1"/>
    <w:rsid w:val="000A108A"/>
    <w:rsid w:val="000A318A"/>
    <w:rsid w:val="000A3511"/>
    <w:rsid w:val="000A3F95"/>
    <w:rsid w:val="000A68FB"/>
    <w:rsid w:val="000A74CF"/>
    <w:rsid w:val="000A7D0F"/>
    <w:rsid w:val="000B1B92"/>
    <w:rsid w:val="000B5BC8"/>
    <w:rsid w:val="000C1DE2"/>
    <w:rsid w:val="000C1EF8"/>
    <w:rsid w:val="000C3537"/>
    <w:rsid w:val="000C558F"/>
    <w:rsid w:val="000C587E"/>
    <w:rsid w:val="000C5B11"/>
    <w:rsid w:val="000C67A6"/>
    <w:rsid w:val="000D0B38"/>
    <w:rsid w:val="000D107B"/>
    <w:rsid w:val="000D4121"/>
    <w:rsid w:val="000D763B"/>
    <w:rsid w:val="000E0B46"/>
    <w:rsid w:val="000E12A8"/>
    <w:rsid w:val="000E158D"/>
    <w:rsid w:val="000E3384"/>
    <w:rsid w:val="000E4D02"/>
    <w:rsid w:val="000E6420"/>
    <w:rsid w:val="000F4562"/>
    <w:rsid w:val="00103101"/>
    <w:rsid w:val="00103FF5"/>
    <w:rsid w:val="00105EC1"/>
    <w:rsid w:val="00106A4D"/>
    <w:rsid w:val="00111418"/>
    <w:rsid w:val="00112A2A"/>
    <w:rsid w:val="001137C8"/>
    <w:rsid w:val="00117EF1"/>
    <w:rsid w:val="001203D7"/>
    <w:rsid w:val="00120781"/>
    <w:rsid w:val="00121025"/>
    <w:rsid w:val="001273B1"/>
    <w:rsid w:val="00130294"/>
    <w:rsid w:val="00130333"/>
    <w:rsid w:val="00132E0C"/>
    <w:rsid w:val="001358FA"/>
    <w:rsid w:val="00137FB9"/>
    <w:rsid w:val="00145597"/>
    <w:rsid w:val="001466D3"/>
    <w:rsid w:val="001472FE"/>
    <w:rsid w:val="00147E13"/>
    <w:rsid w:val="00150DD3"/>
    <w:rsid w:val="00154E6E"/>
    <w:rsid w:val="00160F71"/>
    <w:rsid w:val="00160F8F"/>
    <w:rsid w:val="00162355"/>
    <w:rsid w:val="00162B7F"/>
    <w:rsid w:val="00163375"/>
    <w:rsid w:val="001639E5"/>
    <w:rsid w:val="00164553"/>
    <w:rsid w:val="00164E88"/>
    <w:rsid w:val="00166D36"/>
    <w:rsid w:val="00166EDC"/>
    <w:rsid w:val="00167EC3"/>
    <w:rsid w:val="0017064E"/>
    <w:rsid w:val="00170DD1"/>
    <w:rsid w:val="00172304"/>
    <w:rsid w:val="0017684F"/>
    <w:rsid w:val="001768E5"/>
    <w:rsid w:val="0018079E"/>
    <w:rsid w:val="00182FEC"/>
    <w:rsid w:val="00183AD9"/>
    <w:rsid w:val="001865B0"/>
    <w:rsid w:val="00191976"/>
    <w:rsid w:val="0019760B"/>
    <w:rsid w:val="00197DBC"/>
    <w:rsid w:val="00197EDA"/>
    <w:rsid w:val="001A1C51"/>
    <w:rsid w:val="001A24B8"/>
    <w:rsid w:val="001A2D63"/>
    <w:rsid w:val="001A2F81"/>
    <w:rsid w:val="001A3167"/>
    <w:rsid w:val="001A6903"/>
    <w:rsid w:val="001A736E"/>
    <w:rsid w:val="001B01EC"/>
    <w:rsid w:val="001B03B6"/>
    <w:rsid w:val="001B1958"/>
    <w:rsid w:val="001B1EED"/>
    <w:rsid w:val="001B2E94"/>
    <w:rsid w:val="001B3AE6"/>
    <w:rsid w:val="001B63B2"/>
    <w:rsid w:val="001B6AE4"/>
    <w:rsid w:val="001B6C0D"/>
    <w:rsid w:val="001C1474"/>
    <w:rsid w:val="001C2000"/>
    <w:rsid w:val="001C2933"/>
    <w:rsid w:val="001C3B71"/>
    <w:rsid w:val="001C4075"/>
    <w:rsid w:val="001C6036"/>
    <w:rsid w:val="001D157A"/>
    <w:rsid w:val="001D2D58"/>
    <w:rsid w:val="001D7868"/>
    <w:rsid w:val="001E1516"/>
    <w:rsid w:val="001E1992"/>
    <w:rsid w:val="001E1EBA"/>
    <w:rsid w:val="001E3085"/>
    <w:rsid w:val="001F36AC"/>
    <w:rsid w:val="001F47BE"/>
    <w:rsid w:val="001F6B43"/>
    <w:rsid w:val="001F7274"/>
    <w:rsid w:val="002004E1"/>
    <w:rsid w:val="00200536"/>
    <w:rsid w:val="0020103C"/>
    <w:rsid w:val="00201125"/>
    <w:rsid w:val="00201321"/>
    <w:rsid w:val="00204F17"/>
    <w:rsid w:val="00210339"/>
    <w:rsid w:val="00211660"/>
    <w:rsid w:val="00213589"/>
    <w:rsid w:val="00217ADB"/>
    <w:rsid w:val="00220252"/>
    <w:rsid w:val="00221BD1"/>
    <w:rsid w:val="00223595"/>
    <w:rsid w:val="00224BD6"/>
    <w:rsid w:val="002265A9"/>
    <w:rsid w:val="00230DA7"/>
    <w:rsid w:val="002336BD"/>
    <w:rsid w:val="00236327"/>
    <w:rsid w:val="00236937"/>
    <w:rsid w:val="002402D1"/>
    <w:rsid w:val="002435F2"/>
    <w:rsid w:val="00243D1E"/>
    <w:rsid w:val="002460A0"/>
    <w:rsid w:val="00251F2E"/>
    <w:rsid w:val="002529BD"/>
    <w:rsid w:val="0025569A"/>
    <w:rsid w:val="00255E9B"/>
    <w:rsid w:val="00255F77"/>
    <w:rsid w:val="0025659F"/>
    <w:rsid w:val="002570E8"/>
    <w:rsid w:val="00257110"/>
    <w:rsid w:val="002607CF"/>
    <w:rsid w:val="00262884"/>
    <w:rsid w:val="00263494"/>
    <w:rsid w:val="00263BCE"/>
    <w:rsid w:val="00264D84"/>
    <w:rsid w:val="00267917"/>
    <w:rsid w:val="00272073"/>
    <w:rsid w:val="00275FBD"/>
    <w:rsid w:val="00282765"/>
    <w:rsid w:val="002831C7"/>
    <w:rsid w:val="00283AE2"/>
    <w:rsid w:val="00283EB5"/>
    <w:rsid w:val="002871B1"/>
    <w:rsid w:val="00296AB0"/>
    <w:rsid w:val="002A17E3"/>
    <w:rsid w:val="002A35E5"/>
    <w:rsid w:val="002A7085"/>
    <w:rsid w:val="002A799A"/>
    <w:rsid w:val="002B0296"/>
    <w:rsid w:val="002B1048"/>
    <w:rsid w:val="002B4AE9"/>
    <w:rsid w:val="002C3342"/>
    <w:rsid w:val="002C33D1"/>
    <w:rsid w:val="002D08AD"/>
    <w:rsid w:val="002D2EAF"/>
    <w:rsid w:val="002D2FCD"/>
    <w:rsid w:val="002D2FF9"/>
    <w:rsid w:val="002D3A28"/>
    <w:rsid w:val="002E094C"/>
    <w:rsid w:val="002E200D"/>
    <w:rsid w:val="002E3494"/>
    <w:rsid w:val="002E356A"/>
    <w:rsid w:val="002E3E0B"/>
    <w:rsid w:val="002E4545"/>
    <w:rsid w:val="002E46E3"/>
    <w:rsid w:val="002F13BD"/>
    <w:rsid w:val="002F14C6"/>
    <w:rsid w:val="002F55DD"/>
    <w:rsid w:val="002F75BD"/>
    <w:rsid w:val="00302870"/>
    <w:rsid w:val="00303255"/>
    <w:rsid w:val="00304616"/>
    <w:rsid w:val="00304855"/>
    <w:rsid w:val="00305DE7"/>
    <w:rsid w:val="0030628A"/>
    <w:rsid w:val="00306563"/>
    <w:rsid w:val="00306AB0"/>
    <w:rsid w:val="00310A59"/>
    <w:rsid w:val="003117B9"/>
    <w:rsid w:val="00311A4B"/>
    <w:rsid w:val="00312BBF"/>
    <w:rsid w:val="00316C36"/>
    <w:rsid w:val="00317A81"/>
    <w:rsid w:val="00320EE9"/>
    <w:rsid w:val="00321487"/>
    <w:rsid w:val="00327618"/>
    <w:rsid w:val="00330627"/>
    <w:rsid w:val="0033301D"/>
    <w:rsid w:val="00336F68"/>
    <w:rsid w:val="00336FDD"/>
    <w:rsid w:val="00341604"/>
    <w:rsid w:val="0034465D"/>
    <w:rsid w:val="00347CBA"/>
    <w:rsid w:val="003502B4"/>
    <w:rsid w:val="00352E2F"/>
    <w:rsid w:val="0035407B"/>
    <w:rsid w:val="003560E6"/>
    <w:rsid w:val="0035700E"/>
    <w:rsid w:val="00357CF0"/>
    <w:rsid w:val="00363F3D"/>
    <w:rsid w:val="003665F6"/>
    <w:rsid w:val="0036728D"/>
    <w:rsid w:val="0037027D"/>
    <w:rsid w:val="00371425"/>
    <w:rsid w:val="00371E29"/>
    <w:rsid w:val="00373614"/>
    <w:rsid w:val="0037364D"/>
    <w:rsid w:val="0037508B"/>
    <w:rsid w:val="0038111B"/>
    <w:rsid w:val="00381C15"/>
    <w:rsid w:val="00382F41"/>
    <w:rsid w:val="0038494C"/>
    <w:rsid w:val="003868F7"/>
    <w:rsid w:val="00392BF4"/>
    <w:rsid w:val="003940F4"/>
    <w:rsid w:val="003959FD"/>
    <w:rsid w:val="003961ED"/>
    <w:rsid w:val="0039799B"/>
    <w:rsid w:val="003A0ADB"/>
    <w:rsid w:val="003A188A"/>
    <w:rsid w:val="003A1BED"/>
    <w:rsid w:val="003A1C79"/>
    <w:rsid w:val="003A2DAB"/>
    <w:rsid w:val="003A3152"/>
    <w:rsid w:val="003A454D"/>
    <w:rsid w:val="003A4659"/>
    <w:rsid w:val="003A6F9D"/>
    <w:rsid w:val="003A7992"/>
    <w:rsid w:val="003A7D03"/>
    <w:rsid w:val="003B064C"/>
    <w:rsid w:val="003B13A5"/>
    <w:rsid w:val="003B1AA8"/>
    <w:rsid w:val="003B284D"/>
    <w:rsid w:val="003B3485"/>
    <w:rsid w:val="003B3605"/>
    <w:rsid w:val="003B5B05"/>
    <w:rsid w:val="003B6659"/>
    <w:rsid w:val="003B6DAB"/>
    <w:rsid w:val="003C3454"/>
    <w:rsid w:val="003C4781"/>
    <w:rsid w:val="003C5468"/>
    <w:rsid w:val="003C7A4A"/>
    <w:rsid w:val="003D1ED8"/>
    <w:rsid w:val="003D26B2"/>
    <w:rsid w:val="003D327F"/>
    <w:rsid w:val="003D3515"/>
    <w:rsid w:val="003D4971"/>
    <w:rsid w:val="003D5E01"/>
    <w:rsid w:val="003D6E1E"/>
    <w:rsid w:val="003E24B1"/>
    <w:rsid w:val="003E3756"/>
    <w:rsid w:val="003E60E1"/>
    <w:rsid w:val="003E77E4"/>
    <w:rsid w:val="003F42B3"/>
    <w:rsid w:val="003F52EA"/>
    <w:rsid w:val="00400160"/>
    <w:rsid w:val="004011A4"/>
    <w:rsid w:val="00401E65"/>
    <w:rsid w:val="00403B44"/>
    <w:rsid w:val="00403FBB"/>
    <w:rsid w:val="00405332"/>
    <w:rsid w:val="0041002E"/>
    <w:rsid w:val="00413B01"/>
    <w:rsid w:val="0041400B"/>
    <w:rsid w:val="004142D4"/>
    <w:rsid w:val="00414C40"/>
    <w:rsid w:val="00416A3D"/>
    <w:rsid w:val="004173F4"/>
    <w:rsid w:val="00417F83"/>
    <w:rsid w:val="004237F8"/>
    <w:rsid w:val="00426923"/>
    <w:rsid w:val="004303C0"/>
    <w:rsid w:val="0043170C"/>
    <w:rsid w:val="004327AE"/>
    <w:rsid w:val="00433671"/>
    <w:rsid w:val="00435409"/>
    <w:rsid w:val="004405C0"/>
    <w:rsid w:val="004430E8"/>
    <w:rsid w:val="0044335C"/>
    <w:rsid w:val="00445D75"/>
    <w:rsid w:val="0045480E"/>
    <w:rsid w:val="00456743"/>
    <w:rsid w:val="00456DA5"/>
    <w:rsid w:val="00457EA2"/>
    <w:rsid w:val="00460DBC"/>
    <w:rsid w:val="00461FD3"/>
    <w:rsid w:val="00462180"/>
    <w:rsid w:val="004626CF"/>
    <w:rsid w:val="00463860"/>
    <w:rsid w:val="00463AF9"/>
    <w:rsid w:val="004644FC"/>
    <w:rsid w:val="00464B58"/>
    <w:rsid w:val="00464D58"/>
    <w:rsid w:val="004719AB"/>
    <w:rsid w:val="0047231B"/>
    <w:rsid w:val="004729F8"/>
    <w:rsid w:val="0047725C"/>
    <w:rsid w:val="004840CF"/>
    <w:rsid w:val="0048470A"/>
    <w:rsid w:val="00484EC1"/>
    <w:rsid w:val="00485246"/>
    <w:rsid w:val="004866A5"/>
    <w:rsid w:val="00491047"/>
    <w:rsid w:val="004914C8"/>
    <w:rsid w:val="00493077"/>
    <w:rsid w:val="0049330E"/>
    <w:rsid w:val="004934D4"/>
    <w:rsid w:val="004967FF"/>
    <w:rsid w:val="00497365"/>
    <w:rsid w:val="004977E3"/>
    <w:rsid w:val="00497B33"/>
    <w:rsid w:val="00497E23"/>
    <w:rsid w:val="004A0913"/>
    <w:rsid w:val="004A1C68"/>
    <w:rsid w:val="004A2732"/>
    <w:rsid w:val="004A2B24"/>
    <w:rsid w:val="004A4BA1"/>
    <w:rsid w:val="004A62EE"/>
    <w:rsid w:val="004A758D"/>
    <w:rsid w:val="004A7612"/>
    <w:rsid w:val="004B09BC"/>
    <w:rsid w:val="004B1139"/>
    <w:rsid w:val="004B7ECD"/>
    <w:rsid w:val="004C0ACF"/>
    <w:rsid w:val="004C38B7"/>
    <w:rsid w:val="004C4AEA"/>
    <w:rsid w:val="004C5359"/>
    <w:rsid w:val="004D0781"/>
    <w:rsid w:val="004D2BC8"/>
    <w:rsid w:val="004D30AE"/>
    <w:rsid w:val="004D3156"/>
    <w:rsid w:val="004D3FD1"/>
    <w:rsid w:val="004D6D2F"/>
    <w:rsid w:val="004D71C3"/>
    <w:rsid w:val="004D7363"/>
    <w:rsid w:val="004E373B"/>
    <w:rsid w:val="004E40A7"/>
    <w:rsid w:val="004E764E"/>
    <w:rsid w:val="004F1F7A"/>
    <w:rsid w:val="004F6FC7"/>
    <w:rsid w:val="004F749F"/>
    <w:rsid w:val="005000B3"/>
    <w:rsid w:val="005004BC"/>
    <w:rsid w:val="00500D55"/>
    <w:rsid w:val="00502879"/>
    <w:rsid w:val="0050432A"/>
    <w:rsid w:val="0051415E"/>
    <w:rsid w:val="0051461C"/>
    <w:rsid w:val="00515BFE"/>
    <w:rsid w:val="005161CE"/>
    <w:rsid w:val="005165C5"/>
    <w:rsid w:val="00516C2B"/>
    <w:rsid w:val="00517F0F"/>
    <w:rsid w:val="00517F87"/>
    <w:rsid w:val="00520566"/>
    <w:rsid w:val="00520844"/>
    <w:rsid w:val="00520CCA"/>
    <w:rsid w:val="0052332C"/>
    <w:rsid w:val="005238C8"/>
    <w:rsid w:val="0052419B"/>
    <w:rsid w:val="00525513"/>
    <w:rsid w:val="00527E8A"/>
    <w:rsid w:val="00530A6E"/>
    <w:rsid w:val="00530E18"/>
    <w:rsid w:val="00533573"/>
    <w:rsid w:val="0053482D"/>
    <w:rsid w:val="005349E7"/>
    <w:rsid w:val="00536EA4"/>
    <w:rsid w:val="00543979"/>
    <w:rsid w:val="00544A1D"/>
    <w:rsid w:val="005509F6"/>
    <w:rsid w:val="0055295C"/>
    <w:rsid w:val="005541E6"/>
    <w:rsid w:val="005552F4"/>
    <w:rsid w:val="00555329"/>
    <w:rsid w:val="005579AA"/>
    <w:rsid w:val="0056031C"/>
    <w:rsid w:val="00561927"/>
    <w:rsid w:val="00563576"/>
    <w:rsid w:val="00565695"/>
    <w:rsid w:val="005666C3"/>
    <w:rsid w:val="00567903"/>
    <w:rsid w:val="005735F1"/>
    <w:rsid w:val="00574BEC"/>
    <w:rsid w:val="005762C1"/>
    <w:rsid w:val="00577861"/>
    <w:rsid w:val="00581DB0"/>
    <w:rsid w:val="005847D3"/>
    <w:rsid w:val="00584B0A"/>
    <w:rsid w:val="00584D92"/>
    <w:rsid w:val="00585951"/>
    <w:rsid w:val="00586136"/>
    <w:rsid w:val="00587DC3"/>
    <w:rsid w:val="00592BC6"/>
    <w:rsid w:val="00593624"/>
    <w:rsid w:val="005936D5"/>
    <w:rsid w:val="0059376A"/>
    <w:rsid w:val="0059383A"/>
    <w:rsid w:val="005938EE"/>
    <w:rsid w:val="00594309"/>
    <w:rsid w:val="0059505F"/>
    <w:rsid w:val="00595A42"/>
    <w:rsid w:val="00597EA9"/>
    <w:rsid w:val="005A026D"/>
    <w:rsid w:val="005A2031"/>
    <w:rsid w:val="005A27BF"/>
    <w:rsid w:val="005A603C"/>
    <w:rsid w:val="005A6A8A"/>
    <w:rsid w:val="005A6C9A"/>
    <w:rsid w:val="005B2265"/>
    <w:rsid w:val="005B7D64"/>
    <w:rsid w:val="005C1B0A"/>
    <w:rsid w:val="005C25EA"/>
    <w:rsid w:val="005C26DA"/>
    <w:rsid w:val="005D0C62"/>
    <w:rsid w:val="005D36AA"/>
    <w:rsid w:val="005D4D28"/>
    <w:rsid w:val="005D5F6E"/>
    <w:rsid w:val="005E1ABE"/>
    <w:rsid w:val="005E2D92"/>
    <w:rsid w:val="005E504F"/>
    <w:rsid w:val="005E5251"/>
    <w:rsid w:val="005E632D"/>
    <w:rsid w:val="005E74BA"/>
    <w:rsid w:val="005F1144"/>
    <w:rsid w:val="005F14E1"/>
    <w:rsid w:val="005F2651"/>
    <w:rsid w:val="005F2D6F"/>
    <w:rsid w:val="005F531A"/>
    <w:rsid w:val="005F5528"/>
    <w:rsid w:val="005F65C8"/>
    <w:rsid w:val="005F70AB"/>
    <w:rsid w:val="005F7DB1"/>
    <w:rsid w:val="005F7F4E"/>
    <w:rsid w:val="00600941"/>
    <w:rsid w:val="00602E5E"/>
    <w:rsid w:val="0060397B"/>
    <w:rsid w:val="006070EC"/>
    <w:rsid w:val="006072E8"/>
    <w:rsid w:val="00611AFB"/>
    <w:rsid w:val="006135DB"/>
    <w:rsid w:val="006143BF"/>
    <w:rsid w:val="006153AB"/>
    <w:rsid w:val="006175EF"/>
    <w:rsid w:val="006252C4"/>
    <w:rsid w:val="00627588"/>
    <w:rsid w:val="006279EA"/>
    <w:rsid w:val="006314E7"/>
    <w:rsid w:val="00635BD5"/>
    <w:rsid w:val="00640CB4"/>
    <w:rsid w:val="00641772"/>
    <w:rsid w:val="00642A44"/>
    <w:rsid w:val="00644E31"/>
    <w:rsid w:val="00645B02"/>
    <w:rsid w:val="00651C08"/>
    <w:rsid w:val="00653A68"/>
    <w:rsid w:val="00657DC0"/>
    <w:rsid w:val="00660BB7"/>
    <w:rsid w:val="00661F9F"/>
    <w:rsid w:val="00664079"/>
    <w:rsid w:val="006642C4"/>
    <w:rsid w:val="00664DAA"/>
    <w:rsid w:val="00664F3B"/>
    <w:rsid w:val="00670120"/>
    <w:rsid w:val="006713B5"/>
    <w:rsid w:val="00674C38"/>
    <w:rsid w:val="006763DA"/>
    <w:rsid w:val="00681FEB"/>
    <w:rsid w:val="006823E7"/>
    <w:rsid w:val="0068459B"/>
    <w:rsid w:val="00685148"/>
    <w:rsid w:val="00685A78"/>
    <w:rsid w:val="006900EA"/>
    <w:rsid w:val="0069103C"/>
    <w:rsid w:val="00691AD4"/>
    <w:rsid w:val="0069264D"/>
    <w:rsid w:val="00693005"/>
    <w:rsid w:val="00693820"/>
    <w:rsid w:val="00696E42"/>
    <w:rsid w:val="00697054"/>
    <w:rsid w:val="00697CA8"/>
    <w:rsid w:val="006A2094"/>
    <w:rsid w:val="006A3042"/>
    <w:rsid w:val="006A43F9"/>
    <w:rsid w:val="006A4806"/>
    <w:rsid w:val="006A4E30"/>
    <w:rsid w:val="006B4735"/>
    <w:rsid w:val="006B60FC"/>
    <w:rsid w:val="006C0103"/>
    <w:rsid w:val="006C1090"/>
    <w:rsid w:val="006C2C6E"/>
    <w:rsid w:val="006C3E32"/>
    <w:rsid w:val="006C4D6A"/>
    <w:rsid w:val="006C5E79"/>
    <w:rsid w:val="006C6CB7"/>
    <w:rsid w:val="006C7249"/>
    <w:rsid w:val="006D3FAD"/>
    <w:rsid w:val="006D584E"/>
    <w:rsid w:val="006D5DA2"/>
    <w:rsid w:val="006E0B30"/>
    <w:rsid w:val="006E0F3D"/>
    <w:rsid w:val="006E6008"/>
    <w:rsid w:val="006F1A49"/>
    <w:rsid w:val="006F34B7"/>
    <w:rsid w:val="006F4883"/>
    <w:rsid w:val="006F5738"/>
    <w:rsid w:val="006F6B94"/>
    <w:rsid w:val="00700424"/>
    <w:rsid w:val="00701FAE"/>
    <w:rsid w:val="00702E4C"/>
    <w:rsid w:val="00710E91"/>
    <w:rsid w:val="0071276D"/>
    <w:rsid w:val="00712B38"/>
    <w:rsid w:val="00716277"/>
    <w:rsid w:val="007164C7"/>
    <w:rsid w:val="0071668C"/>
    <w:rsid w:val="00716C53"/>
    <w:rsid w:val="0071784C"/>
    <w:rsid w:val="00722B86"/>
    <w:rsid w:val="00725627"/>
    <w:rsid w:val="007258CF"/>
    <w:rsid w:val="00726EB1"/>
    <w:rsid w:val="00727B6C"/>
    <w:rsid w:val="00732E62"/>
    <w:rsid w:val="00734629"/>
    <w:rsid w:val="0073563D"/>
    <w:rsid w:val="007359D0"/>
    <w:rsid w:val="00735C25"/>
    <w:rsid w:val="0073691D"/>
    <w:rsid w:val="00737B87"/>
    <w:rsid w:val="00742745"/>
    <w:rsid w:val="007433C8"/>
    <w:rsid w:val="00743455"/>
    <w:rsid w:val="0074775E"/>
    <w:rsid w:val="00756626"/>
    <w:rsid w:val="007572BE"/>
    <w:rsid w:val="00763093"/>
    <w:rsid w:val="00764B19"/>
    <w:rsid w:val="00765853"/>
    <w:rsid w:val="0076760A"/>
    <w:rsid w:val="007709F6"/>
    <w:rsid w:val="00774D1E"/>
    <w:rsid w:val="007765A6"/>
    <w:rsid w:val="00777132"/>
    <w:rsid w:val="00781FE8"/>
    <w:rsid w:val="00782776"/>
    <w:rsid w:val="007846DC"/>
    <w:rsid w:val="0078494B"/>
    <w:rsid w:val="00784A57"/>
    <w:rsid w:val="007851E4"/>
    <w:rsid w:val="00785328"/>
    <w:rsid w:val="00785B83"/>
    <w:rsid w:val="00785D4D"/>
    <w:rsid w:val="00786098"/>
    <w:rsid w:val="0078688E"/>
    <w:rsid w:val="00787700"/>
    <w:rsid w:val="007910A8"/>
    <w:rsid w:val="007917B3"/>
    <w:rsid w:val="00791D7E"/>
    <w:rsid w:val="0079274B"/>
    <w:rsid w:val="00792E7D"/>
    <w:rsid w:val="00794010"/>
    <w:rsid w:val="00794953"/>
    <w:rsid w:val="007958CB"/>
    <w:rsid w:val="00796DBA"/>
    <w:rsid w:val="007A054C"/>
    <w:rsid w:val="007A1535"/>
    <w:rsid w:val="007A1632"/>
    <w:rsid w:val="007A2697"/>
    <w:rsid w:val="007A281B"/>
    <w:rsid w:val="007A3332"/>
    <w:rsid w:val="007A3F8C"/>
    <w:rsid w:val="007A4000"/>
    <w:rsid w:val="007A6DC4"/>
    <w:rsid w:val="007A7660"/>
    <w:rsid w:val="007A7E00"/>
    <w:rsid w:val="007B23A4"/>
    <w:rsid w:val="007B2A33"/>
    <w:rsid w:val="007B3510"/>
    <w:rsid w:val="007B70E0"/>
    <w:rsid w:val="007C1233"/>
    <w:rsid w:val="007C2C06"/>
    <w:rsid w:val="007C6A50"/>
    <w:rsid w:val="007D0155"/>
    <w:rsid w:val="007D0409"/>
    <w:rsid w:val="007D0DB5"/>
    <w:rsid w:val="007D299D"/>
    <w:rsid w:val="007D29F3"/>
    <w:rsid w:val="007D2DA7"/>
    <w:rsid w:val="007D3533"/>
    <w:rsid w:val="007D5A95"/>
    <w:rsid w:val="007D736C"/>
    <w:rsid w:val="007D7DBA"/>
    <w:rsid w:val="007E0063"/>
    <w:rsid w:val="007E008C"/>
    <w:rsid w:val="007E13AE"/>
    <w:rsid w:val="007E1841"/>
    <w:rsid w:val="007E5D59"/>
    <w:rsid w:val="007E6466"/>
    <w:rsid w:val="007E6782"/>
    <w:rsid w:val="007E74B9"/>
    <w:rsid w:val="007E7D3E"/>
    <w:rsid w:val="007F1E7D"/>
    <w:rsid w:val="007F3874"/>
    <w:rsid w:val="007F46A2"/>
    <w:rsid w:val="007F4F71"/>
    <w:rsid w:val="007F5783"/>
    <w:rsid w:val="007F58B9"/>
    <w:rsid w:val="007F73C5"/>
    <w:rsid w:val="007F7402"/>
    <w:rsid w:val="00803689"/>
    <w:rsid w:val="008051C0"/>
    <w:rsid w:val="00805478"/>
    <w:rsid w:val="00806034"/>
    <w:rsid w:val="008062F5"/>
    <w:rsid w:val="00806C75"/>
    <w:rsid w:val="00810B33"/>
    <w:rsid w:val="008115C4"/>
    <w:rsid w:val="00814392"/>
    <w:rsid w:val="008143E7"/>
    <w:rsid w:val="008147B0"/>
    <w:rsid w:val="0081666D"/>
    <w:rsid w:val="00816F86"/>
    <w:rsid w:val="00824E42"/>
    <w:rsid w:val="00826BEC"/>
    <w:rsid w:val="008309E3"/>
    <w:rsid w:val="0083275D"/>
    <w:rsid w:val="008331E4"/>
    <w:rsid w:val="00833B3B"/>
    <w:rsid w:val="00834263"/>
    <w:rsid w:val="0083518C"/>
    <w:rsid w:val="00835258"/>
    <w:rsid w:val="00836C7B"/>
    <w:rsid w:val="00837077"/>
    <w:rsid w:val="00837A11"/>
    <w:rsid w:val="008400F7"/>
    <w:rsid w:val="00843CE6"/>
    <w:rsid w:val="00844B85"/>
    <w:rsid w:val="00845785"/>
    <w:rsid w:val="0084594D"/>
    <w:rsid w:val="0084629B"/>
    <w:rsid w:val="008470A5"/>
    <w:rsid w:val="008524BA"/>
    <w:rsid w:val="00854FBA"/>
    <w:rsid w:val="00855549"/>
    <w:rsid w:val="00857757"/>
    <w:rsid w:val="00860FD0"/>
    <w:rsid w:val="008629F4"/>
    <w:rsid w:val="00863A5B"/>
    <w:rsid w:val="0087038D"/>
    <w:rsid w:val="008800E3"/>
    <w:rsid w:val="008807C0"/>
    <w:rsid w:val="008851A9"/>
    <w:rsid w:val="00887F0C"/>
    <w:rsid w:val="00893056"/>
    <w:rsid w:val="00893A32"/>
    <w:rsid w:val="00894B74"/>
    <w:rsid w:val="008A1A9C"/>
    <w:rsid w:val="008A541E"/>
    <w:rsid w:val="008B0ED1"/>
    <w:rsid w:val="008B2C2E"/>
    <w:rsid w:val="008B3188"/>
    <w:rsid w:val="008B336F"/>
    <w:rsid w:val="008B56D2"/>
    <w:rsid w:val="008B7147"/>
    <w:rsid w:val="008C23E0"/>
    <w:rsid w:val="008C3D8A"/>
    <w:rsid w:val="008C3FF0"/>
    <w:rsid w:val="008C56F5"/>
    <w:rsid w:val="008C59F4"/>
    <w:rsid w:val="008C6787"/>
    <w:rsid w:val="008C7394"/>
    <w:rsid w:val="008C7810"/>
    <w:rsid w:val="008C789D"/>
    <w:rsid w:val="008D0FB0"/>
    <w:rsid w:val="008D2DB0"/>
    <w:rsid w:val="008D3747"/>
    <w:rsid w:val="008D6BE2"/>
    <w:rsid w:val="008E0100"/>
    <w:rsid w:val="008E40DA"/>
    <w:rsid w:val="008E7989"/>
    <w:rsid w:val="008E7DD4"/>
    <w:rsid w:val="008F3F87"/>
    <w:rsid w:val="008F3FFA"/>
    <w:rsid w:val="008F6917"/>
    <w:rsid w:val="008F71B6"/>
    <w:rsid w:val="008F7584"/>
    <w:rsid w:val="0090229C"/>
    <w:rsid w:val="00903112"/>
    <w:rsid w:val="0090469F"/>
    <w:rsid w:val="0090555B"/>
    <w:rsid w:val="009113FC"/>
    <w:rsid w:val="00911B77"/>
    <w:rsid w:val="00912B21"/>
    <w:rsid w:val="0091365F"/>
    <w:rsid w:val="00917842"/>
    <w:rsid w:val="009207E0"/>
    <w:rsid w:val="00921DF6"/>
    <w:rsid w:val="00924893"/>
    <w:rsid w:val="00926422"/>
    <w:rsid w:val="009302F3"/>
    <w:rsid w:val="00934006"/>
    <w:rsid w:val="009369AF"/>
    <w:rsid w:val="00937328"/>
    <w:rsid w:val="0093779E"/>
    <w:rsid w:val="00940228"/>
    <w:rsid w:val="00941A94"/>
    <w:rsid w:val="00945580"/>
    <w:rsid w:val="009461B5"/>
    <w:rsid w:val="00950D6E"/>
    <w:rsid w:val="009548AD"/>
    <w:rsid w:val="00956637"/>
    <w:rsid w:val="0095717F"/>
    <w:rsid w:val="0096020D"/>
    <w:rsid w:val="009652E1"/>
    <w:rsid w:val="009700EA"/>
    <w:rsid w:val="00973324"/>
    <w:rsid w:val="00975C50"/>
    <w:rsid w:val="00976106"/>
    <w:rsid w:val="009816FF"/>
    <w:rsid w:val="009837EC"/>
    <w:rsid w:val="009845F3"/>
    <w:rsid w:val="00990633"/>
    <w:rsid w:val="00991551"/>
    <w:rsid w:val="00994B9D"/>
    <w:rsid w:val="009A2069"/>
    <w:rsid w:val="009A24DD"/>
    <w:rsid w:val="009A506D"/>
    <w:rsid w:val="009A55BF"/>
    <w:rsid w:val="009A73F9"/>
    <w:rsid w:val="009B0065"/>
    <w:rsid w:val="009B2CDC"/>
    <w:rsid w:val="009B4623"/>
    <w:rsid w:val="009B4FED"/>
    <w:rsid w:val="009B68FA"/>
    <w:rsid w:val="009B6E41"/>
    <w:rsid w:val="009B6FEB"/>
    <w:rsid w:val="009C2D3A"/>
    <w:rsid w:val="009C428B"/>
    <w:rsid w:val="009C5F48"/>
    <w:rsid w:val="009C62B5"/>
    <w:rsid w:val="009D1398"/>
    <w:rsid w:val="009D4E08"/>
    <w:rsid w:val="009D5CF6"/>
    <w:rsid w:val="009D79D9"/>
    <w:rsid w:val="009E0216"/>
    <w:rsid w:val="009E0D54"/>
    <w:rsid w:val="009E2C98"/>
    <w:rsid w:val="009E5DE6"/>
    <w:rsid w:val="009E6E7D"/>
    <w:rsid w:val="009E7376"/>
    <w:rsid w:val="009F00CA"/>
    <w:rsid w:val="009F5445"/>
    <w:rsid w:val="009F6A88"/>
    <w:rsid w:val="009F6E40"/>
    <w:rsid w:val="00A01CA9"/>
    <w:rsid w:val="00A02B70"/>
    <w:rsid w:val="00A02EC0"/>
    <w:rsid w:val="00A0310D"/>
    <w:rsid w:val="00A033E2"/>
    <w:rsid w:val="00A04363"/>
    <w:rsid w:val="00A11D23"/>
    <w:rsid w:val="00A12BFB"/>
    <w:rsid w:val="00A131C6"/>
    <w:rsid w:val="00A14643"/>
    <w:rsid w:val="00A153E2"/>
    <w:rsid w:val="00A208BD"/>
    <w:rsid w:val="00A20C0F"/>
    <w:rsid w:val="00A24843"/>
    <w:rsid w:val="00A24A64"/>
    <w:rsid w:val="00A272A5"/>
    <w:rsid w:val="00A31583"/>
    <w:rsid w:val="00A31B9C"/>
    <w:rsid w:val="00A32353"/>
    <w:rsid w:val="00A32B99"/>
    <w:rsid w:val="00A33534"/>
    <w:rsid w:val="00A34503"/>
    <w:rsid w:val="00A36534"/>
    <w:rsid w:val="00A365B5"/>
    <w:rsid w:val="00A37F7F"/>
    <w:rsid w:val="00A41840"/>
    <w:rsid w:val="00A436D8"/>
    <w:rsid w:val="00A44432"/>
    <w:rsid w:val="00A45BBE"/>
    <w:rsid w:val="00A500FC"/>
    <w:rsid w:val="00A503AE"/>
    <w:rsid w:val="00A50DF7"/>
    <w:rsid w:val="00A5356D"/>
    <w:rsid w:val="00A56E2F"/>
    <w:rsid w:val="00A570F8"/>
    <w:rsid w:val="00A616FB"/>
    <w:rsid w:val="00A62074"/>
    <w:rsid w:val="00A626B0"/>
    <w:rsid w:val="00A63A9C"/>
    <w:rsid w:val="00A63F72"/>
    <w:rsid w:val="00A66EBD"/>
    <w:rsid w:val="00A72B3B"/>
    <w:rsid w:val="00A73039"/>
    <w:rsid w:val="00A7388F"/>
    <w:rsid w:val="00A739E7"/>
    <w:rsid w:val="00A75C85"/>
    <w:rsid w:val="00A81A17"/>
    <w:rsid w:val="00A8478E"/>
    <w:rsid w:val="00A85D86"/>
    <w:rsid w:val="00A91A61"/>
    <w:rsid w:val="00A91F9F"/>
    <w:rsid w:val="00A93BEF"/>
    <w:rsid w:val="00A94BE5"/>
    <w:rsid w:val="00AA1EC4"/>
    <w:rsid w:val="00AA26BF"/>
    <w:rsid w:val="00AA4EEB"/>
    <w:rsid w:val="00AA6158"/>
    <w:rsid w:val="00AB0DB9"/>
    <w:rsid w:val="00AB197A"/>
    <w:rsid w:val="00AB538C"/>
    <w:rsid w:val="00AB6351"/>
    <w:rsid w:val="00AC0C26"/>
    <w:rsid w:val="00AC2484"/>
    <w:rsid w:val="00AC2AE1"/>
    <w:rsid w:val="00AC729C"/>
    <w:rsid w:val="00AD15D6"/>
    <w:rsid w:val="00AD3A6E"/>
    <w:rsid w:val="00AD4215"/>
    <w:rsid w:val="00AD454A"/>
    <w:rsid w:val="00AD73AB"/>
    <w:rsid w:val="00AD7AC4"/>
    <w:rsid w:val="00AE109C"/>
    <w:rsid w:val="00AE14D1"/>
    <w:rsid w:val="00AE2D51"/>
    <w:rsid w:val="00AE344D"/>
    <w:rsid w:val="00AE48F6"/>
    <w:rsid w:val="00AE5218"/>
    <w:rsid w:val="00AE607F"/>
    <w:rsid w:val="00AE6143"/>
    <w:rsid w:val="00AE6479"/>
    <w:rsid w:val="00AE65DE"/>
    <w:rsid w:val="00AF02D2"/>
    <w:rsid w:val="00AF0A8C"/>
    <w:rsid w:val="00AF0D11"/>
    <w:rsid w:val="00AF2EB1"/>
    <w:rsid w:val="00AF4159"/>
    <w:rsid w:val="00AF47F0"/>
    <w:rsid w:val="00AF4C17"/>
    <w:rsid w:val="00AF57C7"/>
    <w:rsid w:val="00AF7D17"/>
    <w:rsid w:val="00AF7E39"/>
    <w:rsid w:val="00B016AA"/>
    <w:rsid w:val="00B02CEA"/>
    <w:rsid w:val="00B03E42"/>
    <w:rsid w:val="00B11414"/>
    <w:rsid w:val="00B2224D"/>
    <w:rsid w:val="00B228EA"/>
    <w:rsid w:val="00B23C58"/>
    <w:rsid w:val="00B26485"/>
    <w:rsid w:val="00B27103"/>
    <w:rsid w:val="00B27134"/>
    <w:rsid w:val="00B27466"/>
    <w:rsid w:val="00B31493"/>
    <w:rsid w:val="00B3468F"/>
    <w:rsid w:val="00B408F4"/>
    <w:rsid w:val="00B41A65"/>
    <w:rsid w:val="00B41BD0"/>
    <w:rsid w:val="00B44146"/>
    <w:rsid w:val="00B5172B"/>
    <w:rsid w:val="00B5208F"/>
    <w:rsid w:val="00B5382A"/>
    <w:rsid w:val="00B54056"/>
    <w:rsid w:val="00B54F8A"/>
    <w:rsid w:val="00B5680A"/>
    <w:rsid w:val="00B608E3"/>
    <w:rsid w:val="00B6179A"/>
    <w:rsid w:val="00B63121"/>
    <w:rsid w:val="00B64886"/>
    <w:rsid w:val="00B6513B"/>
    <w:rsid w:val="00B66247"/>
    <w:rsid w:val="00B6671E"/>
    <w:rsid w:val="00B709E0"/>
    <w:rsid w:val="00B70A8E"/>
    <w:rsid w:val="00B71159"/>
    <w:rsid w:val="00B724F3"/>
    <w:rsid w:val="00B76833"/>
    <w:rsid w:val="00B76BE5"/>
    <w:rsid w:val="00B83888"/>
    <w:rsid w:val="00B8482A"/>
    <w:rsid w:val="00B852B1"/>
    <w:rsid w:val="00B85628"/>
    <w:rsid w:val="00B878AA"/>
    <w:rsid w:val="00B90814"/>
    <w:rsid w:val="00B90B33"/>
    <w:rsid w:val="00B91B56"/>
    <w:rsid w:val="00B94AC5"/>
    <w:rsid w:val="00B962D4"/>
    <w:rsid w:val="00B96B37"/>
    <w:rsid w:val="00BA1D36"/>
    <w:rsid w:val="00BA396F"/>
    <w:rsid w:val="00BA3CDF"/>
    <w:rsid w:val="00BA4D43"/>
    <w:rsid w:val="00BA74CC"/>
    <w:rsid w:val="00BB0B3D"/>
    <w:rsid w:val="00BB360E"/>
    <w:rsid w:val="00BB5F21"/>
    <w:rsid w:val="00BB5FAE"/>
    <w:rsid w:val="00BC1A71"/>
    <w:rsid w:val="00BC2783"/>
    <w:rsid w:val="00BC48DB"/>
    <w:rsid w:val="00BC4928"/>
    <w:rsid w:val="00BC5C22"/>
    <w:rsid w:val="00BC74E1"/>
    <w:rsid w:val="00BC78C9"/>
    <w:rsid w:val="00BD2CA3"/>
    <w:rsid w:val="00BD2EE6"/>
    <w:rsid w:val="00BD38E4"/>
    <w:rsid w:val="00BD4D26"/>
    <w:rsid w:val="00BD5352"/>
    <w:rsid w:val="00BD7446"/>
    <w:rsid w:val="00BE0F12"/>
    <w:rsid w:val="00BE1633"/>
    <w:rsid w:val="00BE1EA8"/>
    <w:rsid w:val="00BE21D5"/>
    <w:rsid w:val="00BE2488"/>
    <w:rsid w:val="00BE2B41"/>
    <w:rsid w:val="00BE5332"/>
    <w:rsid w:val="00BE7F67"/>
    <w:rsid w:val="00BF3D5C"/>
    <w:rsid w:val="00C01687"/>
    <w:rsid w:val="00C02080"/>
    <w:rsid w:val="00C02627"/>
    <w:rsid w:val="00C03DE1"/>
    <w:rsid w:val="00C04314"/>
    <w:rsid w:val="00C049FB"/>
    <w:rsid w:val="00C072F6"/>
    <w:rsid w:val="00C07B07"/>
    <w:rsid w:val="00C10A57"/>
    <w:rsid w:val="00C111CD"/>
    <w:rsid w:val="00C11B1B"/>
    <w:rsid w:val="00C12647"/>
    <w:rsid w:val="00C12F52"/>
    <w:rsid w:val="00C2067F"/>
    <w:rsid w:val="00C2096F"/>
    <w:rsid w:val="00C21AEB"/>
    <w:rsid w:val="00C25898"/>
    <w:rsid w:val="00C266F1"/>
    <w:rsid w:val="00C270E3"/>
    <w:rsid w:val="00C31323"/>
    <w:rsid w:val="00C32230"/>
    <w:rsid w:val="00C33147"/>
    <w:rsid w:val="00C343E2"/>
    <w:rsid w:val="00C3722B"/>
    <w:rsid w:val="00C373A3"/>
    <w:rsid w:val="00C41A90"/>
    <w:rsid w:val="00C41BEC"/>
    <w:rsid w:val="00C41FA9"/>
    <w:rsid w:val="00C42277"/>
    <w:rsid w:val="00C44455"/>
    <w:rsid w:val="00C479BC"/>
    <w:rsid w:val="00C512AC"/>
    <w:rsid w:val="00C5272C"/>
    <w:rsid w:val="00C5397C"/>
    <w:rsid w:val="00C56EB4"/>
    <w:rsid w:val="00C57474"/>
    <w:rsid w:val="00C6026E"/>
    <w:rsid w:val="00C61007"/>
    <w:rsid w:val="00C615D4"/>
    <w:rsid w:val="00C61726"/>
    <w:rsid w:val="00C641CA"/>
    <w:rsid w:val="00C6577C"/>
    <w:rsid w:val="00C667C1"/>
    <w:rsid w:val="00C674A0"/>
    <w:rsid w:val="00C7135D"/>
    <w:rsid w:val="00C71F89"/>
    <w:rsid w:val="00C72C1E"/>
    <w:rsid w:val="00C72F15"/>
    <w:rsid w:val="00C746CE"/>
    <w:rsid w:val="00C74B9A"/>
    <w:rsid w:val="00C77FD8"/>
    <w:rsid w:val="00C81DC4"/>
    <w:rsid w:val="00C84C6E"/>
    <w:rsid w:val="00C855AA"/>
    <w:rsid w:val="00C8671F"/>
    <w:rsid w:val="00C87192"/>
    <w:rsid w:val="00C96C41"/>
    <w:rsid w:val="00C97128"/>
    <w:rsid w:val="00CA086A"/>
    <w:rsid w:val="00CA1738"/>
    <w:rsid w:val="00CA1B4D"/>
    <w:rsid w:val="00CA245C"/>
    <w:rsid w:val="00CA3FFB"/>
    <w:rsid w:val="00CA4FE5"/>
    <w:rsid w:val="00CA575F"/>
    <w:rsid w:val="00CA5D7B"/>
    <w:rsid w:val="00CA6539"/>
    <w:rsid w:val="00CB1761"/>
    <w:rsid w:val="00CB3645"/>
    <w:rsid w:val="00CB3776"/>
    <w:rsid w:val="00CB4BED"/>
    <w:rsid w:val="00CC100D"/>
    <w:rsid w:val="00CC1CB3"/>
    <w:rsid w:val="00CC370C"/>
    <w:rsid w:val="00CC37F5"/>
    <w:rsid w:val="00CC4070"/>
    <w:rsid w:val="00CC477F"/>
    <w:rsid w:val="00CC4A5C"/>
    <w:rsid w:val="00CC5DA0"/>
    <w:rsid w:val="00CD05FA"/>
    <w:rsid w:val="00CD1509"/>
    <w:rsid w:val="00CD1574"/>
    <w:rsid w:val="00CD15DC"/>
    <w:rsid w:val="00CD4CE1"/>
    <w:rsid w:val="00CD5120"/>
    <w:rsid w:val="00CD674E"/>
    <w:rsid w:val="00CD6C86"/>
    <w:rsid w:val="00CD6CAD"/>
    <w:rsid w:val="00CD7100"/>
    <w:rsid w:val="00CE1BC2"/>
    <w:rsid w:val="00CE2E6F"/>
    <w:rsid w:val="00CE3C16"/>
    <w:rsid w:val="00CE6FB6"/>
    <w:rsid w:val="00CE7AD9"/>
    <w:rsid w:val="00CF32A8"/>
    <w:rsid w:val="00CF3576"/>
    <w:rsid w:val="00CF4740"/>
    <w:rsid w:val="00CF4781"/>
    <w:rsid w:val="00CF4FAD"/>
    <w:rsid w:val="00CF6826"/>
    <w:rsid w:val="00CF7A2E"/>
    <w:rsid w:val="00D00847"/>
    <w:rsid w:val="00D02590"/>
    <w:rsid w:val="00D03363"/>
    <w:rsid w:val="00D04AA5"/>
    <w:rsid w:val="00D1199A"/>
    <w:rsid w:val="00D14CB3"/>
    <w:rsid w:val="00D20C5C"/>
    <w:rsid w:val="00D23BB6"/>
    <w:rsid w:val="00D24377"/>
    <w:rsid w:val="00D25F8C"/>
    <w:rsid w:val="00D26829"/>
    <w:rsid w:val="00D279B4"/>
    <w:rsid w:val="00D304E2"/>
    <w:rsid w:val="00D30CFB"/>
    <w:rsid w:val="00D33AD3"/>
    <w:rsid w:val="00D350C0"/>
    <w:rsid w:val="00D374C7"/>
    <w:rsid w:val="00D37935"/>
    <w:rsid w:val="00D421C7"/>
    <w:rsid w:val="00D42928"/>
    <w:rsid w:val="00D430E2"/>
    <w:rsid w:val="00D43116"/>
    <w:rsid w:val="00D4494B"/>
    <w:rsid w:val="00D45D1A"/>
    <w:rsid w:val="00D467F5"/>
    <w:rsid w:val="00D46A25"/>
    <w:rsid w:val="00D50AE7"/>
    <w:rsid w:val="00D52B0A"/>
    <w:rsid w:val="00D52E58"/>
    <w:rsid w:val="00D549A2"/>
    <w:rsid w:val="00D55CF5"/>
    <w:rsid w:val="00D55F9D"/>
    <w:rsid w:val="00D5707F"/>
    <w:rsid w:val="00D573C6"/>
    <w:rsid w:val="00D601FB"/>
    <w:rsid w:val="00D618F4"/>
    <w:rsid w:val="00D642C9"/>
    <w:rsid w:val="00D66FB7"/>
    <w:rsid w:val="00D71592"/>
    <w:rsid w:val="00D72413"/>
    <w:rsid w:val="00D7265F"/>
    <w:rsid w:val="00D737DF"/>
    <w:rsid w:val="00D7688C"/>
    <w:rsid w:val="00D769DE"/>
    <w:rsid w:val="00D76D20"/>
    <w:rsid w:val="00D81C37"/>
    <w:rsid w:val="00D82CD2"/>
    <w:rsid w:val="00D867C7"/>
    <w:rsid w:val="00D938B2"/>
    <w:rsid w:val="00D944DF"/>
    <w:rsid w:val="00DA023F"/>
    <w:rsid w:val="00DA249D"/>
    <w:rsid w:val="00DA62C7"/>
    <w:rsid w:val="00DA739D"/>
    <w:rsid w:val="00DB0BBB"/>
    <w:rsid w:val="00DB1340"/>
    <w:rsid w:val="00DB18EF"/>
    <w:rsid w:val="00DB23D8"/>
    <w:rsid w:val="00DB3FB2"/>
    <w:rsid w:val="00DB4B8D"/>
    <w:rsid w:val="00DB52B1"/>
    <w:rsid w:val="00DB56B5"/>
    <w:rsid w:val="00DB696D"/>
    <w:rsid w:val="00DB7068"/>
    <w:rsid w:val="00DC4D1B"/>
    <w:rsid w:val="00DC4D9B"/>
    <w:rsid w:val="00DC5596"/>
    <w:rsid w:val="00DD013F"/>
    <w:rsid w:val="00DD0A11"/>
    <w:rsid w:val="00DD17D3"/>
    <w:rsid w:val="00DD3FB1"/>
    <w:rsid w:val="00DD4E42"/>
    <w:rsid w:val="00DD5814"/>
    <w:rsid w:val="00DD59F2"/>
    <w:rsid w:val="00DD6C53"/>
    <w:rsid w:val="00DE123F"/>
    <w:rsid w:val="00DE2C67"/>
    <w:rsid w:val="00DE45BC"/>
    <w:rsid w:val="00DE5638"/>
    <w:rsid w:val="00DE7182"/>
    <w:rsid w:val="00DF02C6"/>
    <w:rsid w:val="00DF11F5"/>
    <w:rsid w:val="00DF26D8"/>
    <w:rsid w:val="00DF3656"/>
    <w:rsid w:val="00DF3A80"/>
    <w:rsid w:val="00DF3EA7"/>
    <w:rsid w:val="00DF4586"/>
    <w:rsid w:val="00DF5B5D"/>
    <w:rsid w:val="00DF5D92"/>
    <w:rsid w:val="00DF65B2"/>
    <w:rsid w:val="00DF73F4"/>
    <w:rsid w:val="00E001D9"/>
    <w:rsid w:val="00E03ACF"/>
    <w:rsid w:val="00E03B2B"/>
    <w:rsid w:val="00E03DEE"/>
    <w:rsid w:val="00E04498"/>
    <w:rsid w:val="00E04709"/>
    <w:rsid w:val="00E048FB"/>
    <w:rsid w:val="00E05026"/>
    <w:rsid w:val="00E0701D"/>
    <w:rsid w:val="00E12785"/>
    <w:rsid w:val="00E1306D"/>
    <w:rsid w:val="00E136E8"/>
    <w:rsid w:val="00E14C82"/>
    <w:rsid w:val="00E151D8"/>
    <w:rsid w:val="00E15522"/>
    <w:rsid w:val="00E159C7"/>
    <w:rsid w:val="00E1752B"/>
    <w:rsid w:val="00E213AB"/>
    <w:rsid w:val="00E215AB"/>
    <w:rsid w:val="00E22BDB"/>
    <w:rsid w:val="00E261F0"/>
    <w:rsid w:val="00E263BE"/>
    <w:rsid w:val="00E30675"/>
    <w:rsid w:val="00E3394F"/>
    <w:rsid w:val="00E3640D"/>
    <w:rsid w:val="00E370BD"/>
    <w:rsid w:val="00E379E2"/>
    <w:rsid w:val="00E402DD"/>
    <w:rsid w:val="00E4041E"/>
    <w:rsid w:val="00E43AF2"/>
    <w:rsid w:val="00E43B06"/>
    <w:rsid w:val="00E45A9D"/>
    <w:rsid w:val="00E46D21"/>
    <w:rsid w:val="00E507E2"/>
    <w:rsid w:val="00E51D4F"/>
    <w:rsid w:val="00E55076"/>
    <w:rsid w:val="00E5522B"/>
    <w:rsid w:val="00E554E7"/>
    <w:rsid w:val="00E62869"/>
    <w:rsid w:val="00E63216"/>
    <w:rsid w:val="00E70FDF"/>
    <w:rsid w:val="00E71E33"/>
    <w:rsid w:val="00E72DFA"/>
    <w:rsid w:val="00E73AEE"/>
    <w:rsid w:val="00E74ABE"/>
    <w:rsid w:val="00E8199F"/>
    <w:rsid w:val="00E81C2D"/>
    <w:rsid w:val="00E826D9"/>
    <w:rsid w:val="00E849B4"/>
    <w:rsid w:val="00E84C89"/>
    <w:rsid w:val="00E85DFB"/>
    <w:rsid w:val="00E8633D"/>
    <w:rsid w:val="00E87852"/>
    <w:rsid w:val="00E90F4F"/>
    <w:rsid w:val="00E91B7A"/>
    <w:rsid w:val="00E920B9"/>
    <w:rsid w:val="00E92C09"/>
    <w:rsid w:val="00E9413C"/>
    <w:rsid w:val="00E94676"/>
    <w:rsid w:val="00E96BF3"/>
    <w:rsid w:val="00EA0C3B"/>
    <w:rsid w:val="00EA1755"/>
    <w:rsid w:val="00EA18DE"/>
    <w:rsid w:val="00EA4F01"/>
    <w:rsid w:val="00EA4F05"/>
    <w:rsid w:val="00EA6C57"/>
    <w:rsid w:val="00EB0A8D"/>
    <w:rsid w:val="00EB2CBD"/>
    <w:rsid w:val="00EB32D8"/>
    <w:rsid w:val="00EB4A4D"/>
    <w:rsid w:val="00EB7AB1"/>
    <w:rsid w:val="00EC2397"/>
    <w:rsid w:val="00EC45E5"/>
    <w:rsid w:val="00EC4F83"/>
    <w:rsid w:val="00ED0D9B"/>
    <w:rsid w:val="00ED15BD"/>
    <w:rsid w:val="00ED1947"/>
    <w:rsid w:val="00ED1C7D"/>
    <w:rsid w:val="00ED22B7"/>
    <w:rsid w:val="00ED2808"/>
    <w:rsid w:val="00ED3396"/>
    <w:rsid w:val="00ED487B"/>
    <w:rsid w:val="00ED558D"/>
    <w:rsid w:val="00EE04AC"/>
    <w:rsid w:val="00EE0F77"/>
    <w:rsid w:val="00EE20BA"/>
    <w:rsid w:val="00EE2D56"/>
    <w:rsid w:val="00EE2E85"/>
    <w:rsid w:val="00EE370B"/>
    <w:rsid w:val="00EE3A4F"/>
    <w:rsid w:val="00EE422B"/>
    <w:rsid w:val="00EE6014"/>
    <w:rsid w:val="00EE69E7"/>
    <w:rsid w:val="00EF16BA"/>
    <w:rsid w:val="00EF2298"/>
    <w:rsid w:val="00EF23EC"/>
    <w:rsid w:val="00EF4317"/>
    <w:rsid w:val="00EF50C5"/>
    <w:rsid w:val="00EF560F"/>
    <w:rsid w:val="00F0522D"/>
    <w:rsid w:val="00F06AEE"/>
    <w:rsid w:val="00F10C79"/>
    <w:rsid w:val="00F13AE7"/>
    <w:rsid w:val="00F1422F"/>
    <w:rsid w:val="00F14F28"/>
    <w:rsid w:val="00F151A1"/>
    <w:rsid w:val="00F15F50"/>
    <w:rsid w:val="00F174E5"/>
    <w:rsid w:val="00F20358"/>
    <w:rsid w:val="00F21628"/>
    <w:rsid w:val="00F21902"/>
    <w:rsid w:val="00F22728"/>
    <w:rsid w:val="00F23FE1"/>
    <w:rsid w:val="00F244B7"/>
    <w:rsid w:val="00F24546"/>
    <w:rsid w:val="00F249B5"/>
    <w:rsid w:val="00F24BD8"/>
    <w:rsid w:val="00F25629"/>
    <w:rsid w:val="00F25AE9"/>
    <w:rsid w:val="00F25FC8"/>
    <w:rsid w:val="00F26F38"/>
    <w:rsid w:val="00F27C4E"/>
    <w:rsid w:val="00F302AC"/>
    <w:rsid w:val="00F304B9"/>
    <w:rsid w:val="00F30E12"/>
    <w:rsid w:val="00F30F24"/>
    <w:rsid w:val="00F3364F"/>
    <w:rsid w:val="00F33F8B"/>
    <w:rsid w:val="00F343CD"/>
    <w:rsid w:val="00F37864"/>
    <w:rsid w:val="00F431A3"/>
    <w:rsid w:val="00F43AE5"/>
    <w:rsid w:val="00F44EFF"/>
    <w:rsid w:val="00F45A96"/>
    <w:rsid w:val="00F45C23"/>
    <w:rsid w:val="00F463B6"/>
    <w:rsid w:val="00F5041F"/>
    <w:rsid w:val="00F529D3"/>
    <w:rsid w:val="00F534A7"/>
    <w:rsid w:val="00F535D6"/>
    <w:rsid w:val="00F5535C"/>
    <w:rsid w:val="00F55A1E"/>
    <w:rsid w:val="00F55A6D"/>
    <w:rsid w:val="00F56BE9"/>
    <w:rsid w:val="00F612B8"/>
    <w:rsid w:val="00F61515"/>
    <w:rsid w:val="00F6239F"/>
    <w:rsid w:val="00F63B33"/>
    <w:rsid w:val="00F65007"/>
    <w:rsid w:val="00F65257"/>
    <w:rsid w:val="00F66744"/>
    <w:rsid w:val="00F7009B"/>
    <w:rsid w:val="00F7137A"/>
    <w:rsid w:val="00F71665"/>
    <w:rsid w:val="00F73D48"/>
    <w:rsid w:val="00F75F0C"/>
    <w:rsid w:val="00F7625D"/>
    <w:rsid w:val="00F76A54"/>
    <w:rsid w:val="00F77CB4"/>
    <w:rsid w:val="00F827AA"/>
    <w:rsid w:val="00F85469"/>
    <w:rsid w:val="00F855E3"/>
    <w:rsid w:val="00F857AF"/>
    <w:rsid w:val="00F86D07"/>
    <w:rsid w:val="00F86F0B"/>
    <w:rsid w:val="00F877F8"/>
    <w:rsid w:val="00F87AC8"/>
    <w:rsid w:val="00F87B12"/>
    <w:rsid w:val="00F90BB7"/>
    <w:rsid w:val="00F91A27"/>
    <w:rsid w:val="00F926F7"/>
    <w:rsid w:val="00F94E51"/>
    <w:rsid w:val="00F9692B"/>
    <w:rsid w:val="00FA15C6"/>
    <w:rsid w:val="00FA3B2F"/>
    <w:rsid w:val="00FA3C67"/>
    <w:rsid w:val="00FA4722"/>
    <w:rsid w:val="00FA4BE6"/>
    <w:rsid w:val="00FA52DE"/>
    <w:rsid w:val="00FA5BCA"/>
    <w:rsid w:val="00FA5F22"/>
    <w:rsid w:val="00FA616D"/>
    <w:rsid w:val="00FA66F3"/>
    <w:rsid w:val="00FB4062"/>
    <w:rsid w:val="00FB44A9"/>
    <w:rsid w:val="00FB625A"/>
    <w:rsid w:val="00FB69F4"/>
    <w:rsid w:val="00FC0078"/>
    <w:rsid w:val="00FC3127"/>
    <w:rsid w:val="00FC59A5"/>
    <w:rsid w:val="00FD1F23"/>
    <w:rsid w:val="00FD3E41"/>
    <w:rsid w:val="00FD4001"/>
    <w:rsid w:val="00FD4A9E"/>
    <w:rsid w:val="00FD4D45"/>
    <w:rsid w:val="00FD55B1"/>
    <w:rsid w:val="00FD6717"/>
    <w:rsid w:val="00FE0D9E"/>
    <w:rsid w:val="00FE1EE7"/>
    <w:rsid w:val="00FE5A7E"/>
    <w:rsid w:val="00FF3198"/>
    <w:rsid w:val="00FF5A34"/>
    <w:rsid w:val="00FF6F04"/>
    <w:rsid w:val="010033FE"/>
    <w:rsid w:val="01285229"/>
    <w:rsid w:val="01F81427"/>
    <w:rsid w:val="03C261E3"/>
    <w:rsid w:val="03F93561"/>
    <w:rsid w:val="04C840C5"/>
    <w:rsid w:val="05D34727"/>
    <w:rsid w:val="08931933"/>
    <w:rsid w:val="09306D58"/>
    <w:rsid w:val="0A784062"/>
    <w:rsid w:val="0A851326"/>
    <w:rsid w:val="0ABF3657"/>
    <w:rsid w:val="0AF24B9B"/>
    <w:rsid w:val="0B4A1776"/>
    <w:rsid w:val="0C786503"/>
    <w:rsid w:val="0C9413AC"/>
    <w:rsid w:val="0D1A04C9"/>
    <w:rsid w:val="0E434661"/>
    <w:rsid w:val="0F55482C"/>
    <w:rsid w:val="0F7D2DA5"/>
    <w:rsid w:val="10757130"/>
    <w:rsid w:val="10BE6606"/>
    <w:rsid w:val="112B34AD"/>
    <w:rsid w:val="11DF3E08"/>
    <w:rsid w:val="11FF5827"/>
    <w:rsid w:val="1241657B"/>
    <w:rsid w:val="12AD3208"/>
    <w:rsid w:val="16694FE2"/>
    <w:rsid w:val="169326D4"/>
    <w:rsid w:val="173D2504"/>
    <w:rsid w:val="18090C43"/>
    <w:rsid w:val="1820601B"/>
    <w:rsid w:val="18FB5F15"/>
    <w:rsid w:val="1B321622"/>
    <w:rsid w:val="1C9E2B33"/>
    <w:rsid w:val="1D886D0B"/>
    <w:rsid w:val="1ED61CF8"/>
    <w:rsid w:val="1F9C38D3"/>
    <w:rsid w:val="20175E92"/>
    <w:rsid w:val="20767551"/>
    <w:rsid w:val="208714FC"/>
    <w:rsid w:val="21110DC5"/>
    <w:rsid w:val="21380A0A"/>
    <w:rsid w:val="21DB64E2"/>
    <w:rsid w:val="221C4C30"/>
    <w:rsid w:val="22A13803"/>
    <w:rsid w:val="22A70B6C"/>
    <w:rsid w:val="23C14303"/>
    <w:rsid w:val="23FF4622"/>
    <w:rsid w:val="25353CF1"/>
    <w:rsid w:val="2555021A"/>
    <w:rsid w:val="267267AA"/>
    <w:rsid w:val="27432BC1"/>
    <w:rsid w:val="27BD1A2E"/>
    <w:rsid w:val="27F0275A"/>
    <w:rsid w:val="28580092"/>
    <w:rsid w:val="28BC23D4"/>
    <w:rsid w:val="2AA10ED5"/>
    <w:rsid w:val="2ADA0518"/>
    <w:rsid w:val="2B733F84"/>
    <w:rsid w:val="2C403817"/>
    <w:rsid w:val="2C921974"/>
    <w:rsid w:val="2DA35CF6"/>
    <w:rsid w:val="2DBE14C9"/>
    <w:rsid w:val="2E220BEA"/>
    <w:rsid w:val="2F6A64D8"/>
    <w:rsid w:val="301765BD"/>
    <w:rsid w:val="30616EA9"/>
    <w:rsid w:val="313E5C07"/>
    <w:rsid w:val="31A44D82"/>
    <w:rsid w:val="31EC174B"/>
    <w:rsid w:val="32BE120D"/>
    <w:rsid w:val="32C33C1C"/>
    <w:rsid w:val="330C0EF9"/>
    <w:rsid w:val="33506DE6"/>
    <w:rsid w:val="33E95481"/>
    <w:rsid w:val="344B5501"/>
    <w:rsid w:val="35A54CED"/>
    <w:rsid w:val="37534CA7"/>
    <w:rsid w:val="37D824F1"/>
    <w:rsid w:val="3A114A0F"/>
    <w:rsid w:val="3A3519D1"/>
    <w:rsid w:val="3ACE7AB8"/>
    <w:rsid w:val="3AFF06C5"/>
    <w:rsid w:val="3B0C4DFA"/>
    <w:rsid w:val="3C1B1576"/>
    <w:rsid w:val="3C4D26C6"/>
    <w:rsid w:val="3D044EFC"/>
    <w:rsid w:val="3D714641"/>
    <w:rsid w:val="3E6946AD"/>
    <w:rsid w:val="3E907376"/>
    <w:rsid w:val="3EB60CB3"/>
    <w:rsid w:val="3EC436F9"/>
    <w:rsid w:val="3F740895"/>
    <w:rsid w:val="3FB93DC6"/>
    <w:rsid w:val="400F48E4"/>
    <w:rsid w:val="402A691C"/>
    <w:rsid w:val="403A1C8F"/>
    <w:rsid w:val="40E165AE"/>
    <w:rsid w:val="422E66F3"/>
    <w:rsid w:val="4275164D"/>
    <w:rsid w:val="430A3262"/>
    <w:rsid w:val="4488746D"/>
    <w:rsid w:val="448F18B0"/>
    <w:rsid w:val="467A7CCA"/>
    <w:rsid w:val="46A824B9"/>
    <w:rsid w:val="46BB170B"/>
    <w:rsid w:val="47510906"/>
    <w:rsid w:val="47D66741"/>
    <w:rsid w:val="495D70F7"/>
    <w:rsid w:val="49E669E4"/>
    <w:rsid w:val="4A4A170B"/>
    <w:rsid w:val="4A5E5147"/>
    <w:rsid w:val="4B0275FC"/>
    <w:rsid w:val="4B7D5F80"/>
    <w:rsid w:val="4BD458ED"/>
    <w:rsid w:val="4BF40741"/>
    <w:rsid w:val="4C03746E"/>
    <w:rsid w:val="4C5E019B"/>
    <w:rsid w:val="4E724CEA"/>
    <w:rsid w:val="4F64249F"/>
    <w:rsid w:val="4F6E1200"/>
    <w:rsid w:val="4FEE189E"/>
    <w:rsid w:val="50A1482A"/>
    <w:rsid w:val="52F9234F"/>
    <w:rsid w:val="53F038EA"/>
    <w:rsid w:val="596674B0"/>
    <w:rsid w:val="59BA69E3"/>
    <w:rsid w:val="5A661DF4"/>
    <w:rsid w:val="5ACF0178"/>
    <w:rsid w:val="5B3F5F54"/>
    <w:rsid w:val="5B535726"/>
    <w:rsid w:val="5B5E287E"/>
    <w:rsid w:val="5BAA02DF"/>
    <w:rsid w:val="5C3E17F9"/>
    <w:rsid w:val="5CD5691D"/>
    <w:rsid w:val="5D3A6920"/>
    <w:rsid w:val="5D8135CC"/>
    <w:rsid w:val="600446EC"/>
    <w:rsid w:val="60085E2C"/>
    <w:rsid w:val="600D2EE6"/>
    <w:rsid w:val="61A6685E"/>
    <w:rsid w:val="62127F1E"/>
    <w:rsid w:val="621760F6"/>
    <w:rsid w:val="62246B60"/>
    <w:rsid w:val="644041B0"/>
    <w:rsid w:val="644F1ACD"/>
    <w:rsid w:val="67FF1998"/>
    <w:rsid w:val="680D1D99"/>
    <w:rsid w:val="69344E2D"/>
    <w:rsid w:val="69431270"/>
    <w:rsid w:val="69EE1271"/>
    <w:rsid w:val="6A1A2066"/>
    <w:rsid w:val="6A7F4F75"/>
    <w:rsid w:val="6ACA16F9"/>
    <w:rsid w:val="6ADF127C"/>
    <w:rsid w:val="6B0F32F3"/>
    <w:rsid w:val="6B16774A"/>
    <w:rsid w:val="6BBD3B1A"/>
    <w:rsid w:val="6CE77AD2"/>
    <w:rsid w:val="6CE90920"/>
    <w:rsid w:val="6ECE2681"/>
    <w:rsid w:val="6ED07EFC"/>
    <w:rsid w:val="700B5C22"/>
    <w:rsid w:val="709D6190"/>
    <w:rsid w:val="717165A8"/>
    <w:rsid w:val="72340F9C"/>
    <w:rsid w:val="728D7448"/>
    <w:rsid w:val="74EB1DB0"/>
    <w:rsid w:val="75B93A51"/>
    <w:rsid w:val="75C12BF5"/>
    <w:rsid w:val="774152C9"/>
    <w:rsid w:val="792B035F"/>
    <w:rsid w:val="793070F8"/>
    <w:rsid w:val="79D825C1"/>
    <w:rsid w:val="7B5D131E"/>
    <w:rsid w:val="7DB41B16"/>
    <w:rsid w:val="7DCF070E"/>
    <w:rsid w:val="7DEB79E2"/>
    <w:rsid w:val="7DFC5027"/>
    <w:rsid w:val="7E002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8"/>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9"/>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40"/>
    <w:qFormat/>
    <w:uiPriority w:val="9"/>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5">
    <w:name w:val="List Number"/>
    <w:basedOn w:val="1"/>
    <w:qFormat/>
    <w:uiPriority w:val="0"/>
    <w:pPr>
      <w:widowControl/>
      <w:numPr>
        <w:ilvl w:val="0"/>
        <w:numId w:val="1"/>
      </w:numPr>
      <w:tabs>
        <w:tab w:val="left" w:pos="454"/>
        <w:tab w:val="clear" w:pos="720"/>
      </w:tabs>
      <w:spacing w:after="156" w:afterLines="50"/>
      <w:ind w:left="454" w:hanging="284"/>
      <w:jc w:val="left"/>
    </w:pPr>
    <w:rPr>
      <w:rFonts w:ascii="Times New Roman" w:hAnsi="Times New Roman" w:eastAsia="宋体" w:cs="Times New Roman"/>
      <w:kern w:val="0"/>
      <w:sz w:val="24"/>
      <w:szCs w:val="20"/>
    </w:rPr>
  </w:style>
  <w:style w:type="paragraph" w:styleId="6">
    <w:name w:val="Normal Indent"/>
    <w:basedOn w:val="1"/>
    <w:link w:val="47"/>
    <w:qFormat/>
    <w:uiPriority w:val="0"/>
    <w:pPr>
      <w:ind w:firstLine="420"/>
    </w:pPr>
    <w:rPr>
      <w:rFonts w:eastAsia="宋体"/>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Document Map"/>
    <w:basedOn w:val="1"/>
    <w:link w:val="44"/>
    <w:unhideWhenUsed/>
    <w:qFormat/>
    <w:uiPriority w:val="99"/>
    <w:rPr>
      <w:rFonts w:ascii="宋体"/>
      <w:sz w:val="18"/>
      <w:szCs w:val="18"/>
    </w:rPr>
  </w:style>
  <w:style w:type="paragraph" w:styleId="9">
    <w:name w:val="annotation text"/>
    <w:basedOn w:val="1"/>
    <w:link w:val="81"/>
    <w:unhideWhenUsed/>
    <w:qFormat/>
    <w:uiPriority w:val="99"/>
    <w:pPr>
      <w:jc w:val="left"/>
    </w:pPr>
  </w:style>
  <w:style w:type="paragraph" w:styleId="10">
    <w:name w:val="Body Text"/>
    <w:basedOn w:val="1"/>
    <w:next w:val="1"/>
    <w:link w:val="84"/>
    <w:unhideWhenUsed/>
    <w:qFormat/>
    <w:uiPriority w:val="99"/>
    <w:pPr>
      <w:spacing w:after="120"/>
    </w:pPr>
    <w:rPr>
      <w:rFonts w:ascii="Times New Roman" w:hAnsi="Times New Roman" w:eastAsia="宋体" w:cs="Times New Roman"/>
      <w:sz w:val="28"/>
      <w:szCs w:val="24"/>
    </w:rPr>
  </w:style>
  <w:style w:type="paragraph" w:styleId="11">
    <w:name w:val="Body Text Indent"/>
    <w:basedOn w:val="1"/>
    <w:link w:val="71"/>
    <w:qFormat/>
    <w:uiPriority w:val="0"/>
    <w:pPr>
      <w:spacing w:line="200" w:lineRule="atLeast"/>
      <w:ind w:firstLine="301"/>
    </w:pPr>
    <w:rPr>
      <w:rFonts w:ascii="宋体" w:hAnsi="Courier New"/>
      <w:spacing w:val="-4"/>
      <w:sz w:val="18"/>
    </w:rPr>
  </w:style>
  <w:style w:type="paragraph" w:styleId="12">
    <w:name w:val="List 2"/>
    <w:basedOn w:val="1"/>
    <w:unhideWhenUsed/>
    <w:qFormat/>
    <w:uiPriority w:val="99"/>
    <w:pPr>
      <w:ind w:left="100" w:leftChars="200" w:hanging="200" w:hangingChars="200"/>
      <w:contextualSpacing/>
    </w:pPr>
    <w:rPr>
      <w:rFonts w:ascii="Times New Roman" w:hAnsi="Times New Roman" w:eastAsia="宋体" w:cs="Times New Roman"/>
      <w:sz w:val="28"/>
      <w:szCs w:val="24"/>
    </w:rPr>
  </w:style>
  <w:style w:type="paragraph" w:styleId="13">
    <w:name w:val="Plain Text"/>
    <w:basedOn w:val="1"/>
    <w:link w:val="56"/>
    <w:qFormat/>
    <w:uiPriority w:val="99"/>
    <w:pPr>
      <w:spacing w:before="156" w:beforeLines="50" w:after="156" w:afterLines="50" w:line="400" w:lineRule="atLeast"/>
    </w:pPr>
    <w:rPr>
      <w:rFonts w:ascii="宋体" w:hAnsi="Courier New"/>
      <w:sz w:val="24"/>
      <w:szCs w:val="24"/>
    </w:rPr>
  </w:style>
  <w:style w:type="paragraph" w:styleId="14">
    <w:name w:val="Date"/>
    <w:basedOn w:val="1"/>
    <w:next w:val="1"/>
    <w:link w:val="87"/>
    <w:qFormat/>
    <w:uiPriority w:val="0"/>
    <w:pPr>
      <w:ind w:left="2500" w:leftChars="2500"/>
    </w:pPr>
    <w:rPr>
      <w:rFonts w:ascii="Times New Roman" w:hAnsi="Times New Roman" w:eastAsia="楷体_GB2312" w:cs="Times New Roman"/>
      <w:sz w:val="32"/>
      <w:szCs w:val="20"/>
    </w:rPr>
  </w:style>
  <w:style w:type="paragraph" w:styleId="15">
    <w:name w:val="Balloon Text"/>
    <w:basedOn w:val="1"/>
    <w:link w:val="85"/>
    <w:qFormat/>
    <w:uiPriority w:val="0"/>
    <w:rPr>
      <w:rFonts w:ascii="Times New Roman" w:hAnsi="Times New Roman" w:eastAsia="宋体" w:cs="Times New Roman"/>
      <w:sz w:val="18"/>
      <w:szCs w:val="18"/>
    </w:rPr>
  </w:style>
  <w:style w:type="paragraph" w:styleId="16">
    <w:name w:val="footer"/>
    <w:basedOn w:val="1"/>
    <w:link w:val="37"/>
    <w:unhideWhenUsed/>
    <w:qFormat/>
    <w:uiPriority w:val="99"/>
    <w:pPr>
      <w:tabs>
        <w:tab w:val="center" w:pos="4153"/>
        <w:tab w:val="right" w:pos="8306"/>
      </w:tabs>
      <w:snapToGrid w:val="0"/>
      <w:jc w:val="left"/>
    </w:pPr>
    <w:rPr>
      <w:sz w:val="18"/>
      <w:szCs w:val="18"/>
    </w:rPr>
  </w:style>
  <w:style w:type="paragraph" w:styleId="17">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List"/>
    <w:basedOn w:val="1"/>
    <w:qFormat/>
    <w:uiPriority w:val="0"/>
    <w:pPr>
      <w:ind w:left="200" w:hanging="200" w:hangingChars="200"/>
    </w:pPr>
    <w:rPr>
      <w:rFonts w:ascii="Times New Roman" w:hAnsi="Times New Roman" w:eastAsia="宋体" w:cs="Times New Roman"/>
      <w:sz w:val="28"/>
      <w:szCs w:val="24"/>
    </w:rPr>
  </w:style>
  <w:style w:type="paragraph" w:styleId="19">
    <w:name w:val="Body Text 2"/>
    <w:basedOn w:val="1"/>
    <w:link w:val="73"/>
    <w:qFormat/>
    <w:uiPriority w:val="0"/>
    <w:pPr>
      <w:widowControl/>
      <w:snapToGrid w:val="0"/>
      <w:spacing w:before="50" w:after="156" w:afterLines="50" w:line="400" w:lineRule="atLeast"/>
      <w:jc w:val="left"/>
    </w:pPr>
    <w:rPr>
      <w:rFonts w:hint="eastAsia" w:ascii="宋体" w:hAnsi="宋体" w:eastAsia="宋体" w:cs="Times New Roman"/>
      <w:color w:val="000000"/>
      <w:sz w:val="24"/>
      <w:szCs w:val="24"/>
    </w:rPr>
  </w:style>
  <w:style w:type="paragraph" w:styleId="20">
    <w:name w:val="Normal (Web)"/>
    <w:basedOn w:val="1"/>
    <w:qFormat/>
    <w:uiPriority w:val="99"/>
    <w:pPr>
      <w:widowControl/>
      <w:spacing w:before="100" w:beforeAutospacing="1" w:after="100" w:afterAutospacing="1"/>
      <w:ind w:firstLine="420"/>
      <w:jc w:val="left"/>
    </w:pPr>
    <w:rPr>
      <w:rFonts w:ascii="宋体" w:hAnsi="宋体" w:eastAsia="宋体" w:cs="Times New Roman"/>
      <w:kern w:val="0"/>
      <w:sz w:val="20"/>
      <w:szCs w:val="20"/>
    </w:rPr>
  </w:style>
  <w:style w:type="paragraph" w:styleId="21">
    <w:name w:val="annotation subject"/>
    <w:basedOn w:val="9"/>
    <w:next w:val="9"/>
    <w:link w:val="57"/>
    <w:unhideWhenUsed/>
    <w:qFormat/>
    <w:uiPriority w:val="99"/>
    <w:rPr>
      <w:b/>
      <w:bCs/>
      <w:sz w:val="28"/>
      <w:szCs w:val="24"/>
    </w:rPr>
  </w:style>
  <w:style w:type="paragraph" w:styleId="22">
    <w:name w:val="Body Text First Indent 2"/>
    <w:basedOn w:val="11"/>
    <w:link w:val="89"/>
    <w:unhideWhenUsed/>
    <w:qFormat/>
    <w:uiPriority w:val="99"/>
    <w:pPr>
      <w:ind w:firstLine="420"/>
    </w:p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bCs/>
    </w:rPr>
  </w:style>
  <w:style w:type="character" w:styleId="27">
    <w:name w:val="page number"/>
    <w:basedOn w:val="25"/>
    <w:qFormat/>
    <w:uiPriority w:val="0"/>
  </w:style>
  <w:style w:type="character" w:styleId="28">
    <w:name w:val="FollowedHyperlink"/>
    <w:unhideWhenUsed/>
    <w:qFormat/>
    <w:uiPriority w:val="99"/>
    <w:rPr>
      <w:color w:val="5579A7"/>
      <w:u w:val="none"/>
    </w:rPr>
  </w:style>
  <w:style w:type="character" w:styleId="29">
    <w:name w:val="Emphasis"/>
    <w:basedOn w:val="25"/>
    <w:qFormat/>
    <w:uiPriority w:val="20"/>
    <w:rPr>
      <w:i/>
    </w:rPr>
  </w:style>
  <w:style w:type="character" w:styleId="30">
    <w:name w:val="HTML Definition"/>
    <w:unhideWhenUsed/>
    <w:qFormat/>
    <w:uiPriority w:val="99"/>
    <w:rPr>
      <w:i/>
    </w:rPr>
  </w:style>
  <w:style w:type="character" w:styleId="31">
    <w:name w:val="Hyperlink"/>
    <w:qFormat/>
    <w:uiPriority w:val="0"/>
    <w:rPr>
      <w:color w:val="5579A7"/>
      <w:u w:val="none"/>
    </w:rPr>
  </w:style>
  <w:style w:type="character" w:styleId="32">
    <w:name w:val="HTML Code"/>
    <w:unhideWhenUsed/>
    <w:qFormat/>
    <w:uiPriority w:val="99"/>
    <w:rPr>
      <w:rFonts w:ascii="-apple-system" w:hAnsi="-apple-system" w:eastAsia="-apple-system" w:cs="-apple-system"/>
      <w:sz w:val="21"/>
      <w:szCs w:val="21"/>
    </w:rPr>
  </w:style>
  <w:style w:type="character" w:styleId="33">
    <w:name w:val="annotation reference"/>
    <w:unhideWhenUsed/>
    <w:qFormat/>
    <w:uiPriority w:val="99"/>
    <w:rPr>
      <w:sz w:val="21"/>
      <w:szCs w:val="21"/>
    </w:rPr>
  </w:style>
  <w:style w:type="character" w:styleId="34">
    <w:name w:val="HTML Keyboard"/>
    <w:unhideWhenUsed/>
    <w:qFormat/>
    <w:uiPriority w:val="99"/>
    <w:rPr>
      <w:rFonts w:hint="default" w:ascii="-apple-system" w:hAnsi="-apple-system" w:eastAsia="-apple-system" w:cs="-apple-system"/>
      <w:sz w:val="21"/>
      <w:szCs w:val="21"/>
    </w:rPr>
  </w:style>
  <w:style w:type="character" w:styleId="35">
    <w:name w:val="HTML Sample"/>
    <w:unhideWhenUsed/>
    <w:qFormat/>
    <w:uiPriority w:val="99"/>
    <w:rPr>
      <w:rFonts w:hint="default" w:ascii="-apple-system" w:hAnsi="-apple-system" w:eastAsia="-apple-system" w:cs="-apple-system"/>
      <w:sz w:val="21"/>
      <w:szCs w:val="21"/>
    </w:rPr>
  </w:style>
  <w:style w:type="character" w:customStyle="1" w:styleId="36">
    <w:name w:val="页眉 字符"/>
    <w:basedOn w:val="25"/>
    <w:link w:val="17"/>
    <w:qFormat/>
    <w:uiPriority w:val="99"/>
    <w:rPr>
      <w:sz w:val="18"/>
      <w:szCs w:val="18"/>
    </w:rPr>
  </w:style>
  <w:style w:type="character" w:customStyle="1" w:styleId="37">
    <w:name w:val="页脚 字符"/>
    <w:basedOn w:val="25"/>
    <w:link w:val="16"/>
    <w:qFormat/>
    <w:uiPriority w:val="99"/>
    <w:rPr>
      <w:sz w:val="18"/>
      <w:szCs w:val="18"/>
    </w:rPr>
  </w:style>
  <w:style w:type="character" w:customStyle="1" w:styleId="38">
    <w:name w:val="标题 1 字符"/>
    <w:basedOn w:val="25"/>
    <w:link w:val="2"/>
    <w:qFormat/>
    <w:uiPriority w:val="9"/>
    <w:rPr>
      <w:rFonts w:ascii="Times New Roman" w:hAnsi="Times New Roman" w:eastAsia="宋体" w:cs="Times New Roman"/>
      <w:b/>
      <w:bCs/>
      <w:kern w:val="44"/>
      <w:sz w:val="44"/>
      <w:szCs w:val="44"/>
    </w:rPr>
  </w:style>
  <w:style w:type="character" w:customStyle="1" w:styleId="39">
    <w:name w:val="标题 2 字符"/>
    <w:basedOn w:val="25"/>
    <w:link w:val="3"/>
    <w:qFormat/>
    <w:uiPriority w:val="9"/>
    <w:rPr>
      <w:rFonts w:ascii="Cambria" w:hAnsi="Cambria" w:eastAsia="宋体" w:cs="Times New Roman"/>
      <w:b/>
      <w:bCs/>
      <w:sz w:val="32"/>
      <w:szCs w:val="32"/>
    </w:rPr>
  </w:style>
  <w:style w:type="character" w:customStyle="1" w:styleId="40">
    <w:name w:val="标题 3 字符"/>
    <w:basedOn w:val="25"/>
    <w:link w:val="4"/>
    <w:qFormat/>
    <w:uiPriority w:val="9"/>
    <w:rPr>
      <w:rFonts w:ascii="Times New Roman" w:hAnsi="Times New Roman" w:eastAsia="宋体" w:cs="Times New Roman"/>
      <w:b/>
      <w:bCs/>
      <w:sz w:val="32"/>
      <w:szCs w:val="32"/>
    </w:rPr>
  </w:style>
  <w:style w:type="character" w:customStyle="1" w:styleId="41">
    <w:name w:val="jbox-icon-none"/>
    <w:qFormat/>
    <w:uiPriority w:val="0"/>
    <w:rPr>
      <w:vanish/>
    </w:rPr>
  </w:style>
  <w:style w:type="character" w:customStyle="1" w:styleId="42">
    <w:name w:val="z-窗体底端 字符"/>
    <w:link w:val="43"/>
    <w:qFormat/>
    <w:uiPriority w:val="99"/>
    <w:rPr>
      <w:rFonts w:ascii="Arial" w:hAnsi="Arial"/>
      <w:vanish/>
      <w:sz w:val="16"/>
      <w:szCs w:val="16"/>
    </w:rPr>
  </w:style>
  <w:style w:type="paragraph" w:customStyle="1" w:styleId="43">
    <w:name w:val="z-窗体底端1"/>
    <w:basedOn w:val="1"/>
    <w:next w:val="1"/>
    <w:link w:val="42"/>
    <w:unhideWhenUsed/>
    <w:qFormat/>
    <w:uiPriority w:val="99"/>
    <w:pPr>
      <w:widowControl/>
      <w:pBdr>
        <w:top w:val="single" w:color="auto" w:sz="6" w:space="1"/>
      </w:pBdr>
      <w:jc w:val="center"/>
    </w:pPr>
    <w:rPr>
      <w:rFonts w:ascii="Arial" w:hAnsi="Arial"/>
      <w:vanish/>
      <w:sz w:val="16"/>
      <w:szCs w:val="16"/>
    </w:rPr>
  </w:style>
  <w:style w:type="character" w:customStyle="1" w:styleId="44">
    <w:name w:val="文档结构图 字符"/>
    <w:link w:val="8"/>
    <w:qFormat/>
    <w:uiPriority w:val="99"/>
    <w:rPr>
      <w:rFonts w:ascii="宋体"/>
      <w:sz w:val="18"/>
      <w:szCs w:val="18"/>
    </w:rPr>
  </w:style>
  <w:style w:type="character" w:customStyle="1" w:styleId="45">
    <w:name w:val="black601"/>
    <w:qFormat/>
    <w:uiPriority w:val="0"/>
    <w:rPr>
      <w:color w:val="666666"/>
    </w:rPr>
  </w:style>
  <w:style w:type="character" w:customStyle="1" w:styleId="46">
    <w:name w:val="hour_pm"/>
    <w:basedOn w:val="25"/>
    <w:qFormat/>
    <w:uiPriority w:val="0"/>
  </w:style>
  <w:style w:type="character" w:customStyle="1" w:styleId="47">
    <w:name w:val="正文缩进 字符"/>
    <w:link w:val="6"/>
    <w:qFormat/>
    <w:uiPriority w:val="0"/>
    <w:rPr>
      <w:rFonts w:eastAsia="宋体"/>
    </w:rPr>
  </w:style>
  <w:style w:type="character" w:customStyle="1" w:styleId="48">
    <w:name w:val="标题 1 Char Char"/>
    <w:qFormat/>
    <w:uiPriority w:val="0"/>
    <w:rPr>
      <w:rFonts w:eastAsia="宋体"/>
      <w:b/>
      <w:spacing w:val="-2"/>
      <w:sz w:val="24"/>
      <w:lang w:val="en-US" w:eastAsia="zh-CN" w:bidi="ar-SA"/>
    </w:rPr>
  </w:style>
  <w:style w:type="character" w:customStyle="1" w:styleId="49">
    <w:name w:val="jbox-icon-info"/>
    <w:basedOn w:val="25"/>
    <w:qFormat/>
    <w:uiPriority w:val="0"/>
  </w:style>
  <w:style w:type="character" w:customStyle="1" w:styleId="50">
    <w:name w:val="hover9"/>
    <w:qFormat/>
    <w:uiPriority w:val="0"/>
    <w:rPr>
      <w:shd w:val="clear" w:color="auto" w:fill="EEEEEE"/>
    </w:rPr>
  </w:style>
  <w:style w:type="character" w:customStyle="1" w:styleId="51">
    <w:name w:val="maywed421"/>
    <w:qFormat/>
    <w:uiPriority w:val="0"/>
    <w:rPr>
      <w:color w:val="366FB6"/>
      <w:u w:val="none"/>
    </w:rPr>
  </w:style>
  <w:style w:type="character" w:customStyle="1" w:styleId="52">
    <w:name w:val="old"/>
    <w:qFormat/>
    <w:uiPriority w:val="0"/>
    <w:rPr>
      <w:color w:val="999999"/>
    </w:rPr>
  </w:style>
  <w:style w:type="character" w:customStyle="1" w:styleId="53">
    <w:name w:val="jbox-icon-warning"/>
    <w:basedOn w:val="25"/>
    <w:qFormat/>
    <w:uiPriority w:val="0"/>
  </w:style>
  <w:style w:type="character" w:customStyle="1" w:styleId="54">
    <w:name w:val="z-窗体顶端 字符"/>
    <w:link w:val="55"/>
    <w:qFormat/>
    <w:uiPriority w:val="99"/>
    <w:rPr>
      <w:rFonts w:ascii="Arial" w:hAnsi="Arial"/>
      <w:vanish/>
      <w:sz w:val="16"/>
      <w:szCs w:val="16"/>
    </w:rPr>
  </w:style>
  <w:style w:type="paragraph" w:customStyle="1" w:styleId="55">
    <w:name w:val="z-窗体顶端1"/>
    <w:basedOn w:val="1"/>
    <w:next w:val="1"/>
    <w:link w:val="54"/>
    <w:unhideWhenUsed/>
    <w:qFormat/>
    <w:uiPriority w:val="99"/>
    <w:pPr>
      <w:widowControl/>
      <w:pBdr>
        <w:bottom w:val="single" w:color="auto" w:sz="6" w:space="1"/>
      </w:pBdr>
      <w:jc w:val="center"/>
    </w:pPr>
    <w:rPr>
      <w:rFonts w:ascii="Arial" w:hAnsi="Arial"/>
      <w:vanish/>
      <w:sz w:val="16"/>
      <w:szCs w:val="16"/>
    </w:rPr>
  </w:style>
  <w:style w:type="character" w:customStyle="1" w:styleId="56">
    <w:name w:val="纯文本 字符1"/>
    <w:link w:val="13"/>
    <w:qFormat/>
    <w:uiPriority w:val="99"/>
    <w:rPr>
      <w:rFonts w:ascii="宋体" w:hAnsi="Courier New"/>
      <w:sz w:val="24"/>
      <w:szCs w:val="24"/>
    </w:rPr>
  </w:style>
  <w:style w:type="character" w:customStyle="1" w:styleId="57">
    <w:name w:val="批注主题 字符"/>
    <w:link w:val="21"/>
    <w:qFormat/>
    <w:uiPriority w:val="99"/>
    <w:rPr>
      <w:b/>
      <w:bCs/>
      <w:sz w:val="28"/>
      <w:szCs w:val="24"/>
    </w:rPr>
  </w:style>
  <w:style w:type="character" w:customStyle="1" w:styleId="58">
    <w:name w:val="jbox-icon-loading"/>
    <w:basedOn w:val="25"/>
    <w:qFormat/>
    <w:uiPriority w:val="0"/>
  </w:style>
  <w:style w:type="character" w:customStyle="1" w:styleId="59">
    <w:name w:val="正文文本缩进 字符"/>
    <w:qFormat/>
    <w:uiPriority w:val="0"/>
    <w:rPr>
      <w:rFonts w:ascii="宋体" w:hAnsi="Courier New"/>
      <w:spacing w:val="-4"/>
      <w:kern w:val="2"/>
      <w:sz w:val="18"/>
    </w:rPr>
  </w:style>
  <w:style w:type="character" w:customStyle="1" w:styleId="60">
    <w:name w:val="正文文本缩进 字符1"/>
    <w:qFormat/>
    <w:uiPriority w:val="0"/>
    <w:rPr>
      <w:rFonts w:ascii="宋体" w:hAnsi="Courier New"/>
      <w:spacing w:val="-4"/>
      <w:kern w:val="2"/>
      <w:sz w:val="18"/>
    </w:rPr>
  </w:style>
  <w:style w:type="character" w:customStyle="1" w:styleId="61">
    <w:name w:val="纯文本 字符"/>
    <w:qFormat/>
    <w:uiPriority w:val="99"/>
    <w:rPr>
      <w:rFonts w:ascii="宋体" w:hAnsi="Courier New"/>
      <w:kern w:val="2"/>
      <w:sz w:val="24"/>
      <w:szCs w:val="24"/>
    </w:rPr>
  </w:style>
  <w:style w:type="character" w:customStyle="1" w:styleId="62">
    <w:name w:val="jbox-icon-question"/>
    <w:basedOn w:val="25"/>
    <w:qFormat/>
    <w:uiPriority w:val="0"/>
  </w:style>
  <w:style w:type="character" w:customStyle="1" w:styleId="63">
    <w:name w:val="jbox-icon"/>
    <w:basedOn w:val="25"/>
    <w:qFormat/>
    <w:uiPriority w:val="0"/>
  </w:style>
  <w:style w:type="character" w:customStyle="1" w:styleId="64">
    <w:name w:val="纯文本 字符2"/>
    <w:qFormat/>
    <w:uiPriority w:val="99"/>
    <w:rPr>
      <w:rFonts w:ascii="宋体" w:hAnsi="Courier New"/>
      <w:kern w:val="2"/>
      <w:sz w:val="24"/>
      <w:szCs w:val="24"/>
    </w:rPr>
  </w:style>
  <w:style w:type="character" w:customStyle="1" w:styleId="65">
    <w:name w:val="hour_am"/>
    <w:basedOn w:val="25"/>
    <w:qFormat/>
    <w:uiPriority w:val="0"/>
  </w:style>
  <w:style w:type="character" w:customStyle="1" w:styleId="66">
    <w:name w:val="jbox-icon-success"/>
    <w:basedOn w:val="25"/>
    <w:qFormat/>
    <w:uiPriority w:val="0"/>
  </w:style>
  <w:style w:type="character" w:customStyle="1" w:styleId="67">
    <w:name w:val="批注文字 字符"/>
    <w:qFormat/>
    <w:uiPriority w:val="99"/>
    <w:rPr>
      <w:kern w:val="2"/>
      <w:sz w:val="28"/>
      <w:szCs w:val="24"/>
    </w:rPr>
  </w:style>
  <w:style w:type="character" w:customStyle="1" w:styleId="68">
    <w:name w:val="纯文本 Char1"/>
    <w:qFormat/>
    <w:uiPriority w:val="0"/>
    <w:rPr>
      <w:rFonts w:ascii="宋体" w:hAnsi="Courier New"/>
      <w:kern w:val="2"/>
      <w:sz w:val="21"/>
    </w:rPr>
  </w:style>
  <w:style w:type="character" w:customStyle="1" w:styleId="69">
    <w:name w:val="纯文本 Char"/>
    <w:qFormat/>
    <w:uiPriority w:val="99"/>
    <w:rPr>
      <w:rFonts w:ascii="宋体" w:hAnsi="Courier New"/>
      <w:kern w:val="2"/>
      <w:sz w:val="24"/>
      <w:szCs w:val="24"/>
    </w:rPr>
  </w:style>
  <w:style w:type="character" w:customStyle="1" w:styleId="70">
    <w:name w:val="sub_title s0"/>
    <w:basedOn w:val="25"/>
    <w:qFormat/>
    <w:uiPriority w:val="0"/>
  </w:style>
  <w:style w:type="character" w:customStyle="1" w:styleId="71">
    <w:name w:val="正文文本缩进 字符2"/>
    <w:link w:val="11"/>
    <w:qFormat/>
    <w:uiPriority w:val="0"/>
    <w:rPr>
      <w:rFonts w:ascii="宋体" w:hAnsi="Courier New"/>
      <w:spacing w:val="-4"/>
      <w:sz w:val="18"/>
    </w:rPr>
  </w:style>
  <w:style w:type="character" w:customStyle="1" w:styleId="72">
    <w:name w:val="jbox-icon-error"/>
    <w:basedOn w:val="25"/>
    <w:qFormat/>
    <w:uiPriority w:val="0"/>
  </w:style>
  <w:style w:type="character" w:customStyle="1" w:styleId="73">
    <w:name w:val="正文文本 2 字符"/>
    <w:basedOn w:val="25"/>
    <w:link w:val="19"/>
    <w:qFormat/>
    <w:uiPriority w:val="0"/>
    <w:rPr>
      <w:rFonts w:ascii="宋体" w:hAnsi="宋体" w:eastAsia="宋体" w:cs="Times New Roman"/>
      <w:color w:val="000000"/>
      <w:sz w:val="24"/>
      <w:szCs w:val="24"/>
    </w:rPr>
  </w:style>
  <w:style w:type="paragraph" w:customStyle="1" w:styleId="74">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75">
    <w:name w:val="xl25"/>
    <w:basedOn w:val="1"/>
    <w:qFormat/>
    <w:uiPriority w:val="0"/>
    <w:pPr>
      <w:widowControl/>
      <w:spacing w:before="100" w:beforeAutospacing="1" w:after="100" w:afterAutospacing="1"/>
      <w:jc w:val="center"/>
      <w:textAlignment w:val="center"/>
    </w:pPr>
    <w:rPr>
      <w:rFonts w:hint="eastAsia" w:ascii="楷体_GB2312" w:hAnsi="宋体" w:eastAsia="楷体_GB2312" w:cs="Times New Roman"/>
      <w:kern w:val="0"/>
      <w:sz w:val="24"/>
      <w:szCs w:val="24"/>
    </w:rPr>
  </w:style>
  <w:style w:type="paragraph" w:customStyle="1" w:styleId="76">
    <w:name w:val="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77">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78">
    <w:name w:val="z-窗体顶端 字符1"/>
    <w:basedOn w:val="25"/>
    <w:semiHidden/>
    <w:qFormat/>
    <w:uiPriority w:val="99"/>
    <w:rPr>
      <w:rFonts w:ascii="Arial" w:hAnsi="Arial" w:cs="Arial"/>
      <w:vanish/>
      <w:sz w:val="16"/>
      <w:szCs w:val="16"/>
    </w:rPr>
  </w:style>
  <w:style w:type="paragraph" w:customStyle="1" w:styleId="79">
    <w:name w:val="正文段"/>
    <w:basedOn w:val="1"/>
    <w:qFormat/>
    <w:uiPriority w:val="0"/>
    <w:pPr>
      <w:widowControl/>
      <w:snapToGrid w:val="0"/>
      <w:spacing w:after="156" w:afterLines="50"/>
      <w:ind w:firstLine="200" w:firstLineChars="200"/>
    </w:pPr>
    <w:rPr>
      <w:rFonts w:ascii="Times New Roman" w:hAnsi="Times New Roman" w:eastAsia="宋体" w:cs="Times New Roman"/>
      <w:kern w:val="0"/>
      <w:sz w:val="24"/>
      <w:szCs w:val="20"/>
    </w:rPr>
  </w:style>
  <w:style w:type="paragraph" w:customStyle="1" w:styleId="80">
    <w:name w:val="Default"/>
    <w:next w:val="77"/>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81">
    <w:name w:val="批注文字 字符1"/>
    <w:basedOn w:val="25"/>
    <w:link w:val="9"/>
    <w:semiHidden/>
    <w:qFormat/>
    <w:uiPriority w:val="99"/>
  </w:style>
  <w:style w:type="character" w:customStyle="1" w:styleId="82">
    <w:name w:val="批注主题 字符1"/>
    <w:basedOn w:val="81"/>
    <w:semiHidden/>
    <w:qFormat/>
    <w:uiPriority w:val="99"/>
    <w:rPr>
      <w:b/>
      <w:bCs/>
    </w:rPr>
  </w:style>
  <w:style w:type="character" w:customStyle="1" w:styleId="83">
    <w:name w:val="文档结构图 字符1"/>
    <w:basedOn w:val="25"/>
    <w:semiHidden/>
    <w:qFormat/>
    <w:uiPriority w:val="99"/>
    <w:rPr>
      <w:rFonts w:ascii="Microsoft YaHei UI" w:eastAsia="Microsoft YaHei UI"/>
      <w:sz w:val="18"/>
      <w:szCs w:val="18"/>
    </w:rPr>
  </w:style>
  <w:style w:type="character" w:customStyle="1" w:styleId="84">
    <w:name w:val="正文文本 字符"/>
    <w:basedOn w:val="25"/>
    <w:link w:val="10"/>
    <w:qFormat/>
    <w:uiPriority w:val="99"/>
    <w:rPr>
      <w:rFonts w:ascii="Times New Roman" w:hAnsi="Times New Roman" w:eastAsia="宋体" w:cs="Times New Roman"/>
      <w:sz w:val="28"/>
      <w:szCs w:val="24"/>
    </w:rPr>
  </w:style>
  <w:style w:type="character" w:customStyle="1" w:styleId="85">
    <w:name w:val="批注框文本 字符"/>
    <w:basedOn w:val="25"/>
    <w:link w:val="15"/>
    <w:qFormat/>
    <w:uiPriority w:val="0"/>
    <w:rPr>
      <w:rFonts w:ascii="Times New Roman" w:hAnsi="Times New Roman" w:eastAsia="宋体" w:cs="Times New Roman"/>
      <w:sz w:val="18"/>
      <w:szCs w:val="18"/>
    </w:rPr>
  </w:style>
  <w:style w:type="character" w:customStyle="1" w:styleId="86">
    <w:name w:val="正文文本缩进 字符3"/>
    <w:basedOn w:val="25"/>
    <w:semiHidden/>
    <w:qFormat/>
    <w:uiPriority w:val="99"/>
  </w:style>
  <w:style w:type="character" w:customStyle="1" w:styleId="87">
    <w:name w:val="日期 字符"/>
    <w:basedOn w:val="25"/>
    <w:link w:val="14"/>
    <w:qFormat/>
    <w:uiPriority w:val="0"/>
    <w:rPr>
      <w:rFonts w:ascii="Times New Roman" w:hAnsi="Times New Roman" w:eastAsia="楷体_GB2312" w:cs="Times New Roman"/>
      <w:sz w:val="32"/>
      <w:szCs w:val="20"/>
    </w:rPr>
  </w:style>
  <w:style w:type="character" w:customStyle="1" w:styleId="88">
    <w:name w:val="纯文本 字符3"/>
    <w:basedOn w:val="25"/>
    <w:semiHidden/>
    <w:qFormat/>
    <w:uiPriority w:val="99"/>
    <w:rPr>
      <w:rFonts w:hAnsi="Courier New" w:cs="Courier New" w:asciiTheme="minorEastAsia"/>
    </w:rPr>
  </w:style>
  <w:style w:type="character" w:customStyle="1" w:styleId="89">
    <w:name w:val="正文文本首行缩进 2 字符"/>
    <w:basedOn w:val="86"/>
    <w:link w:val="22"/>
    <w:qFormat/>
    <w:uiPriority w:val="99"/>
    <w:rPr>
      <w:rFonts w:ascii="宋体" w:hAnsi="Courier New"/>
      <w:spacing w:val="-4"/>
      <w:sz w:val="18"/>
    </w:rPr>
  </w:style>
  <w:style w:type="character" w:customStyle="1" w:styleId="90">
    <w:name w:val="z-窗体底端 字符1"/>
    <w:basedOn w:val="25"/>
    <w:semiHidden/>
    <w:qFormat/>
    <w:uiPriority w:val="99"/>
    <w:rPr>
      <w:rFonts w:ascii="Arial" w:hAnsi="Arial" w:cs="Arial"/>
      <w:vanish/>
      <w:sz w:val="16"/>
      <w:szCs w:val="16"/>
    </w:rPr>
  </w:style>
  <w:style w:type="paragraph" w:customStyle="1" w:styleId="91">
    <w:name w:val="此正文"/>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92">
    <w:name w:val="表内文字"/>
    <w:basedOn w:val="1"/>
    <w:qFormat/>
    <w:uiPriority w:val="0"/>
    <w:pPr>
      <w:tabs>
        <w:tab w:val="left" w:pos="1418"/>
      </w:tabs>
      <w:spacing w:line="360" w:lineRule="auto"/>
      <w:jc w:val="center"/>
    </w:pPr>
    <w:rPr>
      <w:rFonts w:hint="eastAsia" w:ascii="仿宋_GB2312" w:hAnsi="Times New Roman" w:eastAsia="仿宋_GB2312" w:cs="Times New Roman"/>
      <w:spacing w:val="-20"/>
      <w:kern w:val="0"/>
      <w:sz w:val="24"/>
      <w:szCs w:val="24"/>
    </w:rPr>
  </w:style>
  <w:style w:type="paragraph" w:customStyle="1" w:styleId="93">
    <w:name w:val="正文 A"/>
    <w:qFormat/>
    <w:uiPriority w:val="0"/>
    <w:pPr>
      <w:widowControl w:val="0"/>
      <w:jc w:val="both"/>
    </w:pPr>
    <w:rPr>
      <w:rFonts w:hint="eastAsia" w:ascii="Arial Unicode MS" w:hAnsi="Arial Unicode MS" w:eastAsia="Times New Roman" w:cs="Arial Unicode MS"/>
      <w:color w:val="000000"/>
      <w:kern w:val="2"/>
      <w:sz w:val="28"/>
      <w:szCs w:val="28"/>
      <w:u w:color="000000"/>
      <w:lang w:val="en-US" w:eastAsia="zh-CN" w:bidi="ar-SA"/>
    </w:rPr>
  </w:style>
  <w:style w:type="paragraph" w:customStyle="1" w:styleId="94">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95">
    <w:name w:val="正文1"/>
    <w:qFormat/>
    <w:uiPriority w:val="0"/>
    <w:pPr>
      <w:suppressAutoHyphens/>
      <w:spacing w:after="180" w:line="312" w:lineRule="auto"/>
    </w:pPr>
    <w:rPr>
      <w:rFonts w:ascii="Helvetica Neue Light" w:hAnsi="Helvetica Neue Light" w:eastAsia="ヒラギノ角ゴ Pro W3" w:cs="Times New Roman"/>
      <w:color w:val="000000"/>
      <w:sz w:val="18"/>
      <w:lang w:val="en-US" w:eastAsia="zh-CN" w:bidi="ar-SA"/>
    </w:rPr>
  </w:style>
  <w:style w:type="paragraph" w:customStyle="1" w:styleId="96">
    <w:name w:val="Char Char Char Char1"/>
    <w:basedOn w:val="1"/>
    <w:qFormat/>
    <w:uiPriority w:val="0"/>
    <w:rPr>
      <w:rFonts w:ascii="Tahoma" w:hAnsi="Tahoma" w:eastAsia="宋体" w:cs="Times New Roman"/>
      <w:sz w:val="24"/>
      <w:szCs w:val="20"/>
    </w:rPr>
  </w:style>
  <w:style w:type="paragraph" w:customStyle="1" w:styleId="97">
    <w:name w:val="彩色列表 - 强调文字颜色 11"/>
    <w:basedOn w:val="1"/>
    <w:qFormat/>
    <w:uiPriority w:val="34"/>
    <w:pPr>
      <w:ind w:firstLine="420" w:firstLineChars="200"/>
    </w:pPr>
    <w:rPr>
      <w:rFonts w:ascii="Calibri" w:hAnsi="Calibri" w:eastAsia="宋体" w:cs="Times New Roman"/>
    </w:rPr>
  </w:style>
  <w:style w:type="paragraph" w:customStyle="1" w:styleId="98">
    <w:name w:val="Proposals body"/>
    <w:basedOn w:val="1"/>
    <w:next w:val="1"/>
    <w:qFormat/>
    <w:uiPriority w:val="0"/>
    <w:pPr>
      <w:widowControl/>
      <w:spacing w:line="460" w:lineRule="exact"/>
      <w:jc w:val="left"/>
    </w:pPr>
    <w:rPr>
      <w:rFonts w:ascii="仿宋_GB2312" w:hAnsi="Times New Roman" w:eastAsia="仿宋_GB2312" w:cs="Times New Roman"/>
      <w:snapToGrid w:val="0"/>
      <w:kern w:val="0"/>
      <w:sz w:val="24"/>
      <w:szCs w:val="24"/>
    </w:rPr>
  </w:style>
  <w:style w:type="paragraph" w:customStyle="1" w:styleId="99">
    <w:name w:val="正文2"/>
    <w:basedOn w:val="1"/>
    <w:link w:val="108"/>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00">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1"/>
      <w:szCs w:val="22"/>
      <w:lang w:val="en-US" w:eastAsia="zh-CN" w:bidi="ar-SA"/>
    </w:rPr>
  </w:style>
  <w:style w:type="paragraph" w:customStyle="1" w:styleId="101">
    <w:name w:val="无间距"/>
    <w:qFormat/>
    <w:uiPriority w:val="0"/>
    <w:pPr>
      <w:widowControl w:val="0"/>
      <w:jc w:val="both"/>
    </w:pPr>
    <w:rPr>
      <w:rFonts w:ascii="Calibri" w:hAnsi="Calibri" w:eastAsia="宋体" w:cs="Times New Roman"/>
      <w:kern w:val="2"/>
      <w:sz w:val="21"/>
      <w:szCs w:val="22"/>
      <w:lang w:val="en-US" w:eastAsia="zh-CN" w:bidi="ar-SA"/>
    </w:rPr>
  </w:style>
  <w:style w:type="paragraph" w:styleId="102">
    <w:name w:val="List Paragraph"/>
    <w:basedOn w:val="1"/>
    <w:qFormat/>
    <w:uiPriority w:val="34"/>
    <w:pPr>
      <w:ind w:left="720"/>
      <w:contextualSpacing/>
    </w:pPr>
    <w:rPr>
      <w:rFonts w:ascii="Times New Roman" w:hAnsi="Times New Roman" w:eastAsia="宋体" w:cs="Times New Roman"/>
      <w:sz w:val="28"/>
      <w:szCs w:val="20"/>
    </w:rPr>
  </w:style>
  <w:style w:type="paragraph" w:customStyle="1" w:styleId="103">
    <w:name w:val="List Paragraph1"/>
    <w:basedOn w:val="1"/>
    <w:qFormat/>
    <w:uiPriority w:val="0"/>
    <w:pPr>
      <w:ind w:firstLine="420" w:firstLineChars="200"/>
    </w:pPr>
    <w:rPr>
      <w:rFonts w:ascii="Times New Roman" w:hAnsi="Times New Roman" w:eastAsia="宋体" w:cs="Times New Roman"/>
      <w:szCs w:val="24"/>
    </w:rPr>
  </w:style>
  <w:style w:type="paragraph" w:customStyle="1" w:styleId="104">
    <w:name w:val="标题 10"/>
    <w:basedOn w:val="3"/>
    <w:qFormat/>
    <w:uiPriority w:val="0"/>
    <w:pPr>
      <w:jc w:val="center"/>
    </w:pPr>
    <w:rPr>
      <w:kern w:val="0"/>
    </w:rPr>
  </w:style>
  <w:style w:type="character" w:customStyle="1" w:styleId="105">
    <w:name w:val="未处理的提及1"/>
    <w:semiHidden/>
    <w:unhideWhenUsed/>
    <w:qFormat/>
    <w:uiPriority w:val="99"/>
    <w:rPr>
      <w:color w:val="605E5C"/>
      <w:shd w:val="clear" w:color="auto" w:fill="E1DFDD"/>
    </w:rPr>
  </w:style>
  <w:style w:type="character" w:customStyle="1" w:styleId="106">
    <w:name w:val="未处理的提及2"/>
    <w:basedOn w:val="25"/>
    <w:semiHidden/>
    <w:unhideWhenUsed/>
    <w:qFormat/>
    <w:uiPriority w:val="99"/>
    <w:rPr>
      <w:color w:val="605E5C"/>
      <w:shd w:val="clear" w:color="auto" w:fill="E1DFDD"/>
    </w:rPr>
  </w:style>
  <w:style w:type="character" w:customStyle="1" w:styleId="107">
    <w:name w:val="未处理的提及3"/>
    <w:basedOn w:val="25"/>
    <w:semiHidden/>
    <w:unhideWhenUsed/>
    <w:qFormat/>
    <w:uiPriority w:val="99"/>
    <w:rPr>
      <w:color w:val="605E5C"/>
      <w:shd w:val="clear" w:color="auto" w:fill="E1DFDD"/>
    </w:rPr>
  </w:style>
  <w:style w:type="character" w:customStyle="1" w:styleId="108">
    <w:name w:val="正文2 Char Char"/>
    <w:link w:val="99"/>
    <w:qFormat/>
    <w:uiPriority w:val="0"/>
    <w:rPr>
      <w:kern w:val="2"/>
      <w:sz w:val="24"/>
    </w:rPr>
  </w:style>
  <w:style w:type="table" w:customStyle="1" w:styleId="109">
    <w:name w:val="网格型1"/>
    <w:basedOn w:val="2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0">
    <w:name w:val="15"/>
    <w:basedOn w:val="25"/>
    <w:autoRedefine/>
    <w:qFormat/>
    <w:uiPriority w:val="0"/>
    <w:rPr>
      <w:rFonts w:hint="default" w:ascii="Calibri" w:hAnsi="Calibri" w:cs="Calibri"/>
      <w:b/>
    </w:rPr>
  </w:style>
  <w:style w:type="table" w:customStyle="1" w:styleId="111">
    <w:name w:val="网格型11"/>
    <w:basedOn w:val="23"/>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2">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6659</Words>
  <Characters>7595</Characters>
  <Lines>367</Lines>
  <Paragraphs>103</Paragraphs>
  <TotalTime>30</TotalTime>
  <ScaleCrop>false</ScaleCrop>
  <LinksUpToDate>false</LinksUpToDate>
  <CharactersWithSpaces>7665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2021-05-13T05:24:00Z</dcterms:created>
  <dc:creator>hj j</dc:creator>
  <cp:lastModifiedBy>温瑶</cp:lastModifiedBy>
  <cp:lastPrinted>2022-10-31T00:58:00Z</cp:lastPrinted>
  <dcterms:modified xsi:type="dcterms:W3CDTF">2024-12-30T03:24:10Z</dcterms:modified>
  <cp:revision>1057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B363B45C01FF4C5A8AB2573BD522DAF7</vt:lpwstr>
  </property>
  <property fmtid="{D5CDD505-2E9C-101B-9397-08002B2CF9AE}" pid="4" name="KSOTemplateDocerSaveRecord">
    <vt:lpwstr>eyJoZGlkIjoiYmFjNjQyZTEwMThkZmRmNDAyZTZiYmEzYjZiNGZmYTUiLCJ1c2VySWQiOiIxNjEzNDM1NjUyIn0=</vt:lpwstr>
  </property>
</Properties>
</file>