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beforeLines="100" w:line="240" w:lineRule="auto"/>
        <w:ind w:left="0" w:leftChars="0" w:right="-108" w:firstLine="0" w:firstLineChars="0"/>
        <w:jc w:val="center"/>
        <w:rPr>
          <w:rFonts w:hint="eastAsia" w:ascii="宋体" w:hAnsi="宋体"/>
          <w:b/>
          <w:bCs/>
          <w:color w:val="auto"/>
          <w:spacing w:val="10"/>
          <w:kern w:val="0"/>
          <w:sz w:val="48"/>
          <w:szCs w:val="56"/>
          <w:lang w:eastAsia="zh-CN"/>
        </w:rPr>
      </w:pPr>
      <w:r>
        <w:rPr>
          <w:rFonts w:hint="eastAsia" w:ascii="宋体" w:hAnsi="宋体"/>
          <w:b/>
          <w:bCs/>
          <w:color w:val="auto"/>
          <w:spacing w:val="10"/>
          <w:kern w:val="0"/>
          <w:sz w:val="48"/>
          <w:szCs w:val="56"/>
          <w:lang w:eastAsia="zh-CN"/>
        </w:rPr>
        <w:t>2025年度浙江省预算单位</w:t>
      </w:r>
    </w:p>
    <w:p>
      <w:pPr>
        <w:spacing w:before="240" w:beforeLines="100" w:line="480" w:lineRule="auto"/>
        <w:ind w:left="0" w:leftChars="0" w:right="-108" w:firstLine="0" w:firstLineChars="0"/>
        <w:jc w:val="center"/>
        <w:rPr>
          <w:rFonts w:hint="eastAsia" w:ascii="宋体" w:hAnsi="宋体"/>
          <w:b/>
          <w:bCs/>
          <w:color w:val="auto"/>
          <w:spacing w:val="10"/>
          <w:kern w:val="0"/>
          <w:sz w:val="48"/>
          <w:szCs w:val="56"/>
          <w:lang w:eastAsia="zh-CN"/>
        </w:rPr>
      </w:pPr>
      <w:r>
        <w:rPr>
          <w:rFonts w:hint="eastAsia" w:ascii="宋体" w:hAnsi="宋体"/>
          <w:b/>
          <w:bCs/>
          <w:color w:val="auto"/>
          <w:spacing w:val="10"/>
          <w:kern w:val="0"/>
          <w:sz w:val="48"/>
          <w:szCs w:val="56"/>
          <w:lang w:eastAsia="zh-CN"/>
        </w:rPr>
        <w:t>服务器封闭式框架协议采购项目</w:t>
      </w:r>
    </w:p>
    <w:p>
      <w:pPr>
        <w:bidi w:val="0"/>
        <w:spacing w:line="360" w:lineRule="auto"/>
        <w:ind w:left="0" w:leftChars="0" w:firstLine="0" w:firstLineChars="0"/>
        <w:jc w:val="center"/>
        <w:rPr>
          <w:rFonts w:hint="eastAsia"/>
          <w:color w:val="auto"/>
          <w:sz w:val="40"/>
          <w:szCs w:val="28"/>
          <w:lang w:val="en-US" w:eastAsia="zh-CN"/>
        </w:rPr>
      </w:pPr>
      <w:bookmarkStart w:id="0" w:name="_Toc30793"/>
      <w:r>
        <w:rPr>
          <w:rFonts w:hint="eastAsia"/>
          <w:color w:val="auto"/>
          <w:sz w:val="40"/>
          <w:szCs w:val="28"/>
        </w:rPr>
        <w:t>项目编号：ZZCG202</w:t>
      </w:r>
      <w:r>
        <w:rPr>
          <w:rFonts w:hint="eastAsia"/>
          <w:color w:val="auto"/>
          <w:sz w:val="40"/>
          <w:szCs w:val="28"/>
          <w:lang w:val="en-US" w:eastAsia="zh-CN"/>
        </w:rPr>
        <w:t>4J</w:t>
      </w:r>
      <w:r>
        <w:rPr>
          <w:rFonts w:hint="eastAsia"/>
          <w:color w:val="auto"/>
          <w:sz w:val="40"/>
          <w:szCs w:val="28"/>
        </w:rPr>
        <w:t>-</w:t>
      </w:r>
      <w:r>
        <w:rPr>
          <w:rFonts w:hint="eastAsia"/>
          <w:color w:val="auto"/>
          <w:sz w:val="40"/>
          <w:szCs w:val="28"/>
          <w:lang w:val="en-US" w:eastAsia="zh-CN"/>
        </w:rPr>
        <w:t>ZJ</w:t>
      </w:r>
      <w:r>
        <w:rPr>
          <w:rFonts w:hint="eastAsia"/>
          <w:color w:val="auto"/>
          <w:sz w:val="40"/>
          <w:szCs w:val="28"/>
        </w:rPr>
        <w:t>-00</w:t>
      </w:r>
      <w:r>
        <w:rPr>
          <w:rFonts w:hint="eastAsia"/>
          <w:color w:val="auto"/>
          <w:sz w:val="40"/>
          <w:szCs w:val="28"/>
          <w:lang w:val="en-US" w:eastAsia="zh-CN"/>
        </w:rPr>
        <w:t>4</w:t>
      </w:r>
      <w:bookmarkEnd w:id="0"/>
    </w:p>
    <w:p>
      <w:pPr>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jc w:val="center"/>
        <w:textAlignment w:val="auto"/>
        <w:rPr>
          <w:rFonts w:hint="eastAsia" w:ascii="黑体" w:hAnsi="黑体" w:eastAsia="黑体" w:cs="黑体"/>
          <w:b/>
          <w:bCs/>
          <w:color w:val="auto"/>
          <w:sz w:val="72"/>
          <w:szCs w:val="48"/>
        </w:rPr>
      </w:pPr>
      <w:r>
        <w:rPr>
          <w:rFonts w:hint="eastAsia" w:ascii="黑体" w:hAnsi="黑体" w:eastAsia="黑体" w:cs="黑体"/>
          <w:b/>
          <w:bCs/>
          <w:color w:val="auto"/>
          <w:sz w:val="72"/>
          <w:szCs w:val="48"/>
        </w:rPr>
        <w:t>征</w:t>
      </w:r>
    </w:p>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黑体" w:hAnsi="黑体" w:eastAsia="黑体" w:cs="黑体"/>
          <w:b/>
          <w:bCs/>
          <w:color w:val="auto"/>
          <w:sz w:val="72"/>
          <w:szCs w:val="48"/>
        </w:rPr>
      </w:pPr>
    </w:p>
    <w:p>
      <w:pPr>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jc w:val="center"/>
        <w:textAlignment w:val="auto"/>
        <w:rPr>
          <w:rFonts w:hint="eastAsia" w:ascii="黑体" w:hAnsi="黑体" w:eastAsia="黑体" w:cs="黑体"/>
          <w:b/>
          <w:bCs/>
          <w:color w:val="auto"/>
          <w:sz w:val="72"/>
          <w:szCs w:val="48"/>
        </w:rPr>
      </w:pPr>
      <w:r>
        <w:rPr>
          <w:rFonts w:hint="eastAsia" w:ascii="黑体" w:hAnsi="黑体" w:eastAsia="黑体" w:cs="黑体"/>
          <w:b/>
          <w:bCs/>
          <w:color w:val="auto"/>
          <w:sz w:val="72"/>
          <w:szCs w:val="48"/>
        </w:rPr>
        <w:t>集</w:t>
      </w:r>
    </w:p>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黑体" w:hAnsi="黑体" w:eastAsia="黑体" w:cs="黑体"/>
          <w:b/>
          <w:bCs/>
          <w:color w:val="auto"/>
          <w:sz w:val="72"/>
          <w:szCs w:val="48"/>
        </w:rPr>
      </w:pPr>
    </w:p>
    <w:p>
      <w:pPr>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jc w:val="center"/>
        <w:textAlignment w:val="auto"/>
        <w:rPr>
          <w:rFonts w:hint="eastAsia" w:ascii="黑体" w:hAnsi="黑体" w:eastAsia="黑体" w:cs="黑体"/>
          <w:b/>
          <w:bCs/>
          <w:color w:val="auto"/>
          <w:sz w:val="72"/>
          <w:szCs w:val="48"/>
        </w:rPr>
      </w:pPr>
      <w:r>
        <w:rPr>
          <w:rFonts w:hint="eastAsia" w:ascii="黑体" w:hAnsi="黑体" w:eastAsia="黑体" w:cs="黑体"/>
          <w:b/>
          <w:bCs/>
          <w:color w:val="auto"/>
          <w:sz w:val="72"/>
          <w:szCs w:val="48"/>
        </w:rPr>
        <w:t>文</w:t>
      </w:r>
    </w:p>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黑体" w:hAnsi="黑体" w:eastAsia="黑体" w:cs="黑体"/>
          <w:b/>
          <w:bCs/>
          <w:color w:val="auto"/>
          <w:sz w:val="72"/>
          <w:szCs w:val="48"/>
        </w:rPr>
      </w:pPr>
    </w:p>
    <w:p>
      <w:pPr>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jc w:val="center"/>
        <w:textAlignment w:val="auto"/>
        <w:rPr>
          <w:rFonts w:hint="eastAsia" w:ascii="黑体" w:hAnsi="黑体" w:eastAsia="黑体" w:cs="黑体"/>
          <w:b/>
          <w:bCs/>
          <w:color w:val="auto"/>
          <w:sz w:val="72"/>
          <w:szCs w:val="48"/>
        </w:rPr>
      </w:pPr>
      <w:r>
        <w:rPr>
          <w:rFonts w:hint="eastAsia" w:ascii="黑体" w:hAnsi="黑体" w:eastAsia="黑体" w:cs="黑体"/>
          <w:b/>
          <w:bCs/>
          <w:color w:val="auto"/>
          <w:sz w:val="72"/>
          <w:szCs w:val="48"/>
        </w:rPr>
        <w:t>件</w:t>
      </w:r>
    </w:p>
    <w:p>
      <w:pPr>
        <w:spacing w:line="360" w:lineRule="auto"/>
        <w:ind w:left="0" w:leftChars="0" w:right="532" w:firstLine="0" w:firstLineChars="0"/>
        <w:jc w:val="both"/>
        <w:rPr>
          <w:rFonts w:hint="eastAsia" w:ascii="宋体" w:hAnsi="宋体"/>
          <w:color w:val="auto"/>
          <w:sz w:val="36"/>
          <w:szCs w:val="36"/>
        </w:rPr>
      </w:pPr>
      <w:bookmarkStart w:id="1" w:name="采购单位"/>
    </w:p>
    <w:p>
      <w:pPr>
        <w:spacing w:line="360" w:lineRule="auto"/>
        <w:ind w:right="532" w:firstLine="540" w:firstLineChars="150"/>
        <w:jc w:val="center"/>
        <w:rPr>
          <w:rFonts w:ascii="宋体" w:hAnsi="宋体"/>
          <w:color w:val="auto"/>
          <w:sz w:val="36"/>
          <w:szCs w:val="36"/>
        </w:rPr>
      </w:pPr>
      <w:r>
        <w:rPr>
          <w:rFonts w:hint="eastAsia" w:ascii="宋体" w:hAnsi="宋体"/>
          <w:color w:val="auto"/>
          <w:sz w:val="36"/>
          <w:szCs w:val="36"/>
        </w:rPr>
        <w:t>浙江省政府采购中心</w:t>
      </w:r>
      <w:bookmarkEnd w:id="1"/>
    </w:p>
    <w:p>
      <w:pPr>
        <w:wordWrap w:val="0"/>
        <w:spacing w:line="360" w:lineRule="auto"/>
        <w:ind w:right="-108" w:firstLine="2340" w:firstLineChars="650"/>
        <w:jc w:val="both"/>
        <w:rPr>
          <w:rFonts w:hint="eastAsia" w:hAnsi="宋体"/>
          <w:b/>
          <w:color w:val="auto"/>
          <w:sz w:val="36"/>
          <w:szCs w:val="36"/>
        </w:rPr>
      </w:pPr>
      <w:bookmarkStart w:id="2" w:name="地址"/>
      <w:r>
        <w:rPr>
          <w:rFonts w:hint="eastAsia" w:ascii="宋体" w:hAnsi="宋体"/>
          <w:color w:val="auto"/>
          <w:sz w:val="36"/>
          <w:szCs w:val="36"/>
        </w:rPr>
        <w:t>杭州市</w:t>
      </w:r>
      <w:bookmarkEnd w:id="2"/>
      <w:r>
        <w:rPr>
          <w:rFonts w:hint="eastAsia" w:ascii="宋体" w:hAnsi="宋体"/>
          <w:color w:val="auto"/>
          <w:sz w:val="36"/>
          <w:szCs w:val="36"/>
          <w:lang w:val="en-US" w:eastAsia="zh-CN"/>
        </w:rPr>
        <w:t>西湖区宝石一路3号</w:t>
      </w:r>
    </w:p>
    <w:p>
      <w:pPr>
        <w:pStyle w:val="11"/>
        <w:spacing w:before="120" w:after="120" w:line="360" w:lineRule="auto"/>
        <w:jc w:val="center"/>
        <w:outlineLvl w:val="0"/>
        <w:rPr>
          <w:rFonts w:hAnsi="宋体"/>
          <w:b/>
          <w:color w:val="auto"/>
          <w:sz w:val="36"/>
          <w:szCs w:val="36"/>
        </w:rPr>
      </w:pPr>
      <w:bookmarkStart w:id="3" w:name="_Toc9187"/>
      <w:bookmarkStart w:id="4" w:name="_Toc28319"/>
      <w:r>
        <w:rPr>
          <w:rFonts w:hint="eastAsia" w:hAnsi="宋体"/>
          <w:b/>
          <w:color w:val="auto"/>
          <w:sz w:val="36"/>
          <w:szCs w:val="36"/>
        </w:rPr>
        <w:t>目    录</w:t>
      </w:r>
      <w:bookmarkEnd w:id="3"/>
      <w:bookmarkEnd w:id="4"/>
    </w:p>
    <w:sdt>
      <w:sdtPr>
        <w:rPr>
          <w:rFonts w:ascii="宋体" w:hAnsi="宋体" w:eastAsia="宋体" w:cs="Times New Roman"/>
          <w:color w:val="auto"/>
          <w:kern w:val="2"/>
          <w:sz w:val="21"/>
          <w:szCs w:val="22"/>
          <w:lang w:val="en-US" w:eastAsia="zh-CN" w:bidi="ar-SA"/>
        </w:rPr>
        <w:id w:val="147479811"/>
        <w15:color w:val="DBDBDB"/>
        <w:docPartObj>
          <w:docPartGallery w:val="Table of Contents"/>
          <w:docPartUnique/>
        </w:docPartObj>
      </w:sdtPr>
      <w:sdtEndPr>
        <w:rPr>
          <w:rFonts w:ascii="宋体" w:hAnsi="宋体" w:eastAsia="仿宋" w:cs="Times New Roman"/>
          <w:color w:val="auto"/>
          <w:kern w:val="2"/>
          <w:sz w:val="24"/>
          <w:szCs w:val="32"/>
          <w:lang w:val="en-US" w:eastAsia="zh-CN" w:bidi="ar-SA"/>
        </w:rPr>
      </w:sdtEndPr>
      <w:sdtContent>
        <w:p>
          <w:pPr>
            <w:pStyle w:val="11"/>
            <w:spacing w:before="120" w:after="120" w:line="360" w:lineRule="auto"/>
            <w:jc w:val="center"/>
            <w:rPr>
              <w:rFonts w:ascii="宋体" w:hAnsi="宋体" w:eastAsia="仿宋" w:cs="Times New Roman"/>
              <w:color w:val="auto"/>
              <w:kern w:val="2"/>
              <w:sz w:val="24"/>
              <w:szCs w:val="32"/>
              <w:lang w:val="en-US" w:eastAsia="zh-CN" w:bidi="ar-SA"/>
            </w:rPr>
          </w:pPr>
          <w:r>
            <w:rPr>
              <w:rFonts w:hAnsi="宋体"/>
              <w:color w:val="auto"/>
              <w:sz w:val="32"/>
              <w:szCs w:val="32"/>
            </w:rPr>
            <w:fldChar w:fldCharType="begin"/>
          </w:r>
          <w:r>
            <w:rPr>
              <w:rFonts w:hAnsi="宋体"/>
              <w:color w:val="auto"/>
              <w:sz w:val="32"/>
              <w:szCs w:val="32"/>
            </w:rPr>
            <w:instrText xml:space="preserve">TOC \o "1-1" \h \u </w:instrText>
          </w:r>
          <w:r>
            <w:rPr>
              <w:rFonts w:hAnsi="宋体"/>
              <w:color w:val="auto"/>
              <w:sz w:val="32"/>
              <w:szCs w:val="32"/>
            </w:rPr>
            <w:fldChar w:fldCharType="separate"/>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auto"/>
            <w:jc w:val="left"/>
            <w:textAlignment w:val="auto"/>
            <w:rPr>
              <w:b/>
              <w:bCs/>
              <w:color w:val="auto"/>
            </w:rPr>
          </w:pPr>
          <w:r>
            <w:rPr>
              <w:rFonts w:hAnsi="宋体"/>
              <w:b/>
              <w:bCs/>
              <w:color w:val="auto"/>
              <w:szCs w:val="32"/>
            </w:rPr>
            <w:fldChar w:fldCharType="begin"/>
          </w:r>
          <w:r>
            <w:rPr>
              <w:rFonts w:hAnsi="宋体"/>
              <w:b/>
              <w:bCs/>
              <w:color w:val="auto"/>
              <w:szCs w:val="32"/>
            </w:rPr>
            <w:instrText xml:space="preserve"> HYPERLINK \l _Toc9187 </w:instrText>
          </w:r>
          <w:r>
            <w:rPr>
              <w:rFonts w:hAnsi="宋体"/>
              <w:b/>
              <w:bCs/>
              <w:color w:val="auto"/>
              <w:szCs w:val="32"/>
            </w:rPr>
            <w:fldChar w:fldCharType="separate"/>
          </w:r>
          <w:r>
            <w:rPr>
              <w:rFonts w:hint="eastAsia" w:hAnsi="宋体"/>
              <w:b/>
              <w:bCs/>
              <w:color w:val="auto"/>
              <w:szCs w:val="36"/>
            </w:rPr>
            <w:t>目    录</w:t>
          </w:r>
          <w:r>
            <w:rPr>
              <w:b/>
              <w:bCs/>
              <w:color w:val="auto"/>
            </w:rPr>
            <w:tab/>
          </w:r>
          <w:r>
            <w:rPr>
              <w:b/>
              <w:bCs/>
              <w:color w:val="auto"/>
            </w:rPr>
            <w:fldChar w:fldCharType="begin"/>
          </w:r>
          <w:r>
            <w:rPr>
              <w:b/>
              <w:bCs/>
              <w:color w:val="auto"/>
            </w:rPr>
            <w:instrText xml:space="preserve"> PAGEREF _Toc9187 \h </w:instrText>
          </w:r>
          <w:r>
            <w:rPr>
              <w:b/>
              <w:bCs/>
              <w:color w:val="auto"/>
            </w:rPr>
            <w:fldChar w:fldCharType="separate"/>
          </w:r>
          <w:r>
            <w:rPr>
              <w:b/>
              <w:bCs/>
              <w:color w:val="auto"/>
            </w:rPr>
            <w:t>2</w:t>
          </w:r>
          <w:r>
            <w:rPr>
              <w:b/>
              <w:bCs/>
              <w:color w:val="auto"/>
            </w:rPr>
            <w:fldChar w:fldCharType="end"/>
          </w:r>
          <w:r>
            <w:rPr>
              <w:rFonts w:hAnsi="宋体"/>
              <w:b/>
              <w:bCs/>
              <w:color w:val="auto"/>
              <w:szCs w:val="32"/>
            </w:rPr>
            <w:fldChar w:fldCharType="end"/>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auto"/>
            <w:jc w:val="left"/>
            <w:textAlignment w:val="auto"/>
            <w:rPr>
              <w:b/>
              <w:bCs/>
              <w:color w:val="auto"/>
            </w:rPr>
          </w:pPr>
          <w:r>
            <w:rPr>
              <w:rFonts w:hAnsi="宋体"/>
              <w:b/>
              <w:bCs/>
              <w:color w:val="auto"/>
              <w:szCs w:val="32"/>
            </w:rPr>
            <w:fldChar w:fldCharType="begin"/>
          </w:r>
          <w:r>
            <w:rPr>
              <w:rFonts w:hAnsi="宋体"/>
              <w:b/>
              <w:bCs/>
              <w:color w:val="auto"/>
              <w:szCs w:val="32"/>
            </w:rPr>
            <w:instrText xml:space="preserve"> HYPERLINK \l _Toc19260 </w:instrText>
          </w:r>
          <w:r>
            <w:rPr>
              <w:rFonts w:hAnsi="宋体"/>
              <w:b/>
              <w:bCs/>
              <w:color w:val="auto"/>
              <w:szCs w:val="32"/>
            </w:rPr>
            <w:fldChar w:fldCharType="separate"/>
          </w:r>
          <w:r>
            <w:rPr>
              <w:rFonts w:hint="eastAsia"/>
              <w:b/>
              <w:bCs/>
              <w:color w:val="auto"/>
            </w:rPr>
            <w:t>第一章 征集公告</w:t>
          </w:r>
          <w:r>
            <w:rPr>
              <w:b/>
              <w:bCs/>
              <w:color w:val="auto"/>
            </w:rPr>
            <w:tab/>
          </w:r>
          <w:r>
            <w:rPr>
              <w:b/>
              <w:bCs/>
              <w:color w:val="auto"/>
            </w:rPr>
            <w:fldChar w:fldCharType="begin"/>
          </w:r>
          <w:r>
            <w:rPr>
              <w:b/>
              <w:bCs/>
              <w:color w:val="auto"/>
            </w:rPr>
            <w:instrText xml:space="preserve"> PAGEREF _Toc19260 \h </w:instrText>
          </w:r>
          <w:r>
            <w:rPr>
              <w:b/>
              <w:bCs/>
              <w:color w:val="auto"/>
            </w:rPr>
            <w:fldChar w:fldCharType="separate"/>
          </w:r>
          <w:r>
            <w:rPr>
              <w:b/>
              <w:bCs/>
              <w:color w:val="auto"/>
            </w:rPr>
            <w:t>3</w:t>
          </w:r>
          <w:r>
            <w:rPr>
              <w:b/>
              <w:bCs/>
              <w:color w:val="auto"/>
            </w:rPr>
            <w:fldChar w:fldCharType="end"/>
          </w:r>
          <w:r>
            <w:rPr>
              <w:rFonts w:hAnsi="宋体"/>
              <w:b/>
              <w:bCs/>
              <w:color w:val="auto"/>
              <w:szCs w:val="32"/>
            </w:rPr>
            <w:fldChar w:fldCharType="end"/>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auto"/>
            <w:jc w:val="left"/>
            <w:textAlignment w:val="auto"/>
            <w:rPr>
              <w:b/>
              <w:bCs/>
              <w:color w:val="auto"/>
            </w:rPr>
          </w:pPr>
          <w:r>
            <w:rPr>
              <w:rFonts w:hAnsi="宋体"/>
              <w:b/>
              <w:bCs/>
              <w:color w:val="auto"/>
              <w:szCs w:val="32"/>
            </w:rPr>
            <w:fldChar w:fldCharType="begin"/>
          </w:r>
          <w:r>
            <w:rPr>
              <w:rFonts w:hAnsi="宋体"/>
              <w:b/>
              <w:bCs/>
              <w:color w:val="auto"/>
              <w:szCs w:val="32"/>
            </w:rPr>
            <w:instrText xml:space="preserve"> HYPERLINK \l _Toc31730 </w:instrText>
          </w:r>
          <w:r>
            <w:rPr>
              <w:rFonts w:hAnsi="宋体"/>
              <w:b/>
              <w:bCs/>
              <w:color w:val="auto"/>
              <w:szCs w:val="32"/>
            </w:rPr>
            <w:fldChar w:fldCharType="separate"/>
          </w:r>
          <w:r>
            <w:rPr>
              <w:rFonts w:hint="eastAsia"/>
              <w:b/>
              <w:bCs/>
              <w:color w:val="auto"/>
            </w:rPr>
            <w:t>第二章 响应方须知</w:t>
          </w:r>
          <w:r>
            <w:rPr>
              <w:b/>
              <w:bCs/>
              <w:color w:val="auto"/>
            </w:rPr>
            <w:tab/>
          </w:r>
          <w:r>
            <w:rPr>
              <w:b/>
              <w:bCs/>
              <w:color w:val="auto"/>
            </w:rPr>
            <w:fldChar w:fldCharType="begin"/>
          </w:r>
          <w:r>
            <w:rPr>
              <w:b/>
              <w:bCs/>
              <w:color w:val="auto"/>
            </w:rPr>
            <w:instrText xml:space="preserve"> PAGEREF _Toc31730 \h </w:instrText>
          </w:r>
          <w:r>
            <w:rPr>
              <w:b/>
              <w:bCs/>
              <w:color w:val="auto"/>
            </w:rPr>
            <w:fldChar w:fldCharType="separate"/>
          </w:r>
          <w:r>
            <w:rPr>
              <w:b/>
              <w:bCs/>
              <w:color w:val="auto"/>
            </w:rPr>
            <w:t>23</w:t>
          </w:r>
          <w:r>
            <w:rPr>
              <w:b/>
              <w:bCs/>
              <w:color w:val="auto"/>
            </w:rPr>
            <w:fldChar w:fldCharType="end"/>
          </w:r>
          <w:r>
            <w:rPr>
              <w:rFonts w:hAnsi="宋体"/>
              <w:b/>
              <w:bCs/>
              <w:color w:val="auto"/>
              <w:szCs w:val="32"/>
            </w:rPr>
            <w:fldChar w:fldCharType="end"/>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auto"/>
            <w:jc w:val="left"/>
            <w:textAlignment w:val="auto"/>
            <w:rPr>
              <w:b/>
              <w:bCs/>
              <w:color w:val="auto"/>
            </w:rPr>
          </w:pPr>
          <w:r>
            <w:rPr>
              <w:rFonts w:hAnsi="宋体"/>
              <w:b/>
              <w:bCs/>
              <w:color w:val="auto"/>
              <w:szCs w:val="32"/>
            </w:rPr>
            <w:fldChar w:fldCharType="begin"/>
          </w:r>
          <w:r>
            <w:rPr>
              <w:rFonts w:hAnsi="宋体"/>
              <w:b/>
              <w:bCs/>
              <w:color w:val="auto"/>
              <w:szCs w:val="32"/>
            </w:rPr>
            <w:instrText xml:space="preserve"> HYPERLINK \l _Toc4729 </w:instrText>
          </w:r>
          <w:r>
            <w:rPr>
              <w:rFonts w:hAnsi="宋体"/>
              <w:b/>
              <w:bCs/>
              <w:color w:val="auto"/>
              <w:szCs w:val="32"/>
            </w:rPr>
            <w:fldChar w:fldCharType="separate"/>
          </w:r>
          <w:r>
            <w:rPr>
              <w:rFonts w:hint="eastAsia"/>
              <w:b/>
              <w:bCs/>
              <w:color w:val="auto"/>
            </w:rPr>
            <w:t>第三章 评审办法及评审标准</w:t>
          </w:r>
          <w:r>
            <w:rPr>
              <w:b/>
              <w:bCs/>
              <w:color w:val="auto"/>
            </w:rPr>
            <w:tab/>
          </w:r>
          <w:r>
            <w:rPr>
              <w:b/>
              <w:bCs/>
              <w:color w:val="auto"/>
            </w:rPr>
            <w:fldChar w:fldCharType="begin"/>
          </w:r>
          <w:r>
            <w:rPr>
              <w:b/>
              <w:bCs/>
              <w:color w:val="auto"/>
            </w:rPr>
            <w:instrText xml:space="preserve"> PAGEREF _Toc4729 \h </w:instrText>
          </w:r>
          <w:r>
            <w:rPr>
              <w:b/>
              <w:bCs/>
              <w:color w:val="auto"/>
            </w:rPr>
            <w:fldChar w:fldCharType="separate"/>
          </w:r>
          <w:r>
            <w:rPr>
              <w:b/>
              <w:bCs/>
              <w:color w:val="auto"/>
            </w:rPr>
            <w:t>43</w:t>
          </w:r>
          <w:r>
            <w:rPr>
              <w:b/>
              <w:bCs/>
              <w:color w:val="auto"/>
            </w:rPr>
            <w:fldChar w:fldCharType="end"/>
          </w:r>
          <w:r>
            <w:rPr>
              <w:rFonts w:hAnsi="宋体"/>
              <w:b/>
              <w:bCs/>
              <w:color w:val="auto"/>
              <w:szCs w:val="32"/>
            </w:rPr>
            <w:fldChar w:fldCharType="end"/>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auto"/>
            <w:jc w:val="left"/>
            <w:textAlignment w:val="auto"/>
            <w:rPr>
              <w:b/>
              <w:bCs/>
              <w:color w:val="auto"/>
            </w:rPr>
          </w:pPr>
          <w:r>
            <w:rPr>
              <w:rFonts w:hAnsi="宋体"/>
              <w:b/>
              <w:bCs/>
              <w:color w:val="auto"/>
              <w:szCs w:val="32"/>
            </w:rPr>
            <w:fldChar w:fldCharType="begin"/>
          </w:r>
          <w:r>
            <w:rPr>
              <w:rFonts w:hAnsi="宋体"/>
              <w:b/>
              <w:bCs/>
              <w:color w:val="auto"/>
              <w:szCs w:val="32"/>
            </w:rPr>
            <w:instrText xml:space="preserve"> HYPERLINK \l _Toc15900 </w:instrText>
          </w:r>
          <w:r>
            <w:rPr>
              <w:rFonts w:hAnsi="宋体"/>
              <w:b/>
              <w:bCs/>
              <w:color w:val="auto"/>
              <w:szCs w:val="32"/>
            </w:rPr>
            <w:fldChar w:fldCharType="separate"/>
          </w:r>
          <w:r>
            <w:rPr>
              <w:rFonts w:hint="eastAsia"/>
              <w:b/>
              <w:bCs/>
              <w:color w:val="auto"/>
            </w:rPr>
            <w:t>第四章 采购需求</w:t>
          </w:r>
          <w:r>
            <w:rPr>
              <w:b/>
              <w:bCs/>
              <w:color w:val="auto"/>
            </w:rPr>
            <w:tab/>
          </w:r>
          <w:r>
            <w:rPr>
              <w:b/>
              <w:bCs/>
              <w:color w:val="auto"/>
            </w:rPr>
            <w:fldChar w:fldCharType="begin"/>
          </w:r>
          <w:r>
            <w:rPr>
              <w:b/>
              <w:bCs/>
              <w:color w:val="auto"/>
            </w:rPr>
            <w:instrText xml:space="preserve"> PAGEREF _Toc15900 \h </w:instrText>
          </w:r>
          <w:r>
            <w:rPr>
              <w:b/>
              <w:bCs/>
              <w:color w:val="auto"/>
            </w:rPr>
            <w:fldChar w:fldCharType="separate"/>
          </w:r>
          <w:r>
            <w:rPr>
              <w:b/>
              <w:bCs/>
              <w:color w:val="auto"/>
            </w:rPr>
            <w:t>45</w:t>
          </w:r>
          <w:r>
            <w:rPr>
              <w:b/>
              <w:bCs/>
              <w:color w:val="auto"/>
            </w:rPr>
            <w:fldChar w:fldCharType="end"/>
          </w:r>
          <w:r>
            <w:rPr>
              <w:rFonts w:hAnsi="宋体"/>
              <w:b/>
              <w:bCs/>
              <w:color w:val="auto"/>
              <w:szCs w:val="32"/>
            </w:rPr>
            <w:fldChar w:fldCharType="end"/>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auto"/>
            <w:jc w:val="left"/>
            <w:textAlignment w:val="auto"/>
            <w:rPr>
              <w:b/>
              <w:bCs/>
              <w:color w:val="auto"/>
            </w:rPr>
          </w:pPr>
          <w:r>
            <w:rPr>
              <w:rFonts w:hAnsi="宋体"/>
              <w:b/>
              <w:bCs/>
              <w:color w:val="auto"/>
              <w:szCs w:val="32"/>
            </w:rPr>
            <w:fldChar w:fldCharType="begin"/>
          </w:r>
          <w:r>
            <w:rPr>
              <w:rFonts w:hAnsi="宋体"/>
              <w:b/>
              <w:bCs/>
              <w:color w:val="auto"/>
              <w:szCs w:val="32"/>
            </w:rPr>
            <w:instrText xml:space="preserve"> HYPERLINK \l _Toc29182 </w:instrText>
          </w:r>
          <w:r>
            <w:rPr>
              <w:rFonts w:hAnsi="宋体"/>
              <w:b/>
              <w:bCs/>
              <w:color w:val="auto"/>
              <w:szCs w:val="32"/>
            </w:rPr>
            <w:fldChar w:fldCharType="separate"/>
          </w:r>
          <w:r>
            <w:rPr>
              <w:rFonts w:hint="eastAsia"/>
              <w:b/>
              <w:bCs/>
              <w:color w:val="auto"/>
            </w:rPr>
            <w:t xml:space="preserve">第五章 </w:t>
          </w:r>
          <w:r>
            <w:rPr>
              <w:rFonts w:hint="eastAsia"/>
              <w:b/>
              <w:bCs/>
              <w:color w:val="auto"/>
              <w:lang w:eastAsia="zh-CN"/>
            </w:rPr>
            <w:t>2025年度浙江省预算单位服务器封闭式框架协议</w:t>
          </w:r>
          <w:r>
            <w:rPr>
              <w:rFonts w:hint="eastAsia"/>
              <w:b/>
              <w:bCs/>
              <w:color w:val="auto"/>
            </w:rPr>
            <w:t>（封闭式）</w:t>
          </w:r>
          <w:r>
            <w:rPr>
              <w:b/>
              <w:bCs/>
              <w:color w:val="auto"/>
            </w:rPr>
            <w:tab/>
          </w:r>
          <w:r>
            <w:rPr>
              <w:b/>
              <w:bCs/>
              <w:color w:val="auto"/>
            </w:rPr>
            <w:fldChar w:fldCharType="begin"/>
          </w:r>
          <w:r>
            <w:rPr>
              <w:b/>
              <w:bCs/>
              <w:color w:val="auto"/>
            </w:rPr>
            <w:instrText xml:space="preserve"> PAGEREF _Toc29182 \h </w:instrText>
          </w:r>
          <w:r>
            <w:rPr>
              <w:b/>
              <w:bCs/>
              <w:color w:val="auto"/>
            </w:rPr>
            <w:fldChar w:fldCharType="separate"/>
          </w:r>
          <w:r>
            <w:rPr>
              <w:b/>
              <w:bCs/>
              <w:color w:val="auto"/>
            </w:rPr>
            <w:t>68</w:t>
          </w:r>
          <w:r>
            <w:rPr>
              <w:b/>
              <w:bCs/>
              <w:color w:val="auto"/>
            </w:rPr>
            <w:fldChar w:fldCharType="end"/>
          </w:r>
          <w:r>
            <w:rPr>
              <w:rFonts w:hAnsi="宋体"/>
              <w:b/>
              <w:bCs/>
              <w:color w:val="auto"/>
              <w:szCs w:val="32"/>
            </w:rPr>
            <w:fldChar w:fldCharType="end"/>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auto"/>
            <w:jc w:val="left"/>
            <w:textAlignment w:val="auto"/>
            <w:rPr>
              <w:color w:val="auto"/>
            </w:rPr>
          </w:pPr>
          <w:r>
            <w:rPr>
              <w:rFonts w:hAnsi="宋体"/>
              <w:b/>
              <w:bCs/>
              <w:color w:val="auto"/>
              <w:szCs w:val="32"/>
            </w:rPr>
            <w:fldChar w:fldCharType="begin"/>
          </w:r>
          <w:r>
            <w:rPr>
              <w:rFonts w:hAnsi="宋体"/>
              <w:b/>
              <w:bCs/>
              <w:color w:val="auto"/>
              <w:szCs w:val="32"/>
            </w:rPr>
            <w:instrText xml:space="preserve"> HYPERLINK \l _Toc25761 </w:instrText>
          </w:r>
          <w:r>
            <w:rPr>
              <w:rFonts w:hAnsi="宋体"/>
              <w:b/>
              <w:bCs/>
              <w:color w:val="auto"/>
              <w:szCs w:val="32"/>
            </w:rPr>
            <w:fldChar w:fldCharType="separate"/>
          </w:r>
          <w:r>
            <w:rPr>
              <w:rFonts w:hint="eastAsia"/>
              <w:b/>
              <w:bCs/>
              <w:color w:val="auto"/>
              <w:lang w:val="en-US" w:eastAsia="zh-CN"/>
            </w:rPr>
            <w:t xml:space="preserve">第六章 </w:t>
          </w:r>
          <w:r>
            <w:rPr>
              <w:rFonts w:hint="eastAsia"/>
              <w:b/>
              <w:bCs/>
              <w:color w:val="auto"/>
            </w:rPr>
            <w:t>响应文件格式附件</w:t>
          </w:r>
          <w:r>
            <w:rPr>
              <w:b/>
              <w:bCs/>
              <w:color w:val="auto"/>
            </w:rPr>
            <w:tab/>
          </w:r>
          <w:r>
            <w:rPr>
              <w:b/>
              <w:bCs/>
              <w:color w:val="auto"/>
            </w:rPr>
            <w:fldChar w:fldCharType="begin"/>
          </w:r>
          <w:r>
            <w:rPr>
              <w:b/>
              <w:bCs/>
              <w:color w:val="auto"/>
            </w:rPr>
            <w:instrText xml:space="preserve"> PAGEREF _Toc25761 \h </w:instrText>
          </w:r>
          <w:r>
            <w:rPr>
              <w:b/>
              <w:bCs/>
              <w:color w:val="auto"/>
            </w:rPr>
            <w:fldChar w:fldCharType="separate"/>
          </w:r>
          <w:r>
            <w:rPr>
              <w:b/>
              <w:bCs/>
              <w:color w:val="auto"/>
            </w:rPr>
            <w:t>84</w:t>
          </w:r>
          <w:r>
            <w:rPr>
              <w:b/>
              <w:bCs/>
              <w:color w:val="auto"/>
            </w:rPr>
            <w:fldChar w:fldCharType="end"/>
          </w:r>
          <w:r>
            <w:rPr>
              <w:rFonts w:hAnsi="宋体"/>
              <w:b/>
              <w:bCs/>
              <w:color w:val="auto"/>
              <w:szCs w:val="32"/>
            </w:rPr>
            <w:fldChar w:fldCharType="end"/>
          </w:r>
        </w:p>
        <w:p>
          <w:pPr>
            <w:spacing w:before="0" w:beforeLines="0" w:after="0" w:afterLines="0" w:line="240" w:lineRule="auto"/>
            <w:ind w:left="0" w:leftChars="0" w:right="0" w:rightChars="0" w:firstLine="0" w:firstLineChars="0"/>
            <w:jc w:val="center"/>
            <w:rPr>
              <w:rFonts w:hAnsi="宋体"/>
              <w:color w:val="auto"/>
              <w:sz w:val="32"/>
              <w:szCs w:val="32"/>
            </w:rPr>
          </w:pPr>
          <w:r>
            <w:rPr>
              <w:rFonts w:hAnsi="宋体"/>
              <w:color w:val="auto"/>
              <w:szCs w:val="32"/>
            </w:rPr>
            <w:fldChar w:fldCharType="end"/>
          </w:r>
        </w:p>
      </w:sdtContent>
    </w:sdt>
    <w:p>
      <w:pPr>
        <w:pStyle w:val="11"/>
        <w:spacing w:before="120" w:after="120" w:line="360" w:lineRule="auto"/>
        <w:ind w:firstLine="640"/>
        <w:jc w:val="center"/>
        <w:outlineLvl w:val="0"/>
        <w:rPr>
          <w:rStyle w:val="27"/>
          <w:color w:val="auto"/>
        </w:rPr>
      </w:pPr>
      <w:r>
        <w:rPr>
          <w:rFonts w:hAnsi="宋体"/>
          <w:color w:val="auto"/>
          <w:sz w:val="32"/>
          <w:szCs w:val="32"/>
        </w:rPr>
        <w:br w:type="page"/>
      </w:r>
      <w:bookmarkStart w:id="5" w:name="_Toc19260"/>
      <w:bookmarkStart w:id="6" w:name="_Toc4865"/>
      <w:r>
        <w:rPr>
          <w:rStyle w:val="27"/>
          <w:rFonts w:hint="eastAsia"/>
          <w:color w:val="auto"/>
        </w:rPr>
        <w:t>第一章 征集公告</w:t>
      </w:r>
      <w:bookmarkEnd w:id="5"/>
      <w:bookmarkEnd w:id="6"/>
    </w:p>
    <w:p>
      <w:pPr>
        <w:pStyle w:val="23"/>
        <w:widowControl w:val="0"/>
        <w:spacing w:afterLines="0" w:line="360" w:lineRule="auto"/>
        <w:ind w:firstLine="560"/>
        <w:rPr>
          <w:rFonts w:hint="eastAsia" w:ascii="仿宋" w:hAnsi="仿宋" w:eastAsia="仿宋" w:cs="Arial"/>
          <w:bCs/>
          <w:color w:val="auto"/>
          <w:kern w:val="2"/>
          <w:sz w:val="32"/>
          <w:szCs w:val="32"/>
        </w:rPr>
      </w:pPr>
      <w:r>
        <w:rPr>
          <w:rFonts w:hint="eastAsia" w:ascii="仿宋" w:hAnsi="仿宋" w:eastAsia="仿宋" w:cs="Arial"/>
          <w:bCs/>
          <w:color w:val="auto"/>
          <w:kern w:val="2"/>
          <w:sz w:val="32"/>
          <w:szCs w:val="32"/>
        </w:rPr>
        <w:t>根据《中华人民共和国政府采购法》《中华人民共和国政府采购法实施条例》《政府采购框架协议采购方式管理暂行办法》《政府采购货物和服务招标投标管理办法》《政府采购框架协议采购方式管理暂行办法》《浙江省政府采购项目电子交易管理暂行办法》等规定，现公开征集</w:t>
      </w:r>
      <w:r>
        <w:rPr>
          <w:rFonts w:hint="eastAsia" w:ascii="仿宋" w:hAnsi="仿宋" w:eastAsia="仿宋" w:cs="Arial"/>
          <w:bCs/>
          <w:color w:val="auto"/>
          <w:kern w:val="2"/>
          <w:sz w:val="32"/>
          <w:szCs w:val="32"/>
          <w:lang w:eastAsia="zh-CN"/>
        </w:rPr>
        <w:t>2025年度浙江省预算单位服务器封闭式框架协议采购项目</w:t>
      </w:r>
      <w:r>
        <w:rPr>
          <w:rFonts w:hint="eastAsia" w:ascii="仿宋" w:hAnsi="仿宋" w:eastAsia="仿宋" w:cs="Arial"/>
          <w:bCs/>
          <w:color w:val="auto"/>
          <w:kern w:val="2"/>
          <w:sz w:val="32"/>
          <w:szCs w:val="32"/>
        </w:rPr>
        <w:t>供应商，欢迎提供本国货物、服务的单位或个人前来响应：</w:t>
      </w:r>
    </w:p>
    <w:p>
      <w:pPr>
        <w:pStyle w:val="3"/>
        <w:bidi w:val="0"/>
        <w:rPr>
          <w:rFonts w:hint="eastAsia"/>
          <w:color w:val="auto"/>
          <w:sz w:val="32"/>
          <w:szCs w:val="32"/>
          <w:lang w:val="en-US" w:eastAsia="zh-CN"/>
        </w:rPr>
      </w:pPr>
      <w:r>
        <w:rPr>
          <w:rFonts w:hint="eastAsia"/>
          <w:color w:val="auto"/>
          <w:sz w:val="32"/>
          <w:szCs w:val="32"/>
        </w:rPr>
        <w:t>一、项目编号：ZZCG202</w:t>
      </w:r>
      <w:r>
        <w:rPr>
          <w:rFonts w:hint="eastAsia"/>
          <w:color w:val="auto"/>
          <w:sz w:val="32"/>
          <w:szCs w:val="32"/>
          <w:lang w:val="en-US" w:eastAsia="zh-CN"/>
        </w:rPr>
        <w:t>4J</w:t>
      </w:r>
      <w:r>
        <w:rPr>
          <w:rFonts w:hint="eastAsia"/>
          <w:color w:val="auto"/>
          <w:sz w:val="32"/>
          <w:szCs w:val="32"/>
        </w:rPr>
        <w:t>-ZJ-00</w:t>
      </w:r>
      <w:r>
        <w:rPr>
          <w:rFonts w:hint="eastAsia"/>
          <w:color w:val="auto"/>
          <w:sz w:val="32"/>
          <w:szCs w:val="32"/>
          <w:lang w:val="en-US" w:eastAsia="zh-CN"/>
        </w:rPr>
        <w:t>4</w:t>
      </w:r>
    </w:p>
    <w:p>
      <w:pPr>
        <w:pStyle w:val="3"/>
        <w:bidi w:val="0"/>
        <w:rPr>
          <w:color w:val="auto"/>
          <w:sz w:val="32"/>
          <w:szCs w:val="32"/>
        </w:rPr>
      </w:pPr>
      <w:r>
        <w:rPr>
          <w:rFonts w:hint="eastAsia"/>
          <w:color w:val="auto"/>
          <w:sz w:val="32"/>
          <w:szCs w:val="32"/>
        </w:rPr>
        <w:t>二、公告期限：5个工作日</w:t>
      </w:r>
    </w:p>
    <w:p>
      <w:pPr>
        <w:pStyle w:val="3"/>
        <w:bidi w:val="0"/>
        <w:outlineLvl w:val="9"/>
        <w:rPr>
          <w:rFonts w:hint="eastAsia"/>
          <w:color w:val="auto"/>
          <w:sz w:val="32"/>
          <w:szCs w:val="32"/>
        </w:rPr>
        <w:sectPr>
          <w:headerReference r:id="rId5" w:type="default"/>
          <w:footerReference r:id="rId6" w:type="default"/>
          <w:pgSz w:w="11906" w:h="16838"/>
          <w:pgMar w:top="1558" w:right="1531" w:bottom="468" w:left="1531" w:header="851" w:footer="851" w:gutter="0"/>
          <w:pgNumType w:fmt="decimal" w:chapStyle="1" w:chapSep="colon"/>
          <w:cols w:space="720" w:num="1"/>
        </w:sectPr>
      </w:pPr>
    </w:p>
    <w:p>
      <w:pPr>
        <w:pStyle w:val="3"/>
        <w:bidi w:val="0"/>
        <w:rPr>
          <w:rFonts w:hint="eastAsia"/>
          <w:color w:val="auto"/>
          <w:lang w:eastAsia="zh-CN"/>
        </w:rPr>
      </w:pPr>
      <w:r>
        <w:rPr>
          <w:rFonts w:hint="eastAsia"/>
          <w:color w:val="auto"/>
        </w:rPr>
        <w:t>三、采购项目内容、数量及限价</w:t>
      </w:r>
      <w:r>
        <w:rPr>
          <w:rFonts w:hint="eastAsia"/>
          <w:color w:val="auto"/>
          <w:lang w:eastAsia="zh-CN"/>
        </w:rPr>
        <w:t>：</w:t>
      </w:r>
    </w:p>
    <w:tbl>
      <w:tblPr>
        <w:tblStyle w:val="18"/>
        <w:tblW w:w="5000" w:type="pct"/>
        <w:jc w:val="center"/>
        <w:tblLayout w:type="autofit"/>
        <w:tblCellMar>
          <w:top w:w="0" w:type="dxa"/>
          <w:left w:w="108" w:type="dxa"/>
          <w:bottom w:w="0" w:type="dxa"/>
          <w:right w:w="108" w:type="dxa"/>
        </w:tblCellMar>
      </w:tblPr>
      <w:tblGrid>
        <w:gridCol w:w="1014"/>
        <w:gridCol w:w="1788"/>
        <w:gridCol w:w="1246"/>
        <w:gridCol w:w="1049"/>
        <w:gridCol w:w="1020"/>
        <w:gridCol w:w="966"/>
        <w:gridCol w:w="1744"/>
        <w:gridCol w:w="1110"/>
        <w:gridCol w:w="4006"/>
        <w:gridCol w:w="1085"/>
      </w:tblGrid>
      <w:tr>
        <w:tblPrEx>
          <w:tblCellMar>
            <w:top w:w="0" w:type="dxa"/>
            <w:left w:w="108" w:type="dxa"/>
            <w:bottom w:w="0" w:type="dxa"/>
            <w:right w:w="108" w:type="dxa"/>
          </w:tblCellMar>
        </w:tblPrEx>
        <w:trPr>
          <w:trHeight w:val="60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eastAsia="宋体"/>
                <w:sz w:val="24"/>
                <w:szCs w:val="20"/>
                <w:lang w:eastAsia="zh-CN"/>
              </w:rPr>
            </w:pPr>
            <w:r>
              <w:rPr>
                <w:rFonts w:hint="eastAsia"/>
                <w:sz w:val="24"/>
                <w:szCs w:val="20"/>
                <w:lang w:val="en-US" w:eastAsia="zh-CN"/>
              </w:rPr>
              <w:t>采购包</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CPU型号</w:t>
            </w:r>
          </w:p>
        </w:tc>
        <w:tc>
          <w:tcPr>
            <w:tcW w:w="7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类别</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主板内存槽数量</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硬盘插槽数量</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主板存储接口</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支持GPU数</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其  他</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最高限价</w:t>
            </w:r>
          </w:p>
        </w:tc>
      </w:tr>
      <w:tr>
        <w:tblPrEx>
          <w:tblCellMar>
            <w:top w:w="0" w:type="dxa"/>
            <w:left w:w="108" w:type="dxa"/>
            <w:bottom w:w="0" w:type="dxa"/>
            <w:right w:w="108" w:type="dxa"/>
          </w:tblCellMar>
        </w:tblPrEx>
        <w:trPr>
          <w:trHeight w:val="60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海光C86-4G</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30000</w:t>
            </w:r>
          </w:p>
        </w:tc>
      </w:tr>
      <w:tr>
        <w:tblPrEx>
          <w:tblCellMar>
            <w:top w:w="0" w:type="dxa"/>
            <w:left w:w="108" w:type="dxa"/>
            <w:bottom w:w="0" w:type="dxa"/>
            <w:right w:w="108" w:type="dxa"/>
          </w:tblCellMar>
        </w:tblPrEx>
        <w:trPr>
          <w:trHeight w:val="60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海光C86-4G</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插槽≥24个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≥2个</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35000</w:t>
            </w:r>
          </w:p>
        </w:tc>
      </w:tr>
      <w:tr>
        <w:tblPrEx>
          <w:tblCellMar>
            <w:top w:w="0" w:type="dxa"/>
            <w:left w:w="108" w:type="dxa"/>
            <w:bottom w:w="0" w:type="dxa"/>
            <w:right w:w="108" w:type="dxa"/>
          </w:tblCellMar>
        </w:tblPrEx>
        <w:trPr>
          <w:trHeight w:val="60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海光C86-3G</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插槽≥24个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30000</w:t>
            </w:r>
          </w:p>
        </w:tc>
      </w:tr>
      <w:tr>
        <w:tblPrEx>
          <w:tblCellMar>
            <w:top w:w="0" w:type="dxa"/>
            <w:left w:w="108" w:type="dxa"/>
            <w:bottom w:w="0" w:type="dxa"/>
            <w:right w:w="108" w:type="dxa"/>
          </w:tblCellMar>
        </w:tblPrEx>
        <w:trPr>
          <w:trHeight w:val="60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海光C86-3G</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插槽≥24个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≥2个</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35000</w:t>
            </w:r>
          </w:p>
        </w:tc>
      </w:tr>
      <w:tr>
        <w:tblPrEx>
          <w:tblCellMar>
            <w:top w:w="0" w:type="dxa"/>
            <w:left w:w="108" w:type="dxa"/>
            <w:bottom w:w="0" w:type="dxa"/>
            <w:right w:w="108" w:type="dxa"/>
          </w:tblCellMar>
        </w:tblPrEx>
        <w:trPr>
          <w:trHeight w:val="60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海光C86-3G</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22000</w:t>
            </w:r>
          </w:p>
        </w:tc>
      </w:tr>
      <w:tr>
        <w:tblPrEx>
          <w:tblCellMar>
            <w:top w:w="0" w:type="dxa"/>
            <w:left w:w="108" w:type="dxa"/>
            <w:bottom w:w="0" w:type="dxa"/>
            <w:right w:w="108" w:type="dxa"/>
          </w:tblCellMar>
        </w:tblPrEx>
        <w:trPr>
          <w:trHeight w:val="60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海光C86-3G</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支持SAS、SATA接口</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≥1个</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25000</w:t>
            </w:r>
          </w:p>
        </w:tc>
      </w:tr>
      <w:tr>
        <w:tblPrEx>
          <w:tblCellMar>
            <w:top w:w="0" w:type="dxa"/>
            <w:left w:w="108" w:type="dxa"/>
            <w:bottom w:w="0" w:type="dxa"/>
            <w:right w:w="108" w:type="dxa"/>
          </w:tblCellMar>
        </w:tblPrEx>
        <w:trPr>
          <w:trHeight w:val="60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海光C86-3G</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≥4个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20000</w:t>
            </w:r>
          </w:p>
        </w:tc>
      </w:tr>
      <w:tr>
        <w:tblPrEx>
          <w:tblCellMar>
            <w:top w:w="0" w:type="dxa"/>
            <w:left w:w="108" w:type="dxa"/>
            <w:bottom w:w="0" w:type="dxa"/>
            <w:right w:w="108" w:type="dxa"/>
          </w:tblCellMar>
        </w:tblPrEx>
        <w:trPr>
          <w:trHeight w:val="60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海光C86-3G</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支持SAS、SATA接口</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20000</w:t>
            </w:r>
          </w:p>
        </w:tc>
      </w:tr>
      <w:tr>
        <w:tblPrEx>
          <w:tblCellMar>
            <w:top w:w="0" w:type="dxa"/>
            <w:left w:w="108" w:type="dxa"/>
            <w:bottom w:w="0" w:type="dxa"/>
            <w:right w:w="108" w:type="dxa"/>
          </w:tblCellMar>
        </w:tblPrEx>
        <w:trPr>
          <w:trHeight w:val="60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9</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海光C86-3G</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机架式4U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兆芯 KH-40000/16</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≥2个</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兆芯 KH-40000/32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插槽≥32个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≥4个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≥2个</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兆芯 KH-40000/32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插槽≥32个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支持SAS、SATA接口</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≥2个</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兆芯 KH-40000/32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插槽≥32个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≥4个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兆芯 KH-40000/32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插槽≥32个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兆芯 KH-40000/32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机架式4U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插槽≥32个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≥2个</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兆芯 KH-40000/32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鲲鹏920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插槽≥8个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≥12个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支持冗余电源、4个千兆网口、支持RAID（0，1，5，6）、硬盘热插拔、支持远程管理模块、阵列卡支持带保护的高速缓存，含导轨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鲲鹏920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支持冗余电源、4个千兆网口、支持RAID（0，1，5，6）、硬盘热插拔、支持远程管理模块、阵列卡支持带保护的高速缓存，含导轨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19</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鲲鹏920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≥12个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≥2个</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支持冗余电源、4个千兆网口、支持RAID（0，1，5，6）、硬盘热插拔、支持远程管理模块、阵列卡支持带保护的高速缓存，含导轨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鲲鹏920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≥20个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支持冗余电源、4个千兆网口、支持RAID（0，1，5，6）、硬盘热插拔、支持远程管理模块、阵列卡支持带保护的高速缓存，含导轨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鲲鹏920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插槽≥32个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≥12个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支持冗余电源、4个千兆网口、支持RAID（0，1，5，6）、硬盘热插拔、支持远程管理模块、阵列卡支持带保护的高速缓存，含导轨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鲲鹏920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插槽≥32个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≥25个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≥2个</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支持冗余电源、4个千兆网口、支持RAID（0，1，5，6）、硬盘热插拔、支持远程管理模块、阵列卡支持带保护的高速缓存，含导轨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鲲鹏920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4路CPU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≥12个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支持冗余电源、4个千兆网口、支持RAID（0，1，5，6）、硬盘热插拔、支持远程管理模块、阵列卡支持带保护的高速缓存，含导轨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鲲鹏920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机架式4U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≥25个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支持冗余电源、4个千兆网口、支持RAID（0，1，5，6）、硬盘热插拔、支持远程管理模块、阵列卡支持带保护的高速缓存，含导轨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鲲鹏920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机架式4U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≥36个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支持冗余电源、4个千兆网口、支持RAID（0，1，5，6）、硬盘热插拔、支持远程管理模块、阵列卡支持带保护的高速缓存，含导轨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飞腾FT-2000+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单路CPU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插槽≥8个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飞腾FT-2000+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单路CPU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插槽≥8个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≥12个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≥2个</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飞腾FT-2000+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机架式4U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单路CPU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插槽≥8个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≥12个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≥2个</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飞腾腾云S5000C</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≥2个</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飞腾腾云S5000C</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4路CPU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≥24个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50000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飞腾腾云S5000C</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飞腾腾云S5000C</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支持SAS、SATA接口</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飞腾腾云S5000C</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机架式4U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龙芯</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插槽≥8个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龙芯</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插槽≥8个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≥2个</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龙芯</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插槽≥8个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≥12个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支持SAS、SATA接口</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≥2个</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龙芯</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插槽≥8个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≥12个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龙芯</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机架式4U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插槽≥8个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39</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龙芯</w:t>
            </w:r>
          </w:p>
        </w:tc>
        <w:tc>
          <w:tcPr>
            <w:tcW w:w="412"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机架式4U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插槽≥8个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≥2个</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40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龙芯</w:t>
            </w:r>
          </w:p>
        </w:tc>
        <w:tc>
          <w:tcPr>
            <w:tcW w:w="412"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插槽≥8个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Calibri" w:hAnsi="Calibri" w:eastAsia="宋体" w:cs="Times New Roman"/>
                <w:color w:val="auto"/>
                <w:kern w:val="2"/>
                <w:sz w:val="24"/>
                <w:szCs w:val="20"/>
                <w:highlight w:val="none"/>
                <w:lang w:val="en-US" w:eastAsia="zh-CN" w:bidi="ar-SA"/>
              </w:rPr>
            </w:pPr>
            <w:r>
              <w:rPr>
                <w:rFonts w:hint="eastAsia"/>
                <w:color w:val="auto"/>
                <w:sz w:val="24"/>
                <w:szCs w:val="20"/>
                <w:highlight w:val="none"/>
                <w:lang w:eastAsia="zh-CN"/>
              </w:rPr>
              <w:t>4</w:t>
            </w:r>
            <w:r>
              <w:rPr>
                <w:rFonts w:hint="eastAsia"/>
                <w:color w:val="auto"/>
                <w:sz w:val="24"/>
                <w:szCs w:val="20"/>
                <w:highlight w:val="none"/>
                <w:lang w:val="en-US" w:eastAsia="zh-CN"/>
              </w:rPr>
              <w:t>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申威</w:t>
            </w:r>
          </w:p>
        </w:tc>
        <w:tc>
          <w:tcPr>
            <w:tcW w:w="412"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支持SAS、SATA接口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w:t>
            </w:r>
            <w:r>
              <w:rPr>
                <w:rFonts w:hint="eastAsia"/>
                <w:color w:val="auto"/>
                <w:sz w:val="24"/>
                <w:szCs w:val="20"/>
                <w:highlight w:val="none"/>
                <w:lang w:val="en-US" w:eastAsia="zh-CN"/>
              </w:rPr>
              <w:t>2</w:t>
            </w:r>
            <w:r>
              <w:rPr>
                <w:rFonts w:hint="eastAsia"/>
                <w:color w:val="auto"/>
                <w:sz w:val="24"/>
                <w:szCs w:val="20"/>
                <w:highlight w:val="none"/>
              </w:rPr>
              <w:t>个</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20000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Calibri" w:hAnsi="Calibri" w:eastAsia="宋体" w:cs="Times New Roman"/>
                <w:color w:val="auto"/>
                <w:kern w:val="2"/>
                <w:sz w:val="24"/>
                <w:szCs w:val="20"/>
                <w:highlight w:val="none"/>
                <w:lang w:val="en-US" w:eastAsia="zh-CN" w:bidi="ar-SA"/>
              </w:rPr>
            </w:pPr>
            <w:r>
              <w:rPr>
                <w:rFonts w:hint="eastAsia" w:cs="Times New Roman"/>
                <w:color w:val="auto"/>
                <w:kern w:val="2"/>
                <w:sz w:val="24"/>
                <w:szCs w:val="20"/>
                <w:highlight w:val="none"/>
                <w:lang w:val="en-US" w:eastAsia="zh-CN" w:bidi="ar-SA"/>
              </w:rPr>
              <w:t>42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申威</w:t>
            </w:r>
          </w:p>
        </w:tc>
        <w:tc>
          <w:tcPr>
            <w:tcW w:w="412"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≥12个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支持SAS、SATA接口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w:t>
            </w:r>
            <w:r>
              <w:rPr>
                <w:rFonts w:hint="eastAsia"/>
                <w:color w:val="auto"/>
                <w:sz w:val="24"/>
                <w:szCs w:val="20"/>
                <w:highlight w:val="none"/>
                <w:lang w:val="en-US" w:eastAsia="zh-CN"/>
              </w:rPr>
              <w:t>2</w:t>
            </w:r>
            <w:r>
              <w:rPr>
                <w:rFonts w:hint="eastAsia"/>
                <w:color w:val="auto"/>
                <w:sz w:val="24"/>
                <w:szCs w:val="20"/>
                <w:highlight w:val="none"/>
              </w:rPr>
              <w:t>个</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25000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Calibri" w:hAnsi="Calibri" w:eastAsia="宋体" w:cs="Times New Roman"/>
                <w:color w:val="auto"/>
                <w:kern w:val="2"/>
                <w:sz w:val="24"/>
                <w:szCs w:val="20"/>
                <w:highlight w:val="none"/>
                <w:lang w:val="en-US" w:eastAsia="zh-CN" w:bidi="ar-SA"/>
              </w:rPr>
            </w:pPr>
            <w:r>
              <w:rPr>
                <w:rFonts w:hint="eastAsia" w:cs="Times New Roman"/>
                <w:color w:val="auto"/>
                <w:kern w:val="2"/>
                <w:sz w:val="24"/>
                <w:szCs w:val="20"/>
                <w:highlight w:val="none"/>
                <w:lang w:val="en-US" w:eastAsia="zh-CN" w:bidi="ar-SA"/>
              </w:rPr>
              <w:t>43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申威</w:t>
            </w:r>
          </w:p>
        </w:tc>
        <w:tc>
          <w:tcPr>
            <w:tcW w:w="412"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≥12个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w:t>
            </w:r>
            <w:r>
              <w:rPr>
                <w:rFonts w:hint="eastAsia"/>
                <w:color w:val="auto"/>
                <w:sz w:val="24"/>
                <w:szCs w:val="20"/>
                <w:highlight w:val="none"/>
                <w:lang w:val="en-US" w:eastAsia="zh-CN"/>
              </w:rPr>
              <w:t>2</w:t>
            </w:r>
            <w:r>
              <w:rPr>
                <w:rFonts w:hint="eastAsia"/>
                <w:color w:val="auto"/>
                <w:sz w:val="24"/>
                <w:szCs w:val="20"/>
                <w:highlight w:val="none"/>
              </w:rPr>
              <w:t>个</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35000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Calibri" w:hAnsi="Calibri" w:eastAsia="宋体" w:cs="Times New Roman"/>
                <w:color w:val="auto"/>
                <w:kern w:val="2"/>
                <w:sz w:val="24"/>
                <w:szCs w:val="20"/>
                <w:highlight w:val="none"/>
                <w:lang w:val="en-US" w:eastAsia="zh-CN" w:bidi="ar-SA"/>
              </w:rPr>
            </w:pPr>
            <w:r>
              <w:rPr>
                <w:rFonts w:hint="eastAsia" w:cs="Times New Roman"/>
                <w:color w:val="auto"/>
                <w:kern w:val="2"/>
                <w:sz w:val="24"/>
                <w:szCs w:val="20"/>
                <w:highlight w:val="none"/>
                <w:lang w:val="en-US" w:eastAsia="zh-CN" w:bidi="ar-SA"/>
              </w:rPr>
              <w:t>44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申威</w:t>
            </w:r>
          </w:p>
        </w:tc>
        <w:tc>
          <w:tcPr>
            <w:tcW w:w="412"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≥25个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w:t>
            </w:r>
            <w:r>
              <w:rPr>
                <w:rFonts w:hint="eastAsia"/>
                <w:color w:val="auto"/>
                <w:sz w:val="24"/>
                <w:szCs w:val="20"/>
                <w:highlight w:val="none"/>
                <w:lang w:val="en-US" w:eastAsia="zh-CN"/>
              </w:rPr>
              <w:t>2</w:t>
            </w:r>
            <w:r>
              <w:rPr>
                <w:rFonts w:hint="eastAsia"/>
                <w:color w:val="auto"/>
                <w:sz w:val="24"/>
                <w:szCs w:val="20"/>
                <w:highlight w:val="none"/>
              </w:rPr>
              <w:t>个</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40000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eastAsia="宋体"/>
                <w:sz w:val="24"/>
                <w:szCs w:val="20"/>
                <w:lang w:val="en-US" w:eastAsia="zh-CN"/>
              </w:rPr>
            </w:pPr>
            <w:r>
              <w:rPr>
                <w:rFonts w:hint="eastAsia"/>
                <w:sz w:val="24"/>
                <w:szCs w:val="20"/>
                <w:lang w:val="en-US" w:eastAsia="zh-CN"/>
              </w:rPr>
              <w:t>45</w:t>
            </w:r>
          </w:p>
        </w:tc>
        <w:tc>
          <w:tcPr>
            <w:tcW w:w="59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X86架构</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刀片服务器</w:t>
            </w:r>
          </w:p>
        </w:tc>
        <w:tc>
          <w:tcPr>
            <w:tcW w:w="344"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eastAsia="仿宋"/>
                <w:sz w:val="24"/>
                <w:szCs w:val="20"/>
                <w:lang w:eastAsia="zh-CN"/>
              </w:rPr>
              <w:t>≥3个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eastAsia="宋体"/>
                <w:sz w:val="24"/>
                <w:szCs w:val="20"/>
                <w:lang w:val="en-US" w:eastAsia="zh-CN"/>
              </w:rPr>
            </w:pPr>
            <w:r>
              <w:rPr>
                <w:rFonts w:hint="eastAsia"/>
                <w:sz w:val="24"/>
                <w:szCs w:val="20"/>
              </w:rPr>
              <w:t>支持冗余电源、2个千兆网口、支持RAID（0，1，5，6）、硬盘热插拔、支持远程管理模块、阵列卡支持带保护的高速缓存，含导轨</w:t>
            </w:r>
            <w:r>
              <w:rPr>
                <w:rFonts w:hint="eastAsia"/>
                <w:sz w:val="24"/>
                <w:szCs w:val="20"/>
                <w:lang w:eastAsia="zh-CN"/>
              </w:rPr>
              <w:t>、</w:t>
            </w:r>
            <w:r>
              <w:rPr>
                <w:rFonts w:hint="eastAsia"/>
                <w:sz w:val="24"/>
                <w:szCs w:val="20"/>
                <w:lang w:val="en-US" w:eastAsia="zh-CN"/>
              </w:rPr>
              <w:t>刀片</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eastAsia="宋体"/>
                <w:sz w:val="24"/>
                <w:szCs w:val="20"/>
                <w:lang w:val="en-US" w:eastAsia="zh-CN"/>
              </w:rPr>
            </w:pPr>
            <w:r>
              <w:rPr>
                <w:rFonts w:hint="eastAsia"/>
                <w:sz w:val="24"/>
                <w:szCs w:val="20"/>
                <w:lang w:val="en-US" w:eastAsia="zh-CN"/>
              </w:rPr>
              <w:t>46</w:t>
            </w:r>
          </w:p>
        </w:tc>
        <w:tc>
          <w:tcPr>
            <w:tcW w:w="59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X86架构</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刀片服务器</w:t>
            </w:r>
          </w:p>
        </w:tc>
        <w:tc>
          <w:tcPr>
            <w:tcW w:w="344"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4路CPU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eastAsia="仿宋"/>
                <w:sz w:val="24"/>
                <w:szCs w:val="20"/>
                <w:lang w:eastAsia="zh-CN"/>
              </w:rPr>
              <w:t>≥5个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eastAsia="宋体"/>
                <w:sz w:val="24"/>
                <w:szCs w:val="20"/>
                <w:lang w:val="en-US" w:eastAsia="zh-CN"/>
              </w:rPr>
            </w:pPr>
            <w:r>
              <w:rPr>
                <w:rFonts w:hint="eastAsia"/>
                <w:sz w:val="24"/>
                <w:szCs w:val="20"/>
              </w:rPr>
              <w:t>支持冗余电源、2个千兆网口、支持RAID（0，1，5，6）、硬盘热插拔、支持远程管理模块、阵列卡支持带保护的高速缓存，含导轨</w:t>
            </w:r>
            <w:r>
              <w:rPr>
                <w:rFonts w:hint="eastAsia"/>
                <w:sz w:val="24"/>
                <w:szCs w:val="20"/>
                <w:lang w:eastAsia="zh-CN"/>
              </w:rPr>
              <w:t>、</w:t>
            </w:r>
            <w:r>
              <w:rPr>
                <w:rFonts w:hint="eastAsia"/>
                <w:sz w:val="24"/>
                <w:szCs w:val="20"/>
                <w:lang w:val="en-US" w:eastAsia="zh-CN"/>
              </w:rPr>
              <w:t>刀片</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40000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eastAsia="宋体"/>
                <w:sz w:val="24"/>
                <w:szCs w:val="20"/>
                <w:lang w:val="en-US" w:eastAsia="zh-CN"/>
              </w:rPr>
            </w:pPr>
            <w:r>
              <w:rPr>
                <w:rFonts w:hint="eastAsia"/>
                <w:sz w:val="24"/>
                <w:szCs w:val="20"/>
                <w:lang w:val="en-US" w:eastAsia="zh-CN"/>
              </w:rPr>
              <w:t>47</w:t>
            </w:r>
          </w:p>
        </w:tc>
        <w:tc>
          <w:tcPr>
            <w:tcW w:w="59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X86架构</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高密</w:t>
            </w:r>
          </w:p>
        </w:tc>
        <w:tc>
          <w:tcPr>
            <w:tcW w:w="344"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eastAsia="仿宋"/>
                <w:sz w:val="24"/>
                <w:szCs w:val="20"/>
                <w:lang w:eastAsia="zh-CN"/>
              </w:rPr>
              <w:t>≥2个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eastAsia="宋体"/>
                <w:sz w:val="24"/>
                <w:szCs w:val="20"/>
                <w:lang w:val="en-US" w:eastAsia="zh-CN"/>
              </w:rPr>
            </w:pPr>
            <w:r>
              <w:rPr>
                <w:rFonts w:hint="eastAsia"/>
                <w:sz w:val="24"/>
                <w:szCs w:val="20"/>
              </w:rPr>
              <w:t>支持冗余电源、2个千兆网口、支持RAID（0，1，5，6）、硬盘热插拔、支持远程管理模块、阵列卡支持带保护的高速缓存，含导轨</w:t>
            </w:r>
            <w:r>
              <w:rPr>
                <w:rFonts w:hint="eastAsia"/>
                <w:sz w:val="24"/>
                <w:szCs w:val="20"/>
                <w:lang w:eastAsia="zh-CN"/>
              </w:rPr>
              <w:t>、</w:t>
            </w:r>
            <w:r>
              <w:rPr>
                <w:rFonts w:hint="eastAsia"/>
                <w:sz w:val="24"/>
                <w:szCs w:val="20"/>
                <w:lang w:val="en-US" w:eastAsia="zh-CN"/>
              </w:rPr>
              <w:t>高密机框</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40000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eastAsia="宋体"/>
                <w:sz w:val="24"/>
                <w:szCs w:val="20"/>
                <w:lang w:val="en-US" w:eastAsia="zh-CN"/>
              </w:rPr>
            </w:pPr>
            <w:r>
              <w:rPr>
                <w:rFonts w:hint="eastAsia"/>
                <w:sz w:val="24"/>
                <w:szCs w:val="20"/>
                <w:lang w:val="en-US" w:eastAsia="zh-CN"/>
              </w:rPr>
              <w:t>48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X86架构</w:t>
            </w:r>
          </w:p>
        </w:tc>
        <w:tc>
          <w:tcPr>
            <w:tcW w:w="412"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机架式1U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插槽≥4个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eastAsia="仿宋"/>
                <w:sz w:val="24"/>
                <w:szCs w:val="20"/>
                <w:lang w:eastAsia="zh-CN"/>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eastAsia="宋体"/>
                <w:sz w:val="24"/>
                <w:szCs w:val="20"/>
                <w:lang w:val="en-US" w:eastAsia="zh-CN"/>
              </w:rPr>
            </w:pPr>
            <w:r>
              <w:rPr>
                <w:rFonts w:hint="eastAsia"/>
                <w:sz w:val="24"/>
                <w:szCs w:val="20"/>
                <w:lang w:val="en-US" w:eastAsia="zh-CN"/>
              </w:rPr>
              <w:t>49</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X86架构</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机架式1U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eastAsia="仿宋"/>
                <w:sz w:val="24"/>
                <w:szCs w:val="20"/>
                <w:lang w:eastAsia="zh-CN"/>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eastAsia="宋体"/>
                <w:sz w:val="24"/>
                <w:szCs w:val="20"/>
                <w:lang w:val="en-US" w:eastAsia="zh-CN"/>
              </w:rPr>
            </w:pPr>
            <w:r>
              <w:rPr>
                <w:rFonts w:hint="eastAsia"/>
                <w:sz w:val="24"/>
                <w:szCs w:val="20"/>
                <w:lang w:val="en-US" w:eastAsia="zh-CN"/>
              </w:rPr>
              <w:t>50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X86架构</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机架式1U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插槽≥24个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eastAsia="仿宋"/>
                <w:sz w:val="24"/>
                <w:szCs w:val="20"/>
                <w:lang w:eastAsia="zh-CN"/>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eastAsia="宋体"/>
                <w:sz w:val="24"/>
                <w:szCs w:val="20"/>
                <w:lang w:val="en-US" w:eastAsia="zh-CN"/>
              </w:rPr>
            </w:pPr>
            <w:r>
              <w:rPr>
                <w:rFonts w:hint="eastAsia"/>
                <w:sz w:val="24"/>
                <w:szCs w:val="20"/>
                <w:lang w:val="en-US" w:eastAsia="zh-CN"/>
              </w:rPr>
              <w:t>51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X86架构</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插槽≥12个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eastAsia="仿宋"/>
                <w:sz w:val="24"/>
                <w:szCs w:val="20"/>
                <w:lang w:eastAsia="zh-CN"/>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≥4个</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eastAsia="宋体"/>
                <w:sz w:val="24"/>
                <w:szCs w:val="20"/>
                <w:lang w:val="en-US" w:eastAsia="zh-CN"/>
              </w:rPr>
            </w:pPr>
            <w:r>
              <w:rPr>
                <w:rFonts w:hint="eastAsia"/>
                <w:sz w:val="24"/>
                <w:szCs w:val="20"/>
                <w:lang w:val="en-US" w:eastAsia="zh-CN"/>
              </w:rPr>
              <w:t>52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X86架构</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插槽≥12个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eastAsia="仿宋"/>
                <w:sz w:val="24"/>
                <w:szCs w:val="20"/>
                <w:lang w:eastAsia="zh-CN"/>
              </w:rPr>
              <w:t>≥3个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eastAsia="宋体"/>
                <w:sz w:val="24"/>
                <w:szCs w:val="20"/>
                <w:lang w:val="en-US" w:eastAsia="zh-CN"/>
              </w:rPr>
            </w:pPr>
            <w:r>
              <w:rPr>
                <w:rFonts w:hint="eastAsia"/>
                <w:sz w:val="24"/>
                <w:szCs w:val="20"/>
                <w:lang w:val="en-US" w:eastAsia="zh-CN"/>
              </w:rPr>
              <w:t>53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X86架构</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插槽≥24个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eastAsia="仿宋"/>
                <w:sz w:val="24"/>
                <w:szCs w:val="20"/>
                <w:lang w:eastAsia="zh-CN"/>
              </w:rPr>
              <w:t>≥5个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≥4个</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eastAsia="宋体"/>
                <w:sz w:val="24"/>
                <w:szCs w:val="20"/>
                <w:lang w:val="en-US" w:eastAsia="zh-CN"/>
              </w:rPr>
            </w:pPr>
            <w:r>
              <w:rPr>
                <w:rFonts w:hint="eastAsia"/>
                <w:sz w:val="24"/>
                <w:szCs w:val="20"/>
                <w:lang w:val="en-US" w:eastAsia="zh-CN"/>
              </w:rPr>
              <w:t>54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X86架构</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机架式4U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插槽≥32个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eastAsia="仿宋"/>
                <w:sz w:val="24"/>
                <w:szCs w:val="20"/>
                <w:lang w:eastAsia="zh-CN"/>
              </w:rPr>
              <w:t>≥2个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≥4个</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50000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eastAsia="宋体"/>
                <w:sz w:val="24"/>
                <w:szCs w:val="20"/>
                <w:lang w:val="en-US" w:eastAsia="zh-CN"/>
              </w:rPr>
            </w:pPr>
            <w:r>
              <w:rPr>
                <w:rFonts w:hint="eastAsia"/>
                <w:sz w:val="24"/>
                <w:szCs w:val="20"/>
                <w:lang w:val="en-US" w:eastAsia="zh-CN"/>
              </w:rPr>
              <w:t>55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X86架构</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GPU服务器</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插槽≥24个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eastAsia="仿宋"/>
                <w:sz w:val="24"/>
                <w:szCs w:val="20"/>
                <w:lang w:eastAsia="zh-CN"/>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≥4个</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40000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eastAsia="宋体"/>
                <w:sz w:val="24"/>
                <w:szCs w:val="20"/>
                <w:lang w:val="en-US" w:eastAsia="zh-CN"/>
              </w:rPr>
            </w:pPr>
            <w:r>
              <w:rPr>
                <w:rFonts w:hint="eastAsia"/>
                <w:sz w:val="24"/>
                <w:szCs w:val="20"/>
              </w:rPr>
              <w:t>5</w:t>
            </w:r>
            <w:r>
              <w:rPr>
                <w:rFonts w:hint="eastAsia"/>
                <w:sz w:val="24"/>
                <w:szCs w:val="20"/>
                <w:lang w:val="en-US" w:eastAsia="zh-CN"/>
              </w:rPr>
              <w:t>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X86架构</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GPU服务器</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插槽≥24个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eastAsia="仿宋"/>
                <w:sz w:val="24"/>
                <w:szCs w:val="20"/>
                <w:lang w:eastAsia="zh-CN"/>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40000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eastAsia="宋体"/>
                <w:sz w:val="24"/>
                <w:szCs w:val="20"/>
                <w:lang w:val="en-US" w:eastAsia="zh-CN"/>
              </w:rPr>
            </w:pPr>
            <w:r>
              <w:rPr>
                <w:rFonts w:hint="eastAsia"/>
                <w:sz w:val="24"/>
                <w:szCs w:val="20"/>
              </w:rPr>
              <w:t>5</w:t>
            </w:r>
            <w:r>
              <w:rPr>
                <w:rFonts w:hint="eastAsia"/>
                <w:sz w:val="24"/>
                <w:szCs w:val="20"/>
                <w:lang w:val="en-US" w:eastAsia="zh-CN"/>
              </w:rPr>
              <w:t>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X86架构</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塔式</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插槽≥4个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eastAsia="仿宋"/>
                <w:sz w:val="24"/>
                <w:szCs w:val="20"/>
                <w:lang w:eastAsia="zh-CN"/>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eastAsia="宋体"/>
                <w:sz w:val="24"/>
                <w:szCs w:val="20"/>
                <w:lang w:val="en-US" w:eastAsia="zh-CN"/>
              </w:rPr>
            </w:pPr>
            <w:r>
              <w:rPr>
                <w:rFonts w:hint="eastAsia"/>
                <w:sz w:val="24"/>
                <w:szCs w:val="20"/>
              </w:rPr>
              <w:t>5</w:t>
            </w:r>
            <w:r>
              <w:rPr>
                <w:rFonts w:hint="eastAsia"/>
                <w:sz w:val="24"/>
                <w:szCs w:val="20"/>
                <w:lang w:val="en-US" w:eastAsia="zh-CN"/>
              </w:rPr>
              <w:t>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X86架构</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塔式</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插槽≥6个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eastAsia="仿宋"/>
                <w:sz w:val="24"/>
                <w:szCs w:val="20"/>
                <w:lang w:eastAsia="zh-CN"/>
              </w:rPr>
              <w:t>≥3个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≥4个</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20000</w:t>
            </w:r>
          </w:p>
        </w:tc>
      </w:tr>
      <w:tr>
        <w:tblPrEx>
          <w:tblCellMar>
            <w:top w:w="0" w:type="dxa"/>
            <w:left w:w="108" w:type="dxa"/>
            <w:bottom w:w="0" w:type="dxa"/>
            <w:right w:w="108" w:type="dxa"/>
          </w:tblCellMar>
        </w:tblPrEx>
        <w:trPr>
          <w:trHeight w:val="56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eastAsia="宋体"/>
                <w:sz w:val="24"/>
                <w:szCs w:val="20"/>
                <w:lang w:val="en-US" w:eastAsia="zh-CN"/>
              </w:rPr>
            </w:pPr>
            <w:r>
              <w:rPr>
                <w:rFonts w:hint="eastAsia"/>
                <w:sz w:val="24"/>
                <w:szCs w:val="20"/>
                <w:lang w:val="en-US" w:eastAsia="zh-CN"/>
              </w:rPr>
              <w:t>59</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X86架构</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塔式</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插槽≥8个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eastAsia="仿宋"/>
                <w:sz w:val="24"/>
                <w:szCs w:val="20"/>
                <w:lang w:eastAsia="zh-CN"/>
              </w:rPr>
              <w:t>≥5个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≥4个</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20000</w:t>
            </w:r>
          </w:p>
        </w:tc>
      </w:tr>
      <w:tr>
        <w:tblPrEx>
          <w:tblCellMar>
            <w:top w:w="0" w:type="dxa"/>
            <w:left w:w="108" w:type="dxa"/>
            <w:bottom w:w="0" w:type="dxa"/>
            <w:right w:w="108" w:type="dxa"/>
          </w:tblCellMar>
        </w:tblPrEx>
        <w:trPr>
          <w:trHeight w:val="573"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其他要求</w:t>
            </w:r>
          </w:p>
        </w:tc>
        <w:tc>
          <w:tcPr>
            <w:tcW w:w="466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包件中未涉及到的指标要求应当满足财库〔2023〕33号财政部工业和信息化部关于印发《通用服务器政府采购需求标准(2023年版)》中规定的其他*内容。</w:t>
            </w:r>
          </w:p>
        </w:tc>
      </w:tr>
    </w:tbl>
    <w:p>
      <w:pPr>
        <w:snapToGrid w:val="0"/>
        <w:spacing w:after="120" w:afterLines="50" w:line="500" w:lineRule="exact"/>
        <w:ind w:firstLine="562" w:firstLineChars="200"/>
        <w:rPr>
          <w:rFonts w:hint="eastAsia" w:ascii="宋体" w:hAnsi="宋体" w:cs="Arial"/>
          <w:b/>
          <w:color w:val="auto"/>
          <w:sz w:val="28"/>
          <w:szCs w:val="28"/>
        </w:rPr>
      </w:pPr>
    </w:p>
    <w:p>
      <w:pPr>
        <w:snapToGrid w:val="0"/>
        <w:spacing w:after="120" w:afterLines="50" w:line="500" w:lineRule="exact"/>
        <w:ind w:firstLine="562" w:firstLineChars="200"/>
        <w:rPr>
          <w:rFonts w:hint="eastAsia" w:ascii="宋体" w:hAnsi="宋体" w:cs="Arial"/>
          <w:b/>
          <w:color w:val="auto"/>
          <w:sz w:val="28"/>
          <w:szCs w:val="28"/>
        </w:rPr>
        <w:sectPr>
          <w:footerReference r:id="rId7" w:type="default"/>
          <w:pgSz w:w="16838" w:h="11906" w:orient="landscape"/>
          <w:pgMar w:top="1531" w:right="1558" w:bottom="1531" w:left="468" w:header="851" w:footer="851" w:gutter="0"/>
          <w:pgNumType w:fmt="decimal" w:chapStyle="1" w:chapSep="colon"/>
          <w:cols w:space="720" w:num="1"/>
        </w:sectPr>
      </w:pPr>
    </w:p>
    <w:p>
      <w:pPr>
        <w:pStyle w:val="4"/>
        <w:pageBreakBefore w:val="0"/>
        <w:kinsoku/>
        <w:overflowPunct/>
        <w:topLinePunct w:val="0"/>
        <w:autoSpaceDE/>
        <w:autoSpaceDN/>
        <w:bidi w:val="0"/>
        <w:adjustRightInd/>
        <w:ind w:firstLine="643" w:firstLineChars="200"/>
        <w:textAlignment w:val="auto"/>
        <w:rPr>
          <w:color w:val="auto"/>
          <w:sz w:val="32"/>
          <w:szCs w:val="32"/>
        </w:rPr>
      </w:pPr>
      <w:r>
        <w:rPr>
          <w:rFonts w:hint="eastAsia"/>
          <w:color w:val="auto"/>
          <w:sz w:val="32"/>
          <w:szCs w:val="32"/>
          <w:lang w:val="en-US" w:eastAsia="zh-CN"/>
        </w:rPr>
        <w:t>（一）</w:t>
      </w:r>
      <w:r>
        <w:rPr>
          <w:rFonts w:hint="eastAsia"/>
          <w:color w:val="auto"/>
          <w:sz w:val="32"/>
          <w:szCs w:val="32"/>
        </w:rPr>
        <w:t>入围比例：</w:t>
      </w:r>
    </w:p>
    <w:p>
      <w:pPr>
        <w:pageBreakBefore w:val="0"/>
        <w:widowControl/>
        <w:kinsoku/>
        <w:overflowPunct/>
        <w:topLinePunct w:val="0"/>
        <w:autoSpaceDE/>
        <w:autoSpaceDN/>
        <w:bidi w:val="0"/>
        <w:adjustRightInd/>
        <w:snapToGrid w:val="0"/>
        <w:spacing w:line="500" w:lineRule="exact"/>
        <w:ind w:firstLine="640" w:firstLineChars="200"/>
        <w:textAlignment w:val="auto"/>
        <w:rPr>
          <w:rFonts w:hint="eastAsia" w:ascii="宋体" w:hAnsi="宋体"/>
          <w:b/>
          <w:color w:val="auto"/>
          <w:kern w:val="0"/>
          <w:sz w:val="32"/>
          <w:szCs w:val="32"/>
        </w:rPr>
      </w:pPr>
      <w:r>
        <w:rPr>
          <w:rFonts w:hint="eastAsia" w:ascii="仿宋" w:hAnsi="仿宋" w:eastAsia="仿宋" w:cs="仿宋"/>
          <w:color w:val="auto"/>
          <w:kern w:val="0"/>
          <w:sz w:val="32"/>
          <w:szCs w:val="32"/>
        </w:rPr>
        <w:t>有效响应方的80%（去尾法取整数）。</w:t>
      </w:r>
    </w:p>
    <w:p>
      <w:pPr>
        <w:pStyle w:val="3"/>
        <w:pageBreakBefore w:val="0"/>
        <w:kinsoku/>
        <w:overflowPunct/>
        <w:topLinePunct w:val="0"/>
        <w:autoSpaceDE/>
        <w:autoSpaceDN/>
        <w:bidi w:val="0"/>
        <w:adjustRightInd/>
        <w:ind w:firstLine="643" w:firstLineChars="200"/>
        <w:textAlignment w:val="auto"/>
        <w:rPr>
          <w:color w:val="auto"/>
          <w:sz w:val="32"/>
          <w:szCs w:val="32"/>
        </w:rPr>
      </w:pPr>
      <w:r>
        <w:rPr>
          <w:rFonts w:hint="eastAsia"/>
          <w:color w:val="auto"/>
          <w:sz w:val="32"/>
          <w:szCs w:val="32"/>
        </w:rPr>
        <w:t>四、框架协议适用范围</w:t>
      </w:r>
    </w:p>
    <w:p>
      <w:pPr>
        <w:pageBreakBefore w:val="0"/>
        <w:widowControl/>
        <w:kinsoku/>
        <w:overflowPunct/>
        <w:topLinePunct w:val="0"/>
        <w:autoSpaceDE/>
        <w:autoSpaceDN/>
        <w:bidi w:val="0"/>
        <w:adjustRightInd/>
        <w:snapToGrid w:val="0"/>
        <w:spacing w:line="500" w:lineRule="exact"/>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cs="仿宋"/>
          <w:color w:val="auto"/>
          <w:kern w:val="0"/>
          <w:sz w:val="32"/>
          <w:szCs w:val="32"/>
          <w:lang w:eastAsia="zh-CN"/>
        </w:rPr>
        <w:t>浙江省各级预算单位。</w:t>
      </w:r>
    </w:p>
    <w:p>
      <w:pPr>
        <w:pStyle w:val="3"/>
        <w:pageBreakBefore w:val="0"/>
        <w:kinsoku/>
        <w:overflowPunct/>
        <w:topLinePunct w:val="0"/>
        <w:autoSpaceDE/>
        <w:autoSpaceDN/>
        <w:bidi w:val="0"/>
        <w:adjustRightInd/>
        <w:ind w:firstLine="643" w:firstLineChars="200"/>
        <w:textAlignment w:val="auto"/>
        <w:rPr>
          <w:color w:val="auto"/>
          <w:sz w:val="32"/>
          <w:szCs w:val="32"/>
        </w:rPr>
      </w:pPr>
      <w:r>
        <w:rPr>
          <w:rFonts w:hint="eastAsia"/>
          <w:color w:val="auto"/>
          <w:sz w:val="32"/>
          <w:szCs w:val="32"/>
        </w:rPr>
        <w:t>五、协议有效期</w:t>
      </w:r>
    </w:p>
    <w:p>
      <w:pPr>
        <w:pageBreakBefore w:val="0"/>
        <w:kinsoku/>
        <w:overflowPunct/>
        <w:topLinePunct w:val="0"/>
        <w:autoSpaceDE/>
        <w:autoSpaceDN/>
        <w:bidi w:val="0"/>
        <w:adjustRightInd/>
        <w:snapToGrid w:val="0"/>
        <w:spacing w:line="500" w:lineRule="exact"/>
        <w:ind w:firstLine="640" w:firstLineChars="200"/>
        <w:textAlignment w:val="auto"/>
        <w:rPr>
          <w:rFonts w:hint="eastAsia" w:ascii="仿宋" w:hAnsi="仿宋" w:eastAsia="仿宋" w:cs="Arial"/>
          <w:bCs/>
          <w:color w:val="auto"/>
          <w:sz w:val="32"/>
          <w:szCs w:val="32"/>
          <w:lang w:eastAsia="zh-CN"/>
        </w:rPr>
      </w:pPr>
      <w:r>
        <w:rPr>
          <w:rFonts w:hint="eastAsia" w:ascii="仿宋" w:hAnsi="仿宋" w:cs="Arial"/>
          <w:bCs/>
          <w:color w:val="auto"/>
          <w:sz w:val="32"/>
          <w:szCs w:val="32"/>
          <w:lang w:val="en-US" w:eastAsia="zh-CN"/>
        </w:rPr>
        <w:t>协议生效之日起</w:t>
      </w:r>
      <w:r>
        <w:rPr>
          <w:rFonts w:hint="eastAsia" w:ascii="仿宋" w:hAnsi="仿宋" w:eastAsia="仿宋" w:cs="Arial"/>
          <w:bCs/>
          <w:color w:val="auto"/>
          <w:sz w:val="32"/>
          <w:szCs w:val="32"/>
          <w:lang w:val="en-US" w:eastAsia="zh-CN"/>
        </w:rPr>
        <w:t>至2025年12月31日</w:t>
      </w:r>
      <w:r>
        <w:rPr>
          <w:rFonts w:hint="eastAsia" w:ascii="仿宋" w:hAnsi="仿宋" w:eastAsia="仿宋" w:cs="Arial"/>
          <w:bCs/>
          <w:color w:val="auto"/>
          <w:sz w:val="32"/>
          <w:szCs w:val="32"/>
          <w:lang w:eastAsia="zh-CN"/>
        </w:rPr>
        <w:t>。</w:t>
      </w:r>
    </w:p>
    <w:p>
      <w:pPr>
        <w:pStyle w:val="3"/>
        <w:pageBreakBefore w:val="0"/>
        <w:kinsoku/>
        <w:overflowPunct/>
        <w:topLinePunct w:val="0"/>
        <w:autoSpaceDE/>
        <w:autoSpaceDN/>
        <w:bidi w:val="0"/>
        <w:adjustRightInd/>
        <w:ind w:firstLine="643" w:firstLineChars="200"/>
        <w:textAlignment w:val="auto"/>
        <w:rPr>
          <w:color w:val="auto"/>
          <w:sz w:val="32"/>
          <w:szCs w:val="32"/>
        </w:rPr>
      </w:pPr>
      <w:r>
        <w:rPr>
          <w:rFonts w:hint="eastAsia"/>
          <w:color w:val="auto"/>
          <w:sz w:val="32"/>
          <w:szCs w:val="32"/>
        </w:rPr>
        <w:t>六、合格响应方的资格要求</w:t>
      </w:r>
    </w:p>
    <w:p>
      <w:pPr>
        <w:pStyle w:val="4"/>
        <w:keepNext/>
        <w:keepLines/>
        <w:pageBreakBefore w:val="0"/>
        <w:widowControl w:val="0"/>
        <w:numPr>
          <w:ilvl w:val="0"/>
          <w:numId w:val="2"/>
        </w:numPr>
        <w:kinsoku/>
        <w:wordWrap w:val="0"/>
        <w:overflowPunct/>
        <w:topLinePunct w:val="0"/>
        <w:autoSpaceDE/>
        <w:autoSpaceDN/>
        <w:bidi w:val="0"/>
        <w:adjustRightInd/>
        <w:snapToGrid/>
        <w:ind w:firstLine="643"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符合《中华人民共和国政府采购法》第二十二条和浙财采监【2013】24号《关于规范政府采购供应商资格设定及资格审查的通知》第六条规定</w:t>
      </w:r>
      <w:r>
        <w:rPr>
          <w:rFonts w:hint="eastAsia" w:ascii="仿宋" w:hAnsi="仿宋" w:cs="仿宋"/>
          <w:color w:val="auto"/>
          <w:sz w:val="32"/>
          <w:szCs w:val="32"/>
          <w:lang w:eastAsia="zh-CN"/>
        </w:rPr>
        <w:t>，</w:t>
      </w:r>
      <w:r>
        <w:rPr>
          <w:rFonts w:hint="eastAsia" w:ascii="仿宋" w:hAnsi="仿宋" w:eastAsia="仿宋" w:cs="仿宋"/>
          <w:color w:val="auto"/>
          <w:sz w:val="32"/>
          <w:szCs w:val="32"/>
        </w:rPr>
        <w:t>且未被“信用中国”（www.creditchina.gov.cn）、中国政府采购网（www.ccgp.gov.cn）列入失信被执行人、重大税收违法案件当事人名单、政府采购严重违法失信行为记录名单。</w:t>
      </w:r>
    </w:p>
    <w:p>
      <w:pPr>
        <w:pStyle w:val="4"/>
        <w:keepNext/>
        <w:keepLines/>
        <w:pageBreakBefore w:val="0"/>
        <w:widowControl w:val="0"/>
        <w:numPr>
          <w:ilvl w:val="0"/>
          <w:numId w:val="3"/>
        </w:numPr>
        <w:kinsoku/>
        <w:wordWrap/>
        <w:overflowPunct/>
        <w:topLinePunct w:val="0"/>
        <w:autoSpaceDE/>
        <w:autoSpaceDN/>
        <w:bidi w:val="0"/>
        <w:adjustRightInd/>
        <w:snapToGrid/>
        <w:ind w:firstLine="643" w:firstLineChars="200"/>
        <w:textAlignment w:val="auto"/>
        <w:rPr>
          <w:rFonts w:hint="eastAsia"/>
          <w:color w:val="auto"/>
          <w:sz w:val="32"/>
          <w:szCs w:val="32"/>
        </w:rPr>
      </w:pPr>
      <w:r>
        <w:rPr>
          <w:rFonts w:hint="eastAsia"/>
          <w:color w:val="auto"/>
          <w:sz w:val="32"/>
          <w:szCs w:val="32"/>
        </w:rPr>
        <w:t>响应方的特定条件</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6"/>
          <w:lang w:val="zh-CN"/>
        </w:rPr>
      </w:pPr>
      <w:r>
        <w:rPr>
          <w:rFonts w:hint="eastAsia" w:ascii="仿宋" w:hAnsi="仿宋" w:eastAsia="仿宋" w:cs="仿宋"/>
          <w:color w:val="auto"/>
          <w:sz w:val="32"/>
          <w:szCs w:val="36"/>
        </w:rPr>
        <w:t>响应方为服务器生产厂家或其唯一授权供应商。由唯一授权供应商参与本项目响应的，须提供由生产厂家出具的针对本项目的唯一授权书【授权书内容应包含且不限于项目名称、项目编号、代理商证书、唯一授权事项</w:t>
      </w:r>
      <w:r>
        <w:rPr>
          <w:rFonts w:hint="eastAsia" w:ascii="仿宋" w:hAnsi="仿宋" w:cs="仿宋"/>
          <w:color w:val="auto"/>
          <w:sz w:val="32"/>
          <w:szCs w:val="36"/>
          <w:lang w:eastAsia="zh-CN"/>
        </w:rPr>
        <w:t>（</w:t>
      </w:r>
      <w:r>
        <w:rPr>
          <w:rFonts w:hint="eastAsia" w:ascii="仿宋" w:hAnsi="仿宋" w:eastAsia="仿宋" w:cs="仿宋"/>
          <w:color w:val="auto"/>
          <w:sz w:val="32"/>
          <w:szCs w:val="36"/>
        </w:rPr>
        <w:t>响应、签约等具体事务、签署相关文件和政采云系统网上操作等</w:t>
      </w:r>
      <w:r>
        <w:rPr>
          <w:rFonts w:hint="eastAsia" w:ascii="仿宋" w:hAnsi="仿宋" w:cs="仿宋"/>
          <w:color w:val="auto"/>
          <w:sz w:val="32"/>
          <w:szCs w:val="36"/>
          <w:lang w:eastAsia="zh-CN"/>
        </w:rPr>
        <w:t>）</w:t>
      </w:r>
      <w:r>
        <w:rPr>
          <w:rFonts w:hint="eastAsia" w:ascii="仿宋" w:hAnsi="仿宋" w:eastAsia="仿宋" w:cs="仿宋"/>
          <w:color w:val="auto"/>
          <w:sz w:val="32"/>
          <w:szCs w:val="36"/>
        </w:rPr>
        <w:t>，且必须由生产厂家加盖公司公章】。采购包1-</w:t>
      </w:r>
      <w:r>
        <w:rPr>
          <w:rFonts w:hint="eastAsia" w:ascii="仿宋" w:hAnsi="仿宋" w:cs="仿宋"/>
          <w:color w:val="auto"/>
          <w:sz w:val="32"/>
          <w:szCs w:val="36"/>
          <w:lang w:val="en-US" w:eastAsia="zh-CN"/>
        </w:rPr>
        <w:t>44</w:t>
      </w:r>
      <w:r>
        <w:rPr>
          <w:rFonts w:hint="eastAsia" w:ascii="仿宋" w:hAnsi="仿宋" w:eastAsia="仿宋" w:cs="仿宋"/>
          <w:color w:val="auto"/>
          <w:sz w:val="32"/>
          <w:szCs w:val="36"/>
        </w:rPr>
        <w:t>限生产厂家或其授权的1家供应商参加；采购包</w:t>
      </w:r>
      <w:r>
        <w:rPr>
          <w:rFonts w:hint="eastAsia" w:ascii="仿宋" w:hAnsi="仿宋" w:cs="仿宋"/>
          <w:color w:val="auto"/>
          <w:sz w:val="32"/>
          <w:szCs w:val="36"/>
          <w:lang w:val="en-US" w:eastAsia="zh-CN"/>
        </w:rPr>
        <w:t>45</w:t>
      </w:r>
      <w:r>
        <w:rPr>
          <w:rFonts w:hint="eastAsia" w:ascii="仿宋" w:hAnsi="仿宋" w:eastAsia="仿宋" w:cs="仿宋"/>
          <w:color w:val="auto"/>
          <w:sz w:val="32"/>
          <w:szCs w:val="36"/>
        </w:rPr>
        <w:t>-</w:t>
      </w:r>
      <w:r>
        <w:rPr>
          <w:rFonts w:hint="eastAsia" w:ascii="仿宋" w:hAnsi="仿宋" w:cs="仿宋"/>
          <w:color w:val="auto"/>
          <w:sz w:val="32"/>
          <w:szCs w:val="36"/>
          <w:lang w:val="en-US" w:eastAsia="zh-CN"/>
        </w:rPr>
        <w:t>59</w:t>
      </w:r>
      <w:r>
        <w:rPr>
          <w:rFonts w:hint="eastAsia" w:ascii="仿宋" w:hAnsi="仿宋" w:eastAsia="仿宋" w:cs="仿宋"/>
          <w:color w:val="auto"/>
          <w:sz w:val="32"/>
          <w:szCs w:val="36"/>
        </w:rPr>
        <w:t>限生产厂家或其授权的1家供应商参加。</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6"/>
        </w:rPr>
      </w:pPr>
      <w:r>
        <w:rPr>
          <w:rFonts w:hint="eastAsia" w:ascii="仿宋" w:hAnsi="仿宋" w:eastAsia="仿宋" w:cs="仿宋"/>
          <w:color w:val="auto"/>
          <w:sz w:val="32"/>
          <w:szCs w:val="36"/>
        </w:rPr>
        <w:t>不</w:t>
      </w:r>
      <w:r>
        <w:rPr>
          <w:rFonts w:hint="eastAsia" w:ascii="仿宋" w:hAnsi="仿宋" w:cs="仿宋"/>
          <w:color w:val="auto"/>
          <w:sz w:val="32"/>
          <w:szCs w:val="36"/>
          <w:lang w:val="en-US" w:eastAsia="zh-CN"/>
        </w:rPr>
        <w:t>接受</w:t>
      </w:r>
      <w:r>
        <w:rPr>
          <w:rFonts w:hint="eastAsia" w:ascii="仿宋" w:hAnsi="仿宋" w:eastAsia="仿宋" w:cs="仿宋"/>
          <w:color w:val="auto"/>
          <w:sz w:val="32"/>
          <w:szCs w:val="36"/>
        </w:rPr>
        <w:t>联合体</w:t>
      </w:r>
      <w:r>
        <w:rPr>
          <w:rFonts w:hint="eastAsia" w:ascii="仿宋" w:hAnsi="仿宋" w:cs="仿宋"/>
          <w:color w:val="auto"/>
          <w:sz w:val="32"/>
          <w:szCs w:val="36"/>
          <w:lang w:val="en-US" w:eastAsia="zh-CN"/>
        </w:rPr>
        <w:t>响应</w:t>
      </w:r>
      <w:r>
        <w:rPr>
          <w:rFonts w:hint="eastAsia" w:ascii="仿宋" w:hAnsi="仿宋" w:eastAsia="仿宋" w:cs="仿宋"/>
          <w:color w:val="auto"/>
          <w:sz w:val="32"/>
          <w:szCs w:val="36"/>
        </w:rPr>
        <w:t>。</w:t>
      </w:r>
      <w:bookmarkStart w:id="7" w:name="资格条件1"/>
    </w:p>
    <w:bookmarkEnd w:id="7"/>
    <w:p>
      <w:pPr>
        <w:pStyle w:val="3"/>
        <w:keepNext/>
        <w:keepLines/>
        <w:pageBreakBefore w:val="0"/>
        <w:widowControl w:val="0"/>
        <w:numPr>
          <w:ilvl w:val="0"/>
          <w:numId w:val="5"/>
        </w:numPr>
        <w:kinsoku/>
        <w:wordWrap/>
        <w:overflowPunct/>
        <w:topLinePunct w:val="0"/>
        <w:autoSpaceDE/>
        <w:autoSpaceDN/>
        <w:bidi w:val="0"/>
        <w:adjustRightInd/>
        <w:snapToGrid/>
        <w:ind w:firstLine="643" w:firstLineChars="200"/>
        <w:textAlignment w:val="auto"/>
        <w:rPr>
          <w:rFonts w:hint="eastAsia"/>
          <w:color w:val="auto"/>
          <w:sz w:val="32"/>
          <w:szCs w:val="32"/>
        </w:rPr>
      </w:pPr>
      <w:r>
        <w:rPr>
          <w:rFonts w:hint="eastAsia"/>
          <w:color w:val="auto"/>
          <w:sz w:val="32"/>
          <w:szCs w:val="32"/>
          <w:lang w:val="zh-CN"/>
        </w:rPr>
        <w:t>获取征集文件</w:t>
      </w:r>
    </w:p>
    <w:p>
      <w:pPr>
        <w:pageBreakBefore w:val="0"/>
        <w:kinsoku/>
        <w:overflowPunct/>
        <w:topLinePunct w:val="0"/>
        <w:autoSpaceDE/>
        <w:autoSpaceDN/>
        <w:bidi w:val="0"/>
        <w:adjustRightInd/>
        <w:ind w:firstLine="640" w:firstLineChars="200"/>
        <w:textAlignment w:val="auto"/>
        <w:rPr>
          <w:rFonts w:hint="eastAsia"/>
          <w:color w:val="auto"/>
          <w:sz w:val="32"/>
          <w:szCs w:val="32"/>
        </w:rPr>
      </w:pPr>
      <w:r>
        <w:rPr>
          <w:rFonts w:hint="eastAsia"/>
          <w:color w:val="auto"/>
          <w:sz w:val="32"/>
          <w:szCs w:val="32"/>
        </w:rPr>
        <w:t>1.获取时间：</w:t>
      </w:r>
      <w:r>
        <w:rPr>
          <w:rFonts w:hint="eastAsia"/>
          <w:color w:val="auto"/>
          <w:sz w:val="32"/>
          <w:szCs w:val="32"/>
          <w:lang w:val="en-US" w:eastAsia="zh-CN"/>
        </w:rPr>
        <w:t>2024年12月21日</w:t>
      </w:r>
      <w:r>
        <w:rPr>
          <w:rFonts w:hint="eastAsia"/>
          <w:color w:val="auto"/>
          <w:sz w:val="32"/>
          <w:szCs w:val="32"/>
        </w:rPr>
        <w:t>至</w:t>
      </w:r>
      <w:r>
        <w:rPr>
          <w:rFonts w:hint="eastAsia"/>
          <w:color w:val="auto"/>
          <w:sz w:val="32"/>
          <w:szCs w:val="32"/>
          <w:lang w:val="en-US" w:eastAsia="zh-CN"/>
        </w:rPr>
        <w:t>2025年1月14日</w:t>
      </w:r>
      <w:bookmarkStart w:id="30" w:name="_GoBack"/>
      <w:bookmarkEnd w:id="30"/>
      <w:r>
        <w:rPr>
          <w:rFonts w:hint="eastAsia"/>
          <w:color w:val="auto"/>
          <w:sz w:val="32"/>
          <w:szCs w:val="32"/>
        </w:rPr>
        <w:t xml:space="preserve"> 。</w:t>
      </w:r>
    </w:p>
    <w:p>
      <w:pPr>
        <w:pageBreakBefore w:val="0"/>
        <w:kinsoku/>
        <w:overflowPunct/>
        <w:topLinePunct w:val="0"/>
        <w:autoSpaceDE/>
        <w:autoSpaceDN/>
        <w:bidi w:val="0"/>
        <w:adjustRightInd/>
        <w:ind w:firstLine="640" w:firstLineChars="200"/>
        <w:textAlignment w:val="auto"/>
        <w:rPr>
          <w:rFonts w:hint="eastAsia"/>
          <w:color w:val="auto"/>
          <w:sz w:val="32"/>
          <w:szCs w:val="32"/>
          <w:lang w:val="zh-CN"/>
        </w:rPr>
      </w:pPr>
      <w:r>
        <w:rPr>
          <w:rFonts w:hint="eastAsia"/>
          <w:color w:val="auto"/>
          <w:sz w:val="32"/>
          <w:szCs w:val="32"/>
          <w:lang w:val="zh-CN"/>
        </w:rPr>
        <w:t>2.获取方式：本项目征集文件实行网上获取。供应商登录浙江政府采购网（</w:t>
      </w:r>
      <w:r>
        <w:rPr>
          <w:rFonts w:hint="eastAsia"/>
          <w:color w:val="auto"/>
          <w:sz w:val="32"/>
          <w:szCs w:val="32"/>
        </w:rPr>
        <w:fldChar w:fldCharType="begin"/>
      </w:r>
      <w:r>
        <w:rPr>
          <w:rFonts w:hint="eastAsia"/>
          <w:color w:val="auto"/>
          <w:sz w:val="32"/>
          <w:szCs w:val="32"/>
        </w:rPr>
        <w:instrText xml:space="preserve"> HYPERLINK "http://zfcg.czt.zj.gov.cn/" </w:instrText>
      </w:r>
      <w:r>
        <w:rPr>
          <w:rFonts w:hint="eastAsia"/>
          <w:color w:val="auto"/>
          <w:sz w:val="32"/>
          <w:szCs w:val="32"/>
        </w:rPr>
        <w:fldChar w:fldCharType="separate"/>
      </w:r>
      <w:r>
        <w:rPr>
          <w:rStyle w:val="21"/>
          <w:rFonts w:hint="eastAsia" w:ascii="仿宋" w:hAnsi="仿宋" w:eastAsia="仿宋" w:cs="仿宋"/>
          <w:color w:val="auto"/>
          <w:sz w:val="32"/>
          <w:szCs w:val="32"/>
        </w:rPr>
        <w:t>http://zfcg.czt.zj.gov.cn/</w:t>
      </w:r>
      <w:r>
        <w:rPr>
          <w:rStyle w:val="21"/>
          <w:rFonts w:hint="eastAsia" w:ascii="仿宋" w:hAnsi="仿宋" w:eastAsia="仿宋" w:cs="仿宋"/>
          <w:color w:val="auto"/>
          <w:sz w:val="32"/>
          <w:szCs w:val="32"/>
        </w:rPr>
        <w:fldChar w:fldCharType="end"/>
      </w:r>
      <w:r>
        <w:rPr>
          <w:rFonts w:hint="eastAsia"/>
          <w:color w:val="auto"/>
          <w:sz w:val="32"/>
          <w:szCs w:val="32"/>
          <w:lang w:val="zh-CN"/>
        </w:rPr>
        <w:t>）进入政采云系统“项目采购”模块“获取采购文件”菜单，进行网上获取征集文件。</w:t>
      </w:r>
    </w:p>
    <w:p>
      <w:pPr>
        <w:pageBreakBefore w:val="0"/>
        <w:kinsoku/>
        <w:overflowPunct/>
        <w:topLinePunct w:val="0"/>
        <w:autoSpaceDE/>
        <w:autoSpaceDN/>
        <w:bidi w:val="0"/>
        <w:adjustRightInd/>
        <w:ind w:firstLine="640" w:firstLineChars="200"/>
        <w:textAlignment w:val="auto"/>
        <w:rPr>
          <w:rFonts w:hint="eastAsia"/>
          <w:color w:val="auto"/>
          <w:sz w:val="32"/>
          <w:szCs w:val="32"/>
          <w:lang w:val="zh-CN"/>
        </w:rPr>
      </w:pPr>
      <w:r>
        <w:rPr>
          <w:rFonts w:hint="eastAsia"/>
          <w:color w:val="auto"/>
          <w:sz w:val="32"/>
          <w:szCs w:val="32"/>
          <w:lang w:val="zh-CN"/>
        </w:rPr>
        <w:t>3.征集文件免费获取。</w:t>
      </w:r>
    </w:p>
    <w:p>
      <w:pPr>
        <w:pStyle w:val="3"/>
        <w:pageBreakBefore w:val="0"/>
        <w:kinsoku/>
        <w:overflowPunct/>
        <w:topLinePunct w:val="0"/>
        <w:autoSpaceDE/>
        <w:autoSpaceDN/>
        <w:bidi w:val="0"/>
        <w:adjustRightInd/>
        <w:ind w:firstLine="643" w:firstLineChars="200"/>
        <w:textAlignment w:val="auto"/>
        <w:rPr>
          <w:rFonts w:hint="eastAsia"/>
          <w:color w:val="auto"/>
          <w:sz w:val="32"/>
          <w:szCs w:val="32"/>
        </w:rPr>
      </w:pPr>
      <w:r>
        <w:rPr>
          <w:rFonts w:hint="eastAsia"/>
          <w:color w:val="auto"/>
          <w:sz w:val="32"/>
          <w:szCs w:val="32"/>
        </w:rPr>
        <w:t>八、保证金：本项目无需交纳保证金。</w:t>
      </w:r>
    </w:p>
    <w:p>
      <w:pPr>
        <w:pStyle w:val="3"/>
        <w:pageBreakBefore w:val="0"/>
        <w:kinsoku/>
        <w:overflowPunct/>
        <w:topLinePunct w:val="0"/>
        <w:autoSpaceDE/>
        <w:autoSpaceDN/>
        <w:bidi w:val="0"/>
        <w:adjustRightInd/>
        <w:ind w:firstLine="643" w:firstLineChars="200"/>
        <w:textAlignment w:val="auto"/>
        <w:rPr>
          <w:color w:val="auto"/>
          <w:sz w:val="32"/>
          <w:szCs w:val="32"/>
        </w:rPr>
      </w:pPr>
      <w:r>
        <w:rPr>
          <w:rFonts w:hint="eastAsia"/>
          <w:color w:val="auto"/>
          <w:sz w:val="32"/>
          <w:szCs w:val="32"/>
        </w:rPr>
        <w:t>九、响应文件提交截止时间、地点和形式</w:t>
      </w:r>
    </w:p>
    <w:p>
      <w:pPr>
        <w:pageBreakBefore w:val="0"/>
        <w:kinsoku/>
        <w:overflowPunct/>
        <w:topLinePunct w:val="0"/>
        <w:autoSpaceDE/>
        <w:autoSpaceDN/>
        <w:bidi w:val="0"/>
        <w:adjustRightInd/>
        <w:ind w:firstLine="643" w:firstLineChars="200"/>
        <w:textAlignment w:val="auto"/>
        <w:rPr>
          <w:color w:val="auto"/>
          <w:sz w:val="32"/>
          <w:szCs w:val="32"/>
        </w:rPr>
      </w:pPr>
      <w:r>
        <w:rPr>
          <w:rFonts w:hint="eastAsia"/>
          <w:b/>
          <w:bCs/>
          <w:color w:val="auto"/>
          <w:sz w:val="32"/>
          <w:szCs w:val="32"/>
        </w:rPr>
        <w:t>提交截止时间</w:t>
      </w:r>
      <w:r>
        <w:rPr>
          <w:rFonts w:hint="eastAsia"/>
          <w:color w:val="auto"/>
          <w:sz w:val="32"/>
          <w:szCs w:val="32"/>
        </w:rPr>
        <w:t>：</w:t>
      </w:r>
      <w:bookmarkStart w:id="8" w:name="PO_15528_PM015"/>
      <w:r>
        <w:rPr>
          <w:rFonts w:hint="eastAsia"/>
          <w:color w:val="auto"/>
          <w:sz w:val="32"/>
          <w:szCs w:val="32"/>
          <w:lang w:val="en-US" w:eastAsia="zh-CN"/>
        </w:rPr>
        <w:t>2025年1月14日上午09:00</w:t>
      </w:r>
      <w:bookmarkEnd w:id="8"/>
      <w:r>
        <w:rPr>
          <w:rFonts w:hint="eastAsia"/>
          <w:color w:val="auto"/>
          <w:sz w:val="32"/>
          <w:szCs w:val="32"/>
        </w:rPr>
        <w:t>。</w:t>
      </w:r>
    </w:p>
    <w:p>
      <w:pPr>
        <w:pageBreakBefore w:val="0"/>
        <w:kinsoku/>
        <w:overflowPunct/>
        <w:topLinePunct w:val="0"/>
        <w:autoSpaceDE/>
        <w:autoSpaceDN/>
        <w:bidi w:val="0"/>
        <w:adjustRightInd/>
        <w:ind w:firstLine="640" w:firstLineChars="200"/>
        <w:textAlignment w:val="auto"/>
        <w:rPr>
          <w:rFonts w:hint="eastAsia"/>
          <w:color w:val="auto"/>
          <w:sz w:val="32"/>
          <w:szCs w:val="32"/>
        </w:rPr>
      </w:pPr>
      <w:r>
        <w:rPr>
          <w:rFonts w:hint="eastAsia"/>
          <w:color w:val="auto"/>
          <w:sz w:val="32"/>
          <w:szCs w:val="32"/>
        </w:rPr>
        <w:t>本项目实行电子</w:t>
      </w:r>
      <w:r>
        <w:rPr>
          <w:rFonts w:hint="eastAsia"/>
          <w:color w:val="auto"/>
          <w:sz w:val="32"/>
          <w:szCs w:val="32"/>
          <w:lang w:eastAsia="zh-CN"/>
        </w:rPr>
        <w:t>响应</w:t>
      </w:r>
      <w:r>
        <w:rPr>
          <w:rFonts w:hint="eastAsia"/>
          <w:color w:val="auto"/>
          <w:sz w:val="32"/>
          <w:szCs w:val="32"/>
        </w:rPr>
        <w:t>。响应文件应按照本项目征集文件和电子交易平台的要求编制、加密，并应当在提交截止时间前在规定电子交易平台完成传输递交，提交截止时间后送达的响应文件，将被电子交易平台拒收。</w:t>
      </w:r>
    </w:p>
    <w:p>
      <w:pPr>
        <w:pageBreakBefore w:val="0"/>
        <w:kinsoku/>
        <w:overflowPunct/>
        <w:topLinePunct w:val="0"/>
        <w:autoSpaceDE/>
        <w:autoSpaceDN/>
        <w:bidi w:val="0"/>
        <w:adjustRightInd/>
        <w:ind w:firstLine="640" w:firstLineChars="200"/>
        <w:textAlignment w:val="auto"/>
        <w:rPr>
          <w:rFonts w:hint="eastAsia"/>
          <w:color w:val="auto"/>
          <w:sz w:val="32"/>
          <w:szCs w:val="32"/>
        </w:rPr>
      </w:pPr>
      <w:r>
        <w:rPr>
          <w:rFonts w:hint="eastAsia"/>
          <w:color w:val="auto"/>
          <w:sz w:val="32"/>
          <w:szCs w:val="32"/>
        </w:rPr>
        <w:t>如认为需要，响应方可以选择递交备份响应文件，采用数据电文形式，以U盘或DVD光盘形式存储，并在响应文件提交截止时间前，通过邮寄方式，送达指定地点，逾期送达或未密封将被拒收。</w:t>
      </w:r>
    </w:p>
    <w:p>
      <w:pPr>
        <w:pageBreakBefore w:val="0"/>
        <w:kinsoku/>
        <w:overflowPunct/>
        <w:topLinePunct w:val="0"/>
        <w:autoSpaceDE/>
        <w:autoSpaceDN/>
        <w:bidi w:val="0"/>
        <w:adjustRightInd/>
        <w:ind w:firstLine="640" w:firstLineChars="200"/>
        <w:textAlignment w:val="auto"/>
        <w:rPr>
          <w:rFonts w:hint="eastAsia"/>
          <w:color w:val="auto"/>
          <w:sz w:val="32"/>
          <w:szCs w:val="32"/>
        </w:rPr>
      </w:pPr>
      <w:r>
        <w:rPr>
          <w:rFonts w:hint="eastAsia"/>
          <w:color w:val="auto"/>
          <w:sz w:val="32"/>
          <w:szCs w:val="32"/>
        </w:rPr>
        <w:t>备份文件收件人：陶老师，联系方式：0571-88901836（仅限备份文件接收），收件地址 浙江省杭州市西湖区宝石一路3号浙江省政府采购中心。收件时间：上午8:30-11:30，下午14:30-17:30，节假日、双休日除外。（如直接递交的，递交人员需填写送件人姓名及联系电话、送达时间等相关信息；如采用邮寄方式的推荐使用中国邮政速递和顺丰快递，快递人员投递时须同时登记邮寄单号等相关信息。)</w:t>
      </w:r>
    </w:p>
    <w:p>
      <w:pPr>
        <w:pageBreakBefore w:val="0"/>
        <w:kinsoku/>
        <w:overflowPunct/>
        <w:topLinePunct w:val="0"/>
        <w:autoSpaceDE/>
        <w:autoSpaceDN/>
        <w:bidi w:val="0"/>
        <w:adjustRightInd/>
        <w:ind w:firstLine="640" w:firstLineChars="200"/>
        <w:textAlignment w:val="auto"/>
        <w:rPr>
          <w:rFonts w:hint="eastAsia"/>
          <w:color w:val="auto"/>
          <w:sz w:val="32"/>
          <w:szCs w:val="32"/>
        </w:rPr>
      </w:pPr>
      <w:r>
        <w:rPr>
          <w:rFonts w:hint="eastAsia"/>
          <w:color w:val="auto"/>
          <w:sz w:val="32"/>
          <w:szCs w:val="32"/>
        </w:rPr>
        <w:t>本项目拒绝接受纸质响应文件。</w:t>
      </w:r>
    </w:p>
    <w:p>
      <w:pPr>
        <w:pStyle w:val="3"/>
        <w:pageBreakBefore w:val="0"/>
        <w:kinsoku/>
        <w:overflowPunct/>
        <w:topLinePunct w:val="0"/>
        <w:autoSpaceDE/>
        <w:autoSpaceDN/>
        <w:bidi w:val="0"/>
        <w:adjustRightInd/>
        <w:ind w:firstLine="643" w:firstLineChars="200"/>
        <w:textAlignment w:val="auto"/>
        <w:rPr>
          <w:rFonts w:hint="eastAsia"/>
          <w:color w:val="auto"/>
          <w:sz w:val="32"/>
          <w:szCs w:val="32"/>
          <w:lang w:val="en-US" w:eastAsia="zh-CN"/>
        </w:rPr>
      </w:pPr>
      <w:r>
        <w:rPr>
          <w:rFonts w:hint="eastAsia"/>
          <w:color w:val="auto"/>
          <w:sz w:val="32"/>
          <w:szCs w:val="32"/>
          <w:lang w:val="en-US" w:eastAsia="zh-CN"/>
        </w:rPr>
        <w:t>十、开标时间及地点：</w:t>
      </w:r>
    </w:p>
    <w:p>
      <w:pPr>
        <w:pageBreakBefore w:val="0"/>
        <w:kinsoku/>
        <w:overflowPunct/>
        <w:topLinePunct w:val="0"/>
        <w:autoSpaceDE/>
        <w:autoSpaceDN/>
        <w:bidi w:val="0"/>
        <w:adjustRightInd/>
        <w:ind w:firstLine="640" w:firstLineChars="200"/>
        <w:textAlignment w:val="auto"/>
        <w:rPr>
          <w:rFonts w:hint="eastAsia"/>
          <w:color w:val="auto"/>
          <w:sz w:val="32"/>
          <w:szCs w:val="32"/>
        </w:rPr>
      </w:pPr>
      <w:r>
        <w:rPr>
          <w:rFonts w:hint="eastAsia"/>
          <w:color w:val="auto"/>
          <w:sz w:val="32"/>
          <w:szCs w:val="32"/>
        </w:rPr>
        <w:t>本次征集将于</w:t>
      </w:r>
      <w:r>
        <w:rPr>
          <w:rFonts w:hint="eastAsia"/>
          <w:color w:val="auto"/>
          <w:sz w:val="32"/>
          <w:szCs w:val="32"/>
          <w:lang w:val="en-US" w:eastAsia="zh-CN"/>
        </w:rPr>
        <w:t>2025</w:t>
      </w:r>
      <w:r>
        <w:rPr>
          <w:rFonts w:hint="eastAsia"/>
          <w:color w:val="auto"/>
          <w:sz w:val="32"/>
          <w:szCs w:val="32"/>
        </w:rPr>
        <w:t>年</w:t>
      </w:r>
      <w:r>
        <w:rPr>
          <w:rFonts w:hint="eastAsia"/>
          <w:color w:val="auto"/>
          <w:sz w:val="32"/>
          <w:szCs w:val="32"/>
          <w:lang w:val="en-US" w:eastAsia="zh-CN"/>
        </w:rPr>
        <w:t>1</w:t>
      </w:r>
      <w:r>
        <w:rPr>
          <w:rFonts w:hint="eastAsia"/>
          <w:color w:val="auto"/>
          <w:sz w:val="32"/>
          <w:szCs w:val="32"/>
        </w:rPr>
        <w:t>月</w:t>
      </w:r>
      <w:r>
        <w:rPr>
          <w:rFonts w:hint="eastAsia"/>
          <w:color w:val="auto"/>
          <w:sz w:val="32"/>
          <w:szCs w:val="32"/>
          <w:lang w:val="en-US" w:eastAsia="zh-CN"/>
        </w:rPr>
        <w:t>14</w:t>
      </w:r>
      <w:r>
        <w:rPr>
          <w:rFonts w:hint="eastAsia"/>
          <w:color w:val="auto"/>
          <w:sz w:val="32"/>
          <w:szCs w:val="32"/>
        </w:rPr>
        <w:t>日</w:t>
      </w:r>
      <w:r>
        <w:rPr>
          <w:rFonts w:hint="eastAsia"/>
          <w:color w:val="auto"/>
          <w:sz w:val="32"/>
          <w:szCs w:val="32"/>
          <w:lang w:val="en-US" w:eastAsia="zh-CN"/>
        </w:rPr>
        <w:t>9:00</w:t>
      </w:r>
      <w:r>
        <w:rPr>
          <w:rFonts w:hint="eastAsia"/>
          <w:color w:val="auto"/>
          <w:sz w:val="32"/>
          <w:szCs w:val="32"/>
        </w:rPr>
        <w:t>在浙江省</w:t>
      </w:r>
      <w:r>
        <w:rPr>
          <w:rFonts w:hint="eastAsia"/>
          <w:color w:val="auto"/>
          <w:sz w:val="32"/>
          <w:szCs w:val="32"/>
          <w:lang w:val="en-US" w:eastAsia="zh-CN"/>
        </w:rPr>
        <w:t>杭州市西湖区宝石一路3号浙江省政府采购中心203开标</w:t>
      </w:r>
      <w:r>
        <w:rPr>
          <w:rFonts w:hint="eastAsia"/>
          <w:color w:val="auto"/>
          <w:sz w:val="32"/>
          <w:szCs w:val="32"/>
        </w:rPr>
        <w:t>室开标。</w:t>
      </w:r>
    </w:p>
    <w:p>
      <w:pPr>
        <w:pageBreakBefore w:val="0"/>
        <w:kinsoku/>
        <w:overflowPunct/>
        <w:topLinePunct w:val="0"/>
        <w:autoSpaceDE/>
        <w:autoSpaceDN/>
        <w:bidi w:val="0"/>
        <w:adjustRightInd/>
        <w:ind w:firstLine="640" w:firstLineChars="200"/>
        <w:textAlignment w:val="auto"/>
        <w:rPr>
          <w:rFonts w:hint="eastAsia"/>
          <w:color w:val="auto"/>
          <w:sz w:val="32"/>
          <w:szCs w:val="32"/>
        </w:rPr>
      </w:pPr>
      <w:r>
        <w:rPr>
          <w:rFonts w:hint="eastAsia"/>
          <w:color w:val="auto"/>
          <w:sz w:val="32"/>
          <w:szCs w:val="32"/>
        </w:rPr>
        <w:t>本项目实行“不见面开评标”，响应方无须派人员到现场出席开标会议。</w:t>
      </w:r>
    </w:p>
    <w:p>
      <w:pPr>
        <w:pageBreakBefore w:val="0"/>
        <w:kinsoku/>
        <w:overflowPunct/>
        <w:topLinePunct w:val="0"/>
        <w:autoSpaceDE/>
        <w:autoSpaceDN/>
        <w:bidi w:val="0"/>
        <w:adjustRightInd/>
        <w:ind w:firstLine="640" w:firstLineChars="200"/>
        <w:textAlignment w:val="auto"/>
        <w:rPr>
          <w:rFonts w:hint="default"/>
          <w:color w:val="auto"/>
          <w:sz w:val="32"/>
          <w:szCs w:val="32"/>
          <w:lang w:val="en-US" w:eastAsia="zh-CN"/>
        </w:rPr>
      </w:pPr>
      <w:r>
        <w:rPr>
          <w:rFonts w:hint="eastAsia"/>
          <w:color w:val="auto"/>
          <w:sz w:val="32"/>
          <w:szCs w:val="32"/>
          <w:lang w:val="en-US" w:eastAsia="zh-CN"/>
        </w:rPr>
        <w:t>开标现场咨询电话：0571-88901873</w:t>
      </w:r>
    </w:p>
    <w:p>
      <w:pPr>
        <w:pStyle w:val="3"/>
        <w:bidi w:val="0"/>
        <w:rPr>
          <w:rFonts w:hint="eastAsia"/>
          <w:color w:val="auto"/>
          <w:sz w:val="32"/>
          <w:szCs w:val="32"/>
        </w:rPr>
      </w:pPr>
      <w:r>
        <w:rPr>
          <w:rFonts w:hint="eastAsia"/>
          <w:color w:val="auto"/>
          <w:sz w:val="32"/>
          <w:szCs w:val="32"/>
        </w:rPr>
        <w:t>十一、电子交易平台的网络地址和登录方法</w:t>
      </w:r>
    </w:p>
    <w:p>
      <w:pPr>
        <w:pStyle w:val="4"/>
        <w:keepNext/>
        <w:keepLines/>
        <w:pageBreakBefore w:val="0"/>
        <w:widowControl w:val="0"/>
        <w:kinsoku/>
        <w:wordWrap w:val="0"/>
        <w:overflowPunct/>
        <w:topLinePunct w:val="0"/>
        <w:autoSpaceDE/>
        <w:autoSpaceDN/>
        <w:bidi w:val="0"/>
        <w:adjustRightInd/>
        <w:snapToGrid/>
        <w:textAlignment w:val="auto"/>
        <w:rPr>
          <w:rFonts w:hint="eastAsia"/>
          <w:color w:val="auto"/>
          <w:sz w:val="32"/>
          <w:szCs w:val="32"/>
        </w:rPr>
      </w:pPr>
      <w:r>
        <w:rPr>
          <w:rFonts w:hint="eastAsia"/>
          <w:color w:val="auto"/>
          <w:sz w:val="32"/>
          <w:szCs w:val="32"/>
        </w:rPr>
        <w:t xml:space="preserve">（一）网络地址：浙江政府采购网 </w:t>
      </w:r>
      <w:r>
        <w:rPr>
          <w:rFonts w:hint="eastAsia"/>
          <w:color w:val="auto"/>
          <w:sz w:val="32"/>
          <w:szCs w:val="32"/>
        </w:rPr>
        <w:fldChar w:fldCharType="begin"/>
      </w:r>
      <w:r>
        <w:rPr>
          <w:rFonts w:hint="eastAsia"/>
          <w:color w:val="auto"/>
          <w:sz w:val="32"/>
          <w:szCs w:val="32"/>
        </w:rPr>
        <w:instrText xml:space="preserve"> HYPERLINK "http://zfcg.czt.zj.gov.cn/" </w:instrText>
      </w:r>
      <w:r>
        <w:rPr>
          <w:rFonts w:hint="eastAsia"/>
          <w:color w:val="auto"/>
          <w:sz w:val="32"/>
          <w:szCs w:val="32"/>
        </w:rPr>
        <w:fldChar w:fldCharType="separate"/>
      </w:r>
      <w:r>
        <w:rPr>
          <w:rStyle w:val="21"/>
          <w:rFonts w:hint="eastAsia" w:ascii="仿宋" w:hAnsi="仿宋" w:eastAsia="仿宋" w:cs="仿宋"/>
          <w:color w:val="auto"/>
          <w:sz w:val="32"/>
          <w:szCs w:val="32"/>
        </w:rPr>
        <w:t>http://zfcg.czt.zj.gov.cn/</w:t>
      </w:r>
      <w:r>
        <w:rPr>
          <w:rStyle w:val="21"/>
          <w:rFonts w:hint="eastAsia" w:ascii="仿宋" w:hAnsi="仿宋" w:eastAsia="仿宋" w:cs="仿宋"/>
          <w:color w:val="auto"/>
          <w:sz w:val="32"/>
          <w:szCs w:val="32"/>
        </w:rPr>
        <w:fldChar w:fldCharType="end"/>
      </w:r>
    </w:p>
    <w:p>
      <w:pPr>
        <w:pStyle w:val="4"/>
        <w:bidi w:val="0"/>
        <w:rPr>
          <w:rFonts w:hint="eastAsia" w:ascii="仿宋" w:hAnsi="仿宋" w:eastAsia="仿宋" w:cs="仿宋"/>
          <w:b/>
          <w:color w:val="auto"/>
          <w:sz w:val="32"/>
          <w:szCs w:val="32"/>
        </w:rPr>
      </w:pPr>
      <w:r>
        <w:rPr>
          <w:rFonts w:hint="eastAsia"/>
          <w:color w:val="auto"/>
          <w:sz w:val="32"/>
          <w:szCs w:val="32"/>
        </w:rPr>
        <w:t>（二）登录方法：</w:t>
      </w:r>
      <w:r>
        <w:rPr>
          <w:rFonts w:hint="eastAsia" w:ascii="仿宋" w:hAnsi="仿宋" w:eastAsia="仿宋" w:cs="仿宋"/>
          <w:color w:val="auto"/>
          <w:sz w:val="32"/>
          <w:szCs w:val="32"/>
        </w:rPr>
        <w:t>响应方须先完成供应商注册并申请CA，再下载客户端编制、加密电子响应文件，最后应在浙江政府采购网政采云用户登录窗口登录，完成电子响应文件传输递交（具体详见第二章 响应方须知前附表）。</w:t>
      </w:r>
    </w:p>
    <w:p>
      <w:pPr>
        <w:pStyle w:val="3"/>
        <w:bidi w:val="0"/>
        <w:rPr>
          <w:rFonts w:hint="eastAsia"/>
          <w:color w:val="auto"/>
          <w:sz w:val="32"/>
          <w:szCs w:val="32"/>
        </w:rPr>
      </w:pPr>
      <w:r>
        <w:rPr>
          <w:rFonts w:hint="eastAsia"/>
          <w:color w:val="auto"/>
          <w:sz w:val="32"/>
          <w:szCs w:val="32"/>
        </w:rPr>
        <w:t>十二、其他：</w:t>
      </w:r>
    </w:p>
    <w:p>
      <w:pPr>
        <w:pStyle w:val="4"/>
        <w:keepNext/>
        <w:keepLines/>
        <w:pageBreakBefore w:val="0"/>
        <w:widowControl w:val="0"/>
        <w:kinsoku/>
        <w:wordWrap w:val="0"/>
        <w:overflowPunct/>
        <w:topLinePunct w:val="0"/>
        <w:autoSpaceDE/>
        <w:autoSpaceDN/>
        <w:bidi w:val="0"/>
        <w:adjustRightInd/>
        <w:snapToGrid/>
        <w:textAlignment w:val="auto"/>
        <w:rPr>
          <w:rFonts w:hint="eastAsia"/>
          <w:b/>
          <w:bCs w:val="0"/>
          <w:color w:val="auto"/>
          <w:sz w:val="32"/>
          <w:szCs w:val="32"/>
        </w:rPr>
      </w:pPr>
      <w:r>
        <w:rPr>
          <w:rFonts w:hint="eastAsia"/>
          <w:b/>
          <w:bCs w:val="0"/>
          <w:color w:val="auto"/>
          <w:sz w:val="32"/>
          <w:szCs w:val="32"/>
        </w:rPr>
        <w:t>（一）本项目采用“电子交易/不见面开评</w:t>
      </w:r>
      <w:r>
        <w:rPr>
          <w:rFonts w:hint="eastAsia"/>
          <w:b/>
          <w:bCs w:val="0"/>
          <w:color w:val="auto"/>
          <w:sz w:val="32"/>
          <w:szCs w:val="32"/>
          <w:lang w:val="en-US" w:eastAsia="zh-CN"/>
        </w:rPr>
        <w:t>审</w:t>
      </w:r>
      <w:r>
        <w:rPr>
          <w:rFonts w:hint="eastAsia"/>
          <w:b/>
          <w:bCs w:val="0"/>
          <w:color w:val="auto"/>
          <w:sz w:val="32"/>
          <w:szCs w:val="32"/>
        </w:rPr>
        <w:t>”，</w:t>
      </w:r>
      <w:r>
        <w:rPr>
          <w:rFonts w:hint="eastAsia"/>
          <w:b/>
          <w:bCs w:val="0"/>
          <w:color w:val="auto"/>
          <w:sz w:val="32"/>
          <w:szCs w:val="32"/>
          <w:lang w:val="en-US" w:eastAsia="zh-CN"/>
        </w:rPr>
        <w:t>响应方</w:t>
      </w:r>
      <w:r>
        <w:rPr>
          <w:rFonts w:hint="eastAsia"/>
          <w:b/>
          <w:bCs w:val="0"/>
          <w:color w:val="auto"/>
          <w:sz w:val="32"/>
          <w:szCs w:val="32"/>
        </w:rPr>
        <w:t>可进入电子卖场服务中心采云学院（https://edu.zcygov.cn/live?utm=a0018.2ef5001f.0.0.1939d340e5db11ea867fb57c149ddb61）自行提前学习。</w:t>
      </w:r>
    </w:p>
    <w:p>
      <w:pPr>
        <w:pStyle w:val="4"/>
        <w:keepNext/>
        <w:keepLines/>
        <w:pageBreakBefore w:val="0"/>
        <w:widowControl w:val="0"/>
        <w:kinsoku/>
        <w:wordWrap w:val="0"/>
        <w:overflowPunct/>
        <w:topLinePunct w:val="0"/>
        <w:autoSpaceDE/>
        <w:autoSpaceDN/>
        <w:bidi w:val="0"/>
        <w:adjustRightInd/>
        <w:snapToGrid/>
        <w:textAlignment w:val="auto"/>
        <w:rPr>
          <w:rFonts w:hint="default"/>
          <w:b/>
          <w:bCs w:val="0"/>
          <w:color w:val="auto"/>
          <w:sz w:val="32"/>
          <w:szCs w:val="32"/>
          <w:lang w:val="en-US" w:eastAsia="zh-CN"/>
        </w:rPr>
      </w:pPr>
      <w:r>
        <w:rPr>
          <w:rFonts w:hint="eastAsia"/>
          <w:b/>
          <w:bCs w:val="0"/>
          <w:color w:val="auto"/>
          <w:sz w:val="32"/>
          <w:szCs w:val="32"/>
          <w:lang w:val="en-US" w:eastAsia="zh-CN"/>
        </w:rPr>
        <w:t>（二）框架协议模块相关操作，响应方可进入（https://helpcenter.zcygov.cn/document/#/document/detail?siteCode=beijing&amp;manualId=251&amp;topicId=1447）学习。</w:t>
      </w:r>
    </w:p>
    <w:p>
      <w:pPr>
        <w:pStyle w:val="3"/>
        <w:bidi w:val="0"/>
        <w:rPr>
          <w:rFonts w:hint="eastAsia"/>
          <w:color w:val="auto"/>
          <w:sz w:val="32"/>
          <w:szCs w:val="32"/>
        </w:rPr>
      </w:pPr>
      <w:r>
        <w:rPr>
          <w:rFonts w:hint="eastAsia"/>
          <w:color w:val="auto"/>
          <w:sz w:val="32"/>
          <w:szCs w:val="32"/>
        </w:rPr>
        <w:t>十三、业务咨询</w:t>
      </w:r>
    </w:p>
    <w:tbl>
      <w:tblPr>
        <w:tblStyle w:val="18"/>
        <w:tblpPr w:leftFromText="180" w:rightFromText="180" w:vertAnchor="text" w:horzAnchor="page" w:tblpX="1337" w:tblpY="223"/>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1225"/>
        <w:gridCol w:w="2675"/>
        <w:gridCol w:w="1182"/>
        <w:gridCol w:w="2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6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4"/>
                <w:szCs w:val="24"/>
              </w:rPr>
            </w:pPr>
            <w:r>
              <w:rPr>
                <w:rFonts w:hint="eastAsia"/>
                <w:color w:val="auto"/>
                <w:sz w:val="24"/>
                <w:szCs w:val="24"/>
              </w:rPr>
              <w:t>机构</w:t>
            </w:r>
          </w:p>
        </w:tc>
        <w:tc>
          <w:tcPr>
            <w:tcW w:w="4139"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z w:val="24"/>
                <w:szCs w:val="24"/>
              </w:rPr>
            </w:pPr>
            <w:r>
              <w:rPr>
                <w:rFonts w:hint="eastAsia"/>
                <w:color w:val="auto"/>
                <w:sz w:val="24"/>
                <w:szCs w:val="24"/>
              </w:rPr>
              <w:t>浙江省政府采购中心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6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4"/>
                <w:szCs w:val="24"/>
              </w:rPr>
            </w:pPr>
            <w:r>
              <w:rPr>
                <w:rFonts w:hint="eastAsia"/>
                <w:color w:val="auto"/>
                <w:sz w:val="24"/>
                <w:szCs w:val="24"/>
              </w:rPr>
              <w:t>地址</w:t>
            </w:r>
          </w:p>
        </w:tc>
        <w:tc>
          <w:tcPr>
            <w:tcW w:w="4139"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z w:val="24"/>
                <w:szCs w:val="24"/>
                <w:lang w:val="en-US" w:eastAsia="zh-CN"/>
              </w:rPr>
            </w:pPr>
            <w:r>
              <w:rPr>
                <w:rFonts w:hint="eastAsia"/>
                <w:color w:val="auto"/>
                <w:sz w:val="24"/>
                <w:szCs w:val="24"/>
              </w:rPr>
              <w:t>浙江省</w:t>
            </w:r>
            <w:r>
              <w:rPr>
                <w:rFonts w:hint="eastAsia"/>
                <w:color w:val="auto"/>
                <w:sz w:val="24"/>
                <w:szCs w:val="24"/>
                <w:lang w:val="en-US" w:eastAsia="zh-CN"/>
              </w:rPr>
              <w:t>杭州市西湖区宝石一路3号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6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4"/>
                <w:szCs w:val="24"/>
              </w:rPr>
            </w:pPr>
            <w:r>
              <w:rPr>
                <w:rFonts w:hint="eastAsia"/>
                <w:color w:val="auto"/>
                <w:sz w:val="24"/>
                <w:szCs w:val="24"/>
              </w:rPr>
              <w:t>网站</w:t>
            </w:r>
          </w:p>
        </w:tc>
        <w:tc>
          <w:tcPr>
            <w:tcW w:w="4139"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z w:val="24"/>
                <w:szCs w:val="24"/>
              </w:rPr>
            </w:pPr>
            <w:r>
              <w:rPr>
                <w:rFonts w:hint="eastAsia"/>
                <w:color w:val="auto"/>
                <w:sz w:val="24"/>
                <w:szCs w:val="24"/>
              </w:rPr>
              <w:t xml:space="preserve">浙江政府采购网  </w:t>
            </w:r>
            <w:r>
              <w:rPr>
                <w:rFonts w:hint="eastAsia"/>
                <w:color w:val="auto"/>
                <w:sz w:val="24"/>
                <w:szCs w:val="24"/>
              </w:rPr>
              <w:fldChar w:fldCharType="begin"/>
            </w:r>
            <w:r>
              <w:rPr>
                <w:rFonts w:hint="eastAsia"/>
                <w:color w:val="auto"/>
                <w:sz w:val="24"/>
                <w:szCs w:val="24"/>
              </w:rPr>
              <w:instrText xml:space="preserve"> HYPERLINK "http://zfcg.czt.zj.gov.cn/" </w:instrText>
            </w:r>
            <w:r>
              <w:rPr>
                <w:rFonts w:hint="eastAsia"/>
                <w:color w:val="auto"/>
                <w:sz w:val="24"/>
                <w:szCs w:val="24"/>
              </w:rPr>
              <w:fldChar w:fldCharType="separate"/>
            </w:r>
            <w:r>
              <w:rPr>
                <w:rFonts w:hint="eastAsia"/>
                <w:color w:val="auto"/>
                <w:sz w:val="24"/>
                <w:szCs w:val="24"/>
              </w:rPr>
              <w:t>http://zfcg.czt.zj.gov.cn/</w:t>
            </w:r>
            <w:r>
              <w:rPr>
                <w:rFonts w:hint="eastAsia"/>
                <w:color w:val="auto"/>
                <w:sz w:val="24"/>
                <w:szCs w:val="24"/>
              </w:rPr>
              <w:fldChar w:fldCharType="end"/>
            </w:r>
            <w:r>
              <w:rPr>
                <w:rFonts w:hint="eastAsia"/>
                <w:color w:val="auto"/>
                <w:sz w:val="24"/>
                <w:szCs w:val="24"/>
              </w:rPr>
              <w:t xml:space="preserve">  （文件下载、公告查询）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6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4"/>
                <w:szCs w:val="24"/>
              </w:rPr>
            </w:pPr>
            <w:r>
              <w:rPr>
                <w:rFonts w:hint="eastAsia"/>
                <w:color w:val="auto"/>
                <w:sz w:val="24"/>
                <w:szCs w:val="24"/>
              </w:rPr>
              <w:t>咨询事项</w:t>
            </w:r>
          </w:p>
        </w:tc>
        <w:tc>
          <w:tcPr>
            <w:tcW w:w="6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4"/>
                <w:szCs w:val="24"/>
              </w:rPr>
            </w:pPr>
            <w:r>
              <w:rPr>
                <w:rFonts w:hint="eastAsia"/>
                <w:color w:val="auto"/>
                <w:sz w:val="24"/>
                <w:szCs w:val="24"/>
              </w:rPr>
              <w:t>联系人</w:t>
            </w:r>
          </w:p>
        </w:tc>
        <w:tc>
          <w:tcPr>
            <w:tcW w:w="14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4"/>
                <w:szCs w:val="24"/>
              </w:rPr>
            </w:pPr>
            <w:r>
              <w:rPr>
                <w:rFonts w:hint="eastAsia"/>
                <w:color w:val="auto"/>
                <w:sz w:val="24"/>
                <w:szCs w:val="24"/>
              </w:rPr>
              <w:t>联系方式</w:t>
            </w:r>
          </w:p>
        </w:tc>
        <w:tc>
          <w:tcPr>
            <w:tcW w:w="6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4"/>
                <w:szCs w:val="24"/>
              </w:rPr>
            </w:pPr>
            <w:r>
              <w:rPr>
                <w:rFonts w:hint="eastAsia"/>
                <w:color w:val="auto"/>
                <w:sz w:val="24"/>
                <w:szCs w:val="24"/>
              </w:rPr>
              <w:t>传真</w:t>
            </w:r>
          </w:p>
        </w:tc>
        <w:tc>
          <w:tcPr>
            <w:tcW w:w="1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4"/>
                <w:szCs w:val="24"/>
              </w:rPr>
            </w:pPr>
            <w:r>
              <w:rPr>
                <w:rFonts w:hint="eastAsia"/>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6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z w:val="24"/>
                <w:szCs w:val="24"/>
              </w:rPr>
            </w:pPr>
            <w:r>
              <w:rPr>
                <w:rFonts w:hint="eastAsia"/>
                <w:color w:val="auto"/>
                <w:sz w:val="24"/>
                <w:szCs w:val="24"/>
              </w:rPr>
              <w:t>项目联系人（A岗）</w:t>
            </w:r>
          </w:p>
        </w:tc>
        <w:tc>
          <w:tcPr>
            <w:tcW w:w="6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4"/>
                <w:szCs w:val="24"/>
                <w:lang w:val="en-US" w:eastAsia="zh-CN"/>
              </w:rPr>
            </w:pPr>
            <w:r>
              <w:rPr>
                <w:rFonts w:hint="eastAsia"/>
                <w:color w:val="auto"/>
                <w:sz w:val="24"/>
                <w:szCs w:val="24"/>
                <w:lang w:val="en-US" w:eastAsia="zh-CN"/>
              </w:rPr>
              <w:t>蒋女士</w:t>
            </w:r>
          </w:p>
        </w:tc>
        <w:tc>
          <w:tcPr>
            <w:tcW w:w="14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4"/>
                <w:szCs w:val="24"/>
                <w:lang w:val="en-US" w:eastAsia="zh-CN"/>
              </w:rPr>
            </w:pPr>
            <w:r>
              <w:rPr>
                <w:rFonts w:hint="eastAsia"/>
                <w:color w:val="auto"/>
                <w:sz w:val="24"/>
                <w:szCs w:val="24"/>
                <w:lang w:val="en-US" w:eastAsia="zh-CN"/>
              </w:rPr>
              <w:t>0571-88907796</w:t>
            </w:r>
          </w:p>
        </w:tc>
        <w:tc>
          <w:tcPr>
            <w:tcW w:w="6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z w:val="24"/>
                <w:szCs w:val="24"/>
                <w:lang w:eastAsia="zh-CN"/>
              </w:rPr>
            </w:pPr>
            <w:r>
              <w:rPr>
                <w:rFonts w:hint="eastAsia"/>
                <w:color w:val="auto"/>
                <w:sz w:val="24"/>
                <w:szCs w:val="24"/>
                <w:lang w:val="en-US" w:eastAsia="zh-CN"/>
              </w:rPr>
              <w:t>/</w:t>
            </w:r>
          </w:p>
        </w:tc>
        <w:tc>
          <w:tcPr>
            <w:tcW w:w="1333"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z w:val="24"/>
                <w:szCs w:val="24"/>
              </w:rPr>
            </w:pPr>
            <w:r>
              <w:rPr>
                <w:rFonts w:hint="eastAsia"/>
                <w:color w:val="auto"/>
                <w:sz w:val="24"/>
                <w:szCs w:val="24"/>
              </w:rPr>
              <w:t>采购一部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6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z w:val="24"/>
                <w:szCs w:val="24"/>
              </w:rPr>
            </w:pPr>
            <w:r>
              <w:rPr>
                <w:rFonts w:hint="eastAsia"/>
                <w:color w:val="auto"/>
                <w:sz w:val="24"/>
                <w:szCs w:val="24"/>
              </w:rPr>
              <w:t>项目联系人（B岗）</w:t>
            </w:r>
          </w:p>
        </w:tc>
        <w:tc>
          <w:tcPr>
            <w:tcW w:w="6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sz w:val="24"/>
                <w:szCs w:val="24"/>
                <w:lang w:val="en-US" w:eastAsia="zh-CN"/>
              </w:rPr>
            </w:pPr>
            <w:r>
              <w:rPr>
                <w:rFonts w:hint="eastAsia"/>
                <w:color w:val="auto"/>
                <w:sz w:val="24"/>
                <w:szCs w:val="24"/>
                <w:lang w:val="en-US" w:eastAsia="zh-CN"/>
              </w:rPr>
              <w:t>陈先生</w:t>
            </w:r>
          </w:p>
        </w:tc>
        <w:tc>
          <w:tcPr>
            <w:tcW w:w="14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4"/>
                <w:szCs w:val="24"/>
                <w:lang w:val="en-US" w:eastAsia="zh-CN"/>
              </w:rPr>
            </w:pPr>
            <w:r>
              <w:rPr>
                <w:rFonts w:hint="eastAsia"/>
                <w:color w:val="auto"/>
                <w:sz w:val="24"/>
                <w:szCs w:val="24"/>
                <w:lang w:val="en-US" w:eastAsia="zh-CN"/>
              </w:rPr>
              <w:t>0571-88907791</w:t>
            </w:r>
          </w:p>
        </w:tc>
        <w:tc>
          <w:tcPr>
            <w:tcW w:w="6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z w:val="24"/>
                <w:szCs w:val="24"/>
                <w:lang w:eastAsia="zh-CN"/>
              </w:rPr>
            </w:pPr>
            <w:r>
              <w:rPr>
                <w:rFonts w:hint="eastAsia"/>
                <w:color w:val="auto"/>
                <w:sz w:val="24"/>
                <w:szCs w:val="24"/>
                <w:lang w:val="en-US" w:eastAsia="zh-CN"/>
              </w:rPr>
              <w:t>/</w:t>
            </w:r>
          </w:p>
        </w:tc>
        <w:tc>
          <w:tcPr>
            <w:tcW w:w="1333"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6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color w:val="auto"/>
                <w:sz w:val="24"/>
                <w:szCs w:val="24"/>
              </w:rPr>
            </w:pPr>
            <w:r>
              <w:rPr>
                <w:rFonts w:hint="eastAsia"/>
                <w:color w:val="auto"/>
                <w:sz w:val="24"/>
                <w:szCs w:val="24"/>
              </w:rPr>
              <w:t>部门负责人</w:t>
            </w:r>
          </w:p>
        </w:tc>
        <w:tc>
          <w:tcPr>
            <w:tcW w:w="6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sz w:val="24"/>
                <w:szCs w:val="24"/>
                <w:lang w:val="en-US" w:eastAsia="zh-CN"/>
              </w:rPr>
            </w:pPr>
            <w:r>
              <w:rPr>
                <w:rFonts w:hint="eastAsia"/>
                <w:color w:val="auto"/>
                <w:sz w:val="24"/>
                <w:szCs w:val="24"/>
                <w:lang w:val="en-US" w:eastAsia="zh-CN"/>
              </w:rPr>
              <w:t>吴女士</w:t>
            </w:r>
          </w:p>
        </w:tc>
        <w:tc>
          <w:tcPr>
            <w:tcW w:w="14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4"/>
                <w:szCs w:val="24"/>
                <w:lang w:val="en-US" w:eastAsia="zh-CN"/>
              </w:rPr>
            </w:pPr>
            <w:r>
              <w:rPr>
                <w:rFonts w:hint="eastAsia"/>
                <w:color w:val="auto"/>
                <w:sz w:val="24"/>
                <w:szCs w:val="24"/>
                <w:lang w:val="en-US" w:eastAsia="zh-CN"/>
              </w:rPr>
              <w:t>0571-88900117</w:t>
            </w:r>
          </w:p>
        </w:tc>
        <w:tc>
          <w:tcPr>
            <w:tcW w:w="6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z w:val="24"/>
                <w:szCs w:val="24"/>
                <w:lang w:eastAsia="zh-CN"/>
              </w:rPr>
            </w:pPr>
            <w:r>
              <w:rPr>
                <w:rFonts w:hint="eastAsia"/>
                <w:color w:val="auto"/>
                <w:sz w:val="24"/>
                <w:szCs w:val="24"/>
                <w:lang w:val="en-US" w:eastAsia="zh-CN"/>
              </w:rPr>
              <w:t>/</w:t>
            </w:r>
          </w:p>
        </w:tc>
        <w:tc>
          <w:tcPr>
            <w:tcW w:w="1333"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6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color w:val="auto"/>
                <w:sz w:val="24"/>
                <w:szCs w:val="24"/>
              </w:rPr>
            </w:pPr>
            <w:r>
              <w:rPr>
                <w:rFonts w:hint="eastAsia"/>
                <w:color w:val="auto"/>
                <w:sz w:val="24"/>
                <w:szCs w:val="24"/>
              </w:rPr>
              <w:t>项目监督</w:t>
            </w:r>
          </w:p>
        </w:tc>
        <w:tc>
          <w:tcPr>
            <w:tcW w:w="6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sz w:val="24"/>
                <w:szCs w:val="24"/>
                <w:lang w:val="en-US" w:eastAsia="zh-CN"/>
              </w:rPr>
            </w:pPr>
            <w:r>
              <w:rPr>
                <w:rFonts w:hint="eastAsia"/>
                <w:color w:val="auto"/>
                <w:sz w:val="24"/>
                <w:szCs w:val="24"/>
                <w:lang w:val="en-US" w:eastAsia="zh-CN"/>
              </w:rPr>
              <w:t>张女士</w:t>
            </w:r>
          </w:p>
        </w:tc>
        <w:tc>
          <w:tcPr>
            <w:tcW w:w="14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4"/>
                <w:szCs w:val="24"/>
                <w:lang w:val="en-US" w:eastAsia="zh-CN"/>
              </w:rPr>
            </w:pPr>
            <w:r>
              <w:rPr>
                <w:rFonts w:hint="eastAsia"/>
                <w:color w:val="auto"/>
                <w:sz w:val="24"/>
                <w:szCs w:val="24"/>
                <w:lang w:val="en-US" w:eastAsia="zh-CN"/>
              </w:rPr>
              <w:t>0571-88907711</w:t>
            </w:r>
          </w:p>
        </w:tc>
        <w:tc>
          <w:tcPr>
            <w:tcW w:w="6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z w:val="24"/>
                <w:szCs w:val="24"/>
                <w:lang w:eastAsia="zh-CN"/>
              </w:rPr>
            </w:pPr>
            <w:r>
              <w:rPr>
                <w:rFonts w:hint="eastAsia"/>
                <w:color w:val="auto"/>
                <w:sz w:val="24"/>
                <w:szCs w:val="24"/>
                <w:lang w:val="en-US" w:eastAsia="zh-CN"/>
              </w:rPr>
              <w:t>/</w:t>
            </w:r>
          </w:p>
        </w:tc>
        <w:tc>
          <w:tcPr>
            <w:tcW w:w="1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z w:val="24"/>
                <w:szCs w:val="24"/>
              </w:rPr>
            </w:pPr>
            <w:r>
              <w:rPr>
                <w:rFonts w:hint="eastAsia"/>
                <w:color w:val="auto"/>
                <w:sz w:val="24"/>
                <w:szCs w:val="24"/>
              </w:rPr>
              <w:t>财务监督部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6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color w:val="auto"/>
                <w:sz w:val="24"/>
                <w:szCs w:val="24"/>
              </w:rPr>
            </w:pPr>
            <w:r>
              <w:rPr>
                <w:rFonts w:hint="eastAsia"/>
                <w:color w:val="auto"/>
                <w:sz w:val="24"/>
                <w:szCs w:val="24"/>
              </w:rPr>
              <w:t>电子交易平台问题</w:t>
            </w:r>
          </w:p>
        </w:tc>
        <w:tc>
          <w:tcPr>
            <w:tcW w:w="676" w:type="pct"/>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z w:val="24"/>
                <w:szCs w:val="24"/>
              </w:rPr>
            </w:pPr>
            <w:r>
              <w:rPr>
                <w:rFonts w:hint="eastAsia"/>
                <w:color w:val="auto"/>
                <w:sz w:val="24"/>
                <w:szCs w:val="24"/>
              </w:rPr>
              <w:t>/</w:t>
            </w:r>
          </w:p>
        </w:tc>
        <w:tc>
          <w:tcPr>
            <w:tcW w:w="1476" w:type="pct"/>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4"/>
                <w:szCs w:val="24"/>
                <w:lang w:val="en-US" w:eastAsia="zh-CN"/>
              </w:rPr>
            </w:pPr>
            <w:r>
              <w:rPr>
                <w:rFonts w:hint="eastAsia"/>
                <w:color w:val="auto"/>
                <w:sz w:val="24"/>
                <w:szCs w:val="24"/>
                <w:lang w:val="en-US" w:eastAsia="zh-CN"/>
              </w:rPr>
              <w:t>95763</w:t>
            </w:r>
          </w:p>
        </w:tc>
        <w:tc>
          <w:tcPr>
            <w:tcW w:w="6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z w:val="24"/>
                <w:szCs w:val="24"/>
              </w:rPr>
            </w:pPr>
            <w:r>
              <w:rPr>
                <w:rFonts w:hint="eastAsia"/>
                <w:color w:val="auto"/>
                <w:sz w:val="24"/>
                <w:szCs w:val="24"/>
              </w:rPr>
              <w:t>/</w:t>
            </w:r>
          </w:p>
        </w:tc>
        <w:tc>
          <w:tcPr>
            <w:tcW w:w="1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z w:val="24"/>
                <w:szCs w:val="24"/>
              </w:rPr>
            </w:pPr>
            <w:r>
              <w:rPr>
                <w:rFonts w:hint="eastAsia"/>
                <w:color w:val="auto"/>
                <w:sz w:val="24"/>
                <w:szCs w:val="24"/>
              </w:rPr>
              <w:t>供应商注册、采购文件获取、CA数字证书办理、电子投标系统咨询等</w:t>
            </w:r>
          </w:p>
        </w:tc>
      </w:tr>
    </w:tbl>
    <w:p>
      <w:pPr>
        <w:pStyle w:val="3"/>
        <w:pageBreakBefore w:val="0"/>
        <w:widowControl w:val="0"/>
        <w:kinsoku/>
        <w:wordWrap/>
        <w:overflowPunct/>
        <w:topLinePunct w:val="0"/>
        <w:autoSpaceDE/>
        <w:autoSpaceDN/>
        <w:bidi w:val="0"/>
        <w:adjustRightInd/>
        <w:snapToGrid/>
        <w:ind w:firstLine="643" w:firstLineChars="200"/>
        <w:textAlignment w:val="auto"/>
        <w:rPr>
          <w:color w:val="auto"/>
          <w:sz w:val="32"/>
          <w:szCs w:val="32"/>
        </w:rPr>
      </w:pPr>
      <w:r>
        <w:rPr>
          <w:rFonts w:hint="eastAsia"/>
          <w:color w:val="auto"/>
          <w:sz w:val="32"/>
          <w:szCs w:val="32"/>
        </w:rPr>
        <w:t>十四、</w:t>
      </w:r>
      <w:r>
        <w:rPr>
          <w:color w:val="auto"/>
          <w:sz w:val="32"/>
          <w:szCs w:val="32"/>
        </w:rPr>
        <w:t> </w:t>
      </w:r>
      <w:r>
        <w:rPr>
          <w:rFonts w:hint="eastAsia"/>
          <w:color w:val="auto"/>
          <w:sz w:val="32"/>
          <w:szCs w:val="32"/>
        </w:rPr>
        <w:t>同级政府采购监督管理部门    </w:t>
      </w:r>
      <w:r>
        <w:rPr>
          <w:color w:val="auto"/>
          <w:sz w:val="32"/>
          <w:szCs w:val="32"/>
        </w:rPr>
        <w:t xml:space="preserve">        </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32"/>
        </w:rPr>
      </w:pPr>
      <w:r>
        <w:rPr>
          <w:rFonts w:hint="eastAsia"/>
          <w:color w:val="auto"/>
          <w:sz w:val="32"/>
          <w:szCs w:val="32"/>
        </w:rPr>
        <w:t>名    称：浙江省财政厅政府采购监管处、浙江省政府采购行政裁决服务中心（杭州）</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32"/>
        </w:rPr>
      </w:pPr>
      <w:r>
        <w:rPr>
          <w:rFonts w:hint="eastAsia"/>
          <w:color w:val="auto"/>
          <w:sz w:val="32"/>
          <w:szCs w:val="32"/>
        </w:rPr>
        <w:t>地    址：杭州市上城区清泰街549号城建综合大楼11楼</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32"/>
        </w:rPr>
      </w:pPr>
      <w:r>
        <w:rPr>
          <w:rFonts w:hint="eastAsia"/>
          <w:color w:val="auto"/>
          <w:sz w:val="32"/>
          <w:szCs w:val="32"/>
        </w:rPr>
        <w:t>传    真：/</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32"/>
        </w:rPr>
      </w:pPr>
      <w:r>
        <w:rPr>
          <w:rFonts w:hint="eastAsia"/>
          <w:color w:val="auto"/>
          <w:sz w:val="32"/>
          <w:szCs w:val="32"/>
        </w:rPr>
        <w:t>联 系 人：朱老师、王老师、匡老师</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32"/>
        </w:rPr>
      </w:pPr>
      <w:r>
        <w:rPr>
          <w:rFonts w:hint="eastAsia"/>
          <w:color w:val="auto"/>
          <w:sz w:val="32"/>
          <w:szCs w:val="32"/>
        </w:rPr>
        <w:t>监督投诉电话：0571-87800218，0571-87227671</w:t>
      </w:r>
    </w:p>
    <w:p>
      <w:pPr>
        <w:spacing w:line="480" w:lineRule="exact"/>
        <w:ind w:firstLine="643" w:firstLineChars="200"/>
        <w:jc w:val="center"/>
        <w:outlineLvl w:val="0"/>
        <w:rPr>
          <w:rStyle w:val="27"/>
          <w:color w:val="auto"/>
          <w:sz w:val="32"/>
          <w:szCs w:val="32"/>
        </w:rPr>
      </w:pPr>
      <w:r>
        <w:rPr>
          <w:rFonts w:ascii="宋体" w:hAnsi="宋体"/>
          <w:b/>
          <w:color w:val="auto"/>
          <w:sz w:val="32"/>
          <w:szCs w:val="32"/>
        </w:rPr>
        <w:br w:type="page"/>
      </w:r>
      <w:bookmarkStart w:id="9" w:name="_Toc31730"/>
      <w:r>
        <w:rPr>
          <w:rStyle w:val="27"/>
          <w:rFonts w:hint="eastAsia"/>
          <w:color w:val="auto"/>
          <w:sz w:val="32"/>
          <w:szCs w:val="32"/>
        </w:rPr>
        <w:t>第二章  响应方须知</w:t>
      </w:r>
      <w:bookmarkEnd w:id="9"/>
    </w:p>
    <w:p>
      <w:pPr>
        <w:snapToGrid w:val="0"/>
        <w:spacing w:line="440" w:lineRule="exact"/>
        <w:ind w:firstLine="643" w:firstLineChars="200"/>
        <w:jc w:val="center"/>
        <w:rPr>
          <w:rFonts w:ascii="宋体" w:hAnsi="宋体"/>
          <w:b/>
          <w:color w:val="auto"/>
          <w:sz w:val="32"/>
          <w:szCs w:val="32"/>
        </w:rPr>
      </w:pPr>
    </w:p>
    <w:p>
      <w:pPr>
        <w:snapToGrid w:val="0"/>
        <w:ind w:left="0" w:leftChars="0" w:firstLine="0" w:firstLineChars="0"/>
        <w:rPr>
          <w:rFonts w:ascii="宋体" w:hAnsi="宋体"/>
          <w:color w:val="auto"/>
          <w:sz w:val="32"/>
          <w:szCs w:val="32"/>
        </w:rPr>
      </w:pPr>
      <w:r>
        <w:rPr>
          <w:rFonts w:hint="eastAsia" w:ascii="宋体" w:hAnsi="宋体"/>
          <w:color w:val="auto"/>
          <w:sz w:val="32"/>
          <w:szCs w:val="32"/>
        </w:rPr>
        <w:t>前附表</w:t>
      </w:r>
    </w:p>
    <w:tbl>
      <w:tblPr>
        <w:tblStyle w:val="18"/>
        <w:tblW w:w="94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559"/>
        <w:gridCol w:w="73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内  容</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要    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项目名称及数量</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详见《征集公告》二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信用记录</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财库[2016]125号文件，通过“信用中国”网站（www.creditchina.gov.cn）、中国政府采购网（www.ccgp.gov.cn），以开标当日网页查询记录为准。对列入失信被执行人、重大税收违法案件当事人名单、政府采购严重违法失信行为记录名单的供应商，其响应将作无效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中小企业预留份额情况</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根据《政府采购促进中小企业发展管理办法》财库〔2020〕46号文件的规定，本项目</w:t>
            </w:r>
            <w:r>
              <w:rPr>
                <w:rFonts w:hint="eastAsia" w:ascii="仿宋" w:hAnsi="仿宋" w:eastAsia="仿宋" w:cs="仿宋"/>
                <w:b/>
                <w:color w:val="auto"/>
                <w:sz w:val="24"/>
                <w:szCs w:val="24"/>
                <w:u w:val="single"/>
              </w:rPr>
              <w:t>不</w:t>
            </w:r>
            <w:r>
              <w:rPr>
                <w:rFonts w:hint="eastAsia" w:ascii="仿宋" w:hAnsi="仿宋" w:eastAsia="仿宋" w:cs="仿宋"/>
                <w:b/>
                <w:color w:val="auto"/>
                <w:sz w:val="24"/>
                <w:szCs w:val="24"/>
              </w:rPr>
              <w:t>属于预留份额专门面向中小企业采购的项目。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中小企业优惠措施</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widowControl w:val="0"/>
              <w:kinsoku/>
              <w:wordWrap/>
              <w:overflowPunct/>
              <w:topLinePunct w:val="0"/>
              <w:bidi w:val="0"/>
              <w:adjustRightInd/>
              <w:snapToGrid w:val="0"/>
              <w:spacing w:line="360" w:lineRule="auto"/>
              <w:ind w:left="0" w:leftChars="0" w:firstLine="0" w:firstLineChars="0"/>
              <w:jc w:val="both"/>
              <w:rPr>
                <w:rFonts w:hint="eastAsia" w:ascii="仿宋" w:hAnsi="仿宋" w:eastAsia="仿宋" w:cs="仿宋"/>
                <w:b/>
                <w:color w:val="auto"/>
                <w:sz w:val="24"/>
                <w:szCs w:val="24"/>
                <w:u w:val="single"/>
              </w:rPr>
            </w:pPr>
            <w:r>
              <w:rPr>
                <w:rFonts w:hint="eastAsia" w:ascii="仿宋" w:hAnsi="仿宋" w:eastAsia="仿宋" w:cs="仿宋"/>
                <w:b/>
                <w:color w:val="auto"/>
                <w:sz w:val="24"/>
                <w:szCs w:val="24"/>
              </w:rPr>
              <w:t>1.项目属性：</w:t>
            </w:r>
            <w:r>
              <w:rPr>
                <w:rFonts w:hint="eastAsia" w:ascii="仿宋" w:hAnsi="仿宋" w:eastAsia="仿宋" w:cs="仿宋"/>
                <w:b/>
                <w:color w:val="auto"/>
                <w:sz w:val="24"/>
                <w:szCs w:val="24"/>
                <w:u w:val="single"/>
              </w:rPr>
              <w:t>货物</w:t>
            </w:r>
          </w:p>
          <w:p>
            <w:pPr>
              <w:pStyle w:val="24"/>
              <w:keepNext w:val="0"/>
              <w:keepLines w:val="0"/>
              <w:pageBreakBefore w:val="0"/>
              <w:widowControl w:val="0"/>
              <w:kinsoku/>
              <w:wordWrap/>
              <w:overflowPunct/>
              <w:topLinePunct w:val="0"/>
              <w:bidi w:val="0"/>
              <w:adjustRightInd/>
              <w:snapToGrid w:val="0"/>
              <w:spacing w:line="360" w:lineRule="auto"/>
              <w:ind w:firstLine="0" w:firstLineChars="0"/>
              <w:jc w:val="both"/>
              <w:rPr>
                <w:rFonts w:hint="eastAsia" w:ascii="仿宋" w:hAnsi="仿宋" w:eastAsia="仿宋" w:cs="仿宋"/>
                <w:b/>
                <w:color w:val="auto"/>
                <w:sz w:val="24"/>
                <w:szCs w:val="24"/>
              </w:rPr>
            </w:pPr>
            <w:r>
              <w:rPr>
                <w:rFonts w:hint="eastAsia" w:ascii="仿宋" w:hAnsi="仿宋" w:eastAsia="仿宋" w:cs="仿宋"/>
                <w:b/>
                <w:color w:val="auto"/>
                <w:sz w:val="24"/>
                <w:szCs w:val="24"/>
              </w:rPr>
              <w:t>2.中小企业划分标准所属行业（具体根据《中小企业划型标准规定》执行）</w:t>
            </w:r>
          </w:p>
          <w:p>
            <w:pPr>
              <w:keepNext w:val="0"/>
              <w:keepLines w:val="0"/>
              <w:pageBreakBefore w:val="0"/>
              <w:widowControl w:val="0"/>
              <w:kinsoku/>
              <w:wordWrap/>
              <w:overflowPunct/>
              <w:topLinePunct w:val="0"/>
              <w:bidi w:val="0"/>
              <w:adjustRightInd/>
              <w:snapToGrid w:val="0"/>
              <w:spacing w:line="360" w:lineRule="auto"/>
              <w:ind w:left="0" w:leftChars="0" w:firstLine="0" w:firstLineChars="0"/>
              <w:jc w:val="both"/>
              <w:rPr>
                <w:rFonts w:hint="eastAsia" w:ascii="仿宋" w:hAnsi="仿宋" w:eastAsia="仿宋" w:cs="仿宋"/>
                <w:b/>
                <w:color w:val="auto"/>
                <w:sz w:val="24"/>
                <w:szCs w:val="24"/>
              </w:rPr>
            </w:pPr>
            <w:r>
              <w:rPr>
                <w:rFonts w:hint="eastAsia" w:ascii="仿宋" w:hAnsi="仿宋" w:eastAsia="仿宋" w:cs="仿宋"/>
                <w:b/>
                <w:color w:val="auto"/>
                <w:sz w:val="24"/>
                <w:szCs w:val="24"/>
              </w:rPr>
              <w:t>采购标的：</w:t>
            </w:r>
            <w:r>
              <w:rPr>
                <w:rFonts w:hint="eastAsia" w:ascii="仿宋" w:hAnsi="仿宋" w:eastAsia="仿宋" w:cs="仿宋"/>
                <w:b/>
                <w:color w:val="auto"/>
                <w:sz w:val="24"/>
                <w:szCs w:val="24"/>
                <w:u w:val="single"/>
                <w:lang w:val="en-US" w:eastAsia="zh-CN"/>
              </w:rPr>
              <w:t>服务器</w:t>
            </w:r>
            <w:r>
              <w:rPr>
                <w:rFonts w:hint="eastAsia" w:ascii="仿宋" w:hAnsi="仿宋" w:eastAsia="仿宋" w:cs="仿宋"/>
                <w:b/>
                <w:color w:val="auto"/>
                <w:sz w:val="24"/>
                <w:szCs w:val="24"/>
                <w:u w:val="single"/>
              </w:rPr>
              <w:t xml:space="preserve"> </w:t>
            </w:r>
            <w:r>
              <w:rPr>
                <w:rFonts w:hint="eastAsia" w:ascii="仿宋" w:hAnsi="仿宋" w:eastAsia="仿宋" w:cs="仿宋"/>
                <w:b/>
                <w:color w:val="auto"/>
                <w:sz w:val="24"/>
                <w:szCs w:val="24"/>
              </w:rPr>
              <w:t>，所属行业：</w:t>
            </w:r>
            <w:r>
              <w:rPr>
                <w:rFonts w:hint="eastAsia" w:ascii="仿宋" w:hAnsi="仿宋" w:eastAsia="仿宋" w:cs="仿宋"/>
                <w:b/>
                <w:color w:val="auto"/>
                <w:sz w:val="24"/>
                <w:szCs w:val="24"/>
                <w:u w:val="single"/>
              </w:rPr>
              <w:t>工业</w:t>
            </w:r>
          </w:p>
          <w:p>
            <w:pPr>
              <w:keepNext w:val="0"/>
              <w:keepLines w:val="0"/>
              <w:pageBreakBefore w:val="0"/>
              <w:widowControl w:val="0"/>
              <w:kinsoku/>
              <w:wordWrap/>
              <w:overflowPunct/>
              <w:topLinePunct w:val="0"/>
              <w:bidi w:val="0"/>
              <w:adjustRightInd/>
              <w:snapToGrid w:val="0"/>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3.本项目不属于专门面向中小企业采购的项目，根据财库〔2020〕46号</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财库</w:t>
            </w: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rPr>
              <w:t>号的相关规定，在评审时对符合本办法规定的小微企业报价给予（</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0%）的扣除（此最终报价仅作为价格分计算）。中小企业参加政府采购活动，应当出具本办法规定的《中小企业声明函》，否则不得享受相关中小企业扶持政策。</w:t>
            </w:r>
          </w:p>
          <w:p>
            <w:pPr>
              <w:keepNext w:val="0"/>
              <w:keepLines w:val="0"/>
              <w:pageBreakBefore w:val="0"/>
              <w:widowControl w:val="0"/>
              <w:kinsoku/>
              <w:wordWrap/>
              <w:overflowPunct/>
              <w:topLinePunct w:val="0"/>
              <w:bidi w:val="0"/>
              <w:adjustRightInd/>
              <w:snapToGrid w:val="0"/>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4.根据财库[2017]141号的相关规定，在政府采购活动中，残疾人福利性单位视同小型、微型企业，享受评审中价格扣除政策。属于享受政府采购支持政策的残疾人福利性单位，应满足财库[2017]141号文件第一条的规定，并在响应文件中提供残疾人福利性单位声明函（见附件）。</w:t>
            </w:r>
          </w:p>
          <w:p>
            <w:pPr>
              <w:keepNext w:val="0"/>
              <w:keepLines w:val="0"/>
              <w:pageBreakBefore w:val="0"/>
              <w:widowControl w:val="0"/>
              <w:kinsoku/>
              <w:wordWrap/>
              <w:overflowPunct/>
              <w:topLinePunct w:val="0"/>
              <w:bidi w:val="0"/>
              <w:adjustRightInd/>
              <w:snapToGrid w:val="0"/>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5.根据财库[2014]68号的相关规定，在政府采购活动中，监狱企业视同小型、微型企业，享受评审中价格扣除政策，并在响应文件中提供由省级以上监狱管理局、戒毒管理局（含新疆生产建设兵团）出具的属于监狱企业的证明文件（格式自拟）。</w:t>
            </w:r>
          </w:p>
          <w:p>
            <w:pPr>
              <w:keepNext w:val="0"/>
              <w:keepLines w:val="0"/>
              <w:pageBreakBefore w:val="0"/>
              <w:widowControl w:val="0"/>
              <w:kinsoku/>
              <w:wordWrap/>
              <w:overflowPunct/>
              <w:topLinePunct w:val="0"/>
              <w:bidi w:val="0"/>
              <w:adjustRightInd/>
              <w:snapToGrid w:val="0"/>
              <w:spacing w:line="360" w:lineRule="auto"/>
              <w:ind w:firstLine="0" w:firstLineChars="0"/>
              <w:jc w:val="both"/>
              <w:rPr>
                <w:rFonts w:hint="eastAsia" w:ascii="仿宋" w:hAnsi="仿宋" w:eastAsia="仿宋" w:cs="仿宋"/>
                <w:b/>
                <w:bCs/>
                <w:color w:val="auto"/>
                <w:sz w:val="24"/>
                <w:szCs w:val="24"/>
              </w:rPr>
            </w:pPr>
            <w:r>
              <w:rPr>
                <w:rFonts w:hint="eastAsia" w:ascii="仿宋" w:hAnsi="仿宋" w:cs="仿宋"/>
                <w:b/>
                <w:color w:val="auto"/>
                <w:sz w:val="24"/>
                <w:szCs w:val="24"/>
                <w:lang w:eastAsia="zh-CN"/>
              </w:rPr>
              <w:t>（</w:t>
            </w:r>
            <w:r>
              <w:rPr>
                <w:rFonts w:hint="eastAsia" w:ascii="仿宋" w:hAnsi="仿宋" w:eastAsia="仿宋" w:cs="仿宋"/>
                <w:b/>
                <w:color w:val="auto"/>
                <w:sz w:val="24"/>
                <w:szCs w:val="24"/>
              </w:rPr>
              <w:t>注：未提供以上材料的，均不给予价格扣除）。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政府采购节能环保产品</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响应产品若属于节能（环保）产品的，请提供参与实施政府采购节能（环境标志）产品认证机构出具的认证证书或证书发布平台的</w:t>
            </w:r>
            <w:r>
              <w:rPr>
                <w:rFonts w:hint="eastAsia" w:ascii="仿宋" w:hAnsi="仿宋" w:cs="仿宋"/>
                <w:color w:val="auto"/>
                <w:sz w:val="24"/>
                <w:szCs w:val="24"/>
                <w:lang w:eastAsia="zh-CN"/>
              </w:rPr>
              <w:t>响应</w:t>
            </w:r>
            <w:r>
              <w:rPr>
                <w:rFonts w:hint="eastAsia" w:ascii="仿宋" w:hAnsi="仿宋" w:eastAsia="仿宋" w:cs="仿宋"/>
                <w:color w:val="auto"/>
                <w:sz w:val="24"/>
                <w:szCs w:val="24"/>
              </w:rPr>
              <w:t>产品认证证书查询截图；参与实施政府采购节能（环境标志）产品认证机构详见《市场监督总局关于发布参与实施政府采购节能产品、环境标志产品认证机构名录的公告》（2019第16号）；证书发布平台详见《财政部 发展改革委 生态环境部 市场监管总局关于调整优化节能产品、环境标志产品政府采购执行机制的通知》（财库〔2019〕9号）。</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产品属于政府强制采购节能品目的（详见《关于印发节能产品政府采购品目清单的通知》财库〔2019〕19号），响应方须按上款要求提供节能产品认证证书或规定网站证书查询截图。</w:t>
            </w:r>
            <w:r>
              <w:rPr>
                <w:rFonts w:hint="eastAsia" w:ascii="仿宋" w:hAnsi="仿宋" w:eastAsia="仿宋" w:cs="仿宋"/>
                <w:b/>
                <w:color w:val="auto"/>
                <w:sz w:val="24"/>
                <w:szCs w:val="24"/>
              </w:rPr>
              <w:t>产品属于政府强制采购节能产品品目的，响应方未提供节能产品的，其响应将作无效处理；本文件“第四章采购需求”另有规定的除外。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cs="仿宋"/>
                <w:color w:val="auto"/>
                <w:sz w:val="24"/>
                <w:szCs w:val="24"/>
                <w:lang w:val="en-US" w:eastAsia="zh-CN"/>
              </w:rPr>
              <w:t>6</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促进绿色发展有关政策</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仿宋" w:hAnsi="仿宋" w:eastAsia="仿宋" w:cs="仿宋"/>
                <w:color w:val="auto"/>
                <w:sz w:val="24"/>
                <w:szCs w:val="24"/>
              </w:rPr>
            </w:pPr>
            <w:r>
              <w:rPr>
                <w:rFonts w:hint="eastAsia" w:ascii="仿宋" w:hAnsi="仿宋" w:cs="仿宋"/>
                <w:color w:val="auto"/>
                <w:sz w:val="24"/>
                <w:szCs w:val="24"/>
                <w:lang w:val="en-US" w:eastAsia="zh-CN"/>
              </w:rPr>
              <w:t>响</w:t>
            </w:r>
            <w:r>
              <w:rPr>
                <w:rFonts w:hint="eastAsia" w:ascii="仿宋" w:hAnsi="仿宋" w:eastAsia="仿宋" w:cs="仿宋"/>
                <w:color w:val="auto"/>
                <w:sz w:val="24"/>
                <w:szCs w:val="24"/>
              </w:rPr>
              <w:t>应方参与政府采购活动中，涉及商品包装和快递包装的，其包装要参考财政部办公厅、生态环境部办公厅、国家邮政局办公室印发的《商品包装政府采购需求标准（试行）》、《快递包装政府采购需求标准（试行）》（财办库〔2020〕123号文件）。提倡响应方优先采购绿色包装产品、绿色物流配送服务以及循环利用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center"/>
              <w:rPr>
                <w:rFonts w:hint="eastAsia" w:ascii="仿宋" w:hAnsi="仿宋" w:eastAsia="仿宋" w:cs="仿宋"/>
                <w:color w:val="auto"/>
                <w:sz w:val="24"/>
                <w:szCs w:val="24"/>
                <w:lang w:eastAsia="zh-CN"/>
              </w:rPr>
            </w:pPr>
            <w:r>
              <w:rPr>
                <w:rFonts w:hint="eastAsia" w:ascii="仿宋" w:hAnsi="仿宋" w:cs="仿宋"/>
                <w:color w:val="auto"/>
                <w:sz w:val="24"/>
                <w:szCs w:val="24"/>
                <w:lang w:val="en-US" w:eastAsia="zh-CN"/>
              </w:rPr>
              <w:t>7</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质疑</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响应方如对征集文件有异议，应当于公告发布之日起至公告期限满第7个工作日内，以书面形式一次性向征集人提出，逾期不予受理。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center"/>
              <w:rPr>
                <w:rFonts w:hint="eastAsia" w:ascii="仿宋" w:hAnsi="仿宋" w:eastAsia="仿宋" w:cs="仿宋"/>
                <w:color w:val="auto"/>
                <w:sz w:val="24"/>
                <w:szCs w:val="24"/>
                <w:lang w:eastAsia="zh-CN"/>
              </w:rPr>
            </w:pPr>
            <w:r>
              <w:rPr>
                <w:rFonts w:hint="eastAsia" w:ascii="仿宋" w:hAnsi="仿宋" w:cs="仿宋"/>
                <w:color w:val="auto"/>
                <w:sz w:val="24"/>
                <w:szCs w:val="24"/>
                <w:lang w:val="en-US" w:eastAsia="zh-CN"/>
              </w:rPr>
              <w:t>8</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是否允许采购进口产品</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both"/>
              <w:rPr>
                <w:rFonts w:hint="eastAsia" w:ascii="仿宋" w:hAnsi="仿宋" w:eastAsia="仿宋" w:cs="仿宋"/>
                <w:color w:val="auto"/>
                <w:sz w:val="24"/>
                <w:szCs w:val="24"/>
              </w:rPr>
            </w:pPr>
            <w:bookmarkStart w:id="10" w:name="PO_15528_PM042"/>
            <w:r>
              <w:rPr>
                <w:rFonts w:hint="eastAsia" w:ascii="仿宋" w:hAnsi="仿宋" w:eastAsia="仿宋" w:cs="仿宋"/>
                <w:color w:val="auto"/>
                <w:sz w:val="24"/>
                <w:szCs w:val="24"/>
              </w:rPr>
              <w:t>不允许进口产品</w:t>
            </w:r>
            <w:bookmarkEnd w:id="10"/>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cs="仿宋"/>
                <w:color w:val="auto"/>
                <w:sz w:val="24"/>
                <w:szCs w:val="24"/>
                <w:lang w:val="en-US" w:eastAsia="zh-CN"/>
              </w:rPr>
              <w:t>9</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是否允许转包与分包</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转包：否</w:t>
            </w:r>
          </w:p>
          <w:p>
            <w:pPr>
              <w:keepNext w:val="0"/>
              <w:keepLines w:val="0"/>
              <w:pageBreakBefore w:val="0"/>
              <w:widowControl w:val="0"/>
              <w:kinsoku/>
              <w:wordWrap/>
              <w:overflowPunct/>
              <w:topLinePunct w:val="0"/>
              <w:bidi w:val="0"/>
              <w:adjustRightInd/>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分包：</w:t>
            </w:r>
            <w:bookmarkStart w:id="11" w:name="PO_15528_PM044"/>
            <w:r>
              <w:rPr>
                <w:rFonts w:hint="eastAsia" w:ascii="仿宋" w:hAnsi="仿宋" w:eastAsia="仿宋" w:cs="仿宋"/>
                <w:color w:val="auto"/>
                <w:sz w:val="24"/>
                <w:szCs w:val="24"/>
              </w:rPr>
              <w:t>不允许分包</w:t>
            </w:r>
            <w:bookmarkEnd w:id="11"/>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center"/>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10</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是否接受联合体</w:t>
            </w:r>
            <w:r>
              <w:rPr>
                <w:rFonts w:hint="eastAsia" w:ascii="仿宋" w:hAnsi="仿宋" w:cs="仿宋"/>
                <w:color w:val="auto"/>
                <w:sz w:val="24"/>
                <w:szCs w:val="24"/>
                <w:lang w:eastAsia="zh-CN"/>
              </w:rPr>
              <w:t>响应</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both"/>
              <w:rPr>
                <w:rFonts w:hint="eastAsia" w:ascii="仿宋" w:hAnsi="仿宋" w:eastAsia="仿宋" w:cs="仿宋"/>
                <w:color w:val="auto"/>
                <w:sz w:val="24"/>
                <w:szCs w:val="24"/>
              </w:rPr>
            </w:pPr>
            <w:bookmarkStart w:id="12" w:name="PO_15528_PM007_1"/>
            <w:r>
              <w:rPr>
                <w:rFonts w:hint="eastAsia" w:ascii="仿宋" w:hAnsi="仿宋" w:eastAsia="仿宋" w:cs="仿宋"/>
                <w:color w:val="auto"/>
                <w:sz w:val="24"/>
                <w:szCs w:val="24"/>
              </w:rPr>
              <w:t>不</w:t>
            </w:r>
            <w:r>
              <w:rPr>
                <w:rFonts w:hint="eastAsia" w:ascii="仿宋" w:hAnsi="仿宋" w:cs="仿宋"/>
                <w:color w:val="auto"/>
                <w:sz w:val="24"/>
                <w:szCs w:val="24"/>
                <w:lang w:val="en-US" w:eastAsia="zh-CN"/>
              </w:rPr>
              <w:t>接受</w:t>
            </w:r>
            <w:r>
              <w:rPr>
                <w:rFonts w:hint="eastAsia" w:ascii="仿宋" w:hAnsi="仿宋" w:eastAsia="仿宋" w:cs="仿宋"/>
                <w:color w:val="auto"/>
                <w:sz w:val="24"/>
                <w:szCs w:val="24"/>
              </w:rPr>
              <w:t>联合体</w:t>
            </w:r>
            <w:bookmarkEnd w:id="12"/>
            <w:r>
              <w:rPr>
                <w:rFonts w:hint="eastAsia" w:ascii="仿宋" w:hAnsi="仿宋" w:cs="仿宋"/>
                <w:color w:val="auto"/>
                <w:sz w:val="24"/>
                <w:szCs w:val="24"/>
                <w:lang w:eastAsia="zh-CN"/>
              </w:rPr>
              <w:t>响应</w:t>
            </w:r>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center"/>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11</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是否现场踏勘</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both"/>
              <w:rPr>
                <w:rFonts w:hint="eastAsia" w:ascii="仿宋" w:hAnsi="仿宋" w:eastAsia="仿宋" w:cs="仿宋"/>
                <w:color w:val="auto"/>
                <w:sz w:val="24"/>
                <w:szCs w:val="24"/>
              </w:rPr>
            </w:pPr>
            <w:bookmarkStart w:id="13" w:name="PO_15528_PM040"/>
            <w:r>
              <w:rPr>
                <w:rFonts w:hint="eastAsia" w:ascii="仿宋" w:hAnsi="仿宋" w:eastAsia="仿宋" w:cs="仿宋"/>
                <w:color w:val="auto"/>
                <w:sz w:val="24"/>
                <w:szCs w:val="24"/>
              </w:rPr>
              <w:t>不组织现场踏勘</w:t>
            </w:r>
            <w:bookmarkEnd w:id="13"/>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center"/>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12</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是否提供演示</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center"/>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13</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是否提供样品</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center"/>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14</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响应文件组成</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响应文件均由</w:t>
            </w:r>
            <w:r>
              <w:rPr>
                <w:rFonts w:hint="eastAsia" w:ascii="仿宋" w:hAnsi="仿宋" w:cs="仿宋"/>
                <w:color w:val="auto"/>
                <w:sz w:val="24"/>
                <w:szCs w:val="24"/>
                <w:lang w:eastAsia="zh-CN"/>
              </w:rPr>
              <w:t>资格</w:t>
            </w:r>
            <w:r>
              <w:rPr>
                <w:rFonts w:hint="eastAsia" w:ascii="仿宋" w:hAnsi="仿宋" w:eastAsia="仿宋" w:cs="仿宋"/>
                <w:color w:val="auto"/>
                <w:sz w:val="24"/>
                <w:szCs w:val="24"/>
              </w:rPr>
              <w:t>文件、技术商务文件、报价文件组成。</w:t>
            </w:r>
          </w:p>
          <w:p>
            <w:pPr>
              <w:keepNext w:val="0"/>
              <w:keepLines w:val="0"/>
              <w:pageBreakBefore w:val="0"/>
              <w:widowControl w:val="0"/>
              <w:kinsoku/>
              <w:wordWrap/>
              <w:overflowPunct/>
              <w:topLinePunct w:val="0"/>
              <w:bidi w:val="0"/>
              <w:adjustRightInd/>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响应方提供备份响应文件（正本）的，数量为1份。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center"/>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15</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电子交易平台登录方法</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both"/>
              <w:rPr>
                <w:rFonts w:hint="eastAsia" w:ascii="仿宋" w:hAnsi="仿宋" w:eastAsia="仿宋" w:cs="仿宋"/>
                <w:b/>
                <w:color w:val="auto"/>
                <w:sz w:val="24"/>
                <w:szCs w:val="24"/>
              </w:rPr>
            </w:pPr>
            <w:r>
              <w:rPr>
                <w:rFonts w:hint="eastAsia" w:ascii="仿宋" w:hAnsi="仿宋" w:eastAsia="仿宋" w:cs="仿宋"/>
                <w:b/>
                <w:color w:val="auto"/>
                <w:sz w:val="24"/>
                <w:szCs w:val="24"/>
              </w:rPr>
              <w:t>第一步：供应商注册</w:t>
            </w:r>
          </w:p>
          <w:p>
            <w:pPr>
              <w:keepNext w:val="0"/>
              <w:keepLines w:val="0"/>
              <w:pageBreakBefore w:val="0"/>
              <w:widowControl w:val="0"/>
              <w:kinsoku/>
              <w:wordWrap/>
              <w:overflowPunct/>
              <w:topLinePunct w:val="0"/>
              <w:bidi w:val="0"/>
              <w:adjustRightInd/>
              <w:spacing w:line="360" w:lineRule="auto"/>
              <w:ind w:firstLine="0" w:firstLineChars="0"/>
              <w:jc w:val="both"/>
              <w:rPr>
                <w:rFonts w:hint="eastAsia" w:ascii="仿宋" w:hAnsi="仿宋" w:eastAsia="仿宋" w:cs="仿宋"/>
                <w:b/>
                <w:color w:val="auto"/>
                <w:sz w:val="24"/>
                <w:szCs w:val="24"/>
              </w:rPr>
            </w:pPr>
            <w:r>
              <w:rPr>
                <w:rFonts w:hint="eastAsia" w:ascii="仿宋" w:hAnsi="仿宋" w:eastAsia="仿宋" w:cs="仿宋"/>
                <w:b/>
                <w:color w:val="auto"/>
                <w:sz w:val="24"/>
                <w:szCs w:val="24"/>
              </w:rPr>
              <w:t>响应方应在</w:t>
            </w:r>
            <w:r>
              <w:rPr>
                <w:rFonts w:hint="eastAsia" w:ascii="仿宋" w:hAnsi="仿宋" w:cs="仿宋"/>
                <w:b/>
                <w:color w:val="auto"/>
                <w:sz w:val="24"/>
                <w:szCs w:val="24"/>
                <w:lang w:eastAsia="zh-CN"/>
              </w:rPr>
              <w:t>响应</w:t>
            </w:r>
            <w:r>
              <w:rPr>
                <w:rFonts w:hint="eastAsia" w:ascii="仿宋" w:hAnsi="仿宋" w:eastAsia="仿宋" w:cs="仿宋"/>
                <w:b/>
                <w:color w:val="auto"/>
                <w:sz w:val="24"/>
                <w:szCs w:val="24"/>
              </w:rPr>
              <w:t>前注册成为浙江政府采购网的正式供应商（注册网址：</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"https://middle.zcygov.cn/v-settle-front/registry" </w:instrText>
            </w:r>
            <w:r>
              <w:rPr>
                <w:rFonts w:hint="eastAsia" w:ascii="仿宋" w:hAnsi="仿宋" w:eastAsia="仿宋" w:cs="仿宋"/>
                <w:color w:val="auto"/>
                <w:sz w:val="24"/>
                <w:szCs w:val="24"/>
              </w:rPr>
              <w:fldChar w:fldCharType="separate"/>
            </w:r>
            <w:r>
              <w:rPr>
                <w:rFonts w:hint="eastAsia" w:ascii="仿宋" w:hAnsi="仿宋" w:eastAsia="仿宋" w:cs="仿宋"/>
                <w:b/>
                <w:color w:val="auto"/>
                <w:sz w:val="24"/>
                <w:szCs w:val="24"/>
              </w:rPr>
              <w:t>https://middle.zcygov.cn/v-settle-front/registry</w:t>
            </w:r>
            <w:r>
              <w:rPr>
                <w:rFonts w:hint="eastAsia" w:ascii="仿宋" w:hAnsi="仿宋" w:eastAsia="仿宋" w:cs="仿宋"/>
                <w:b/>
                <w:color w:val="auto"/>
                <w:sz w:val="24"/>
                <w:szCs w:val="24"/>
              </w:rPr>
              <w:fldChar w:fldCharType="end"/>
            </w:r>
            <w:r>
              <w:rPr>
                <w:rFonts w:hint="eastAsia" w:ascii="仿宋" w:hAnsi="仿宋" w:eastAsia="仿宋" w:cs="仿宋"/>
                <w:b/>
                <w:color w:val="auto"/>
                <w:sz w:val="24"/>
                <w:szCs w:val="24"/>
              </w:rPr>
              <w:t>）；</w:t>
            </w:r>
          </w:p>
          <w:p>
            <w:pPr>
              <w:keepNext w:val="0"/>
              <w:keepLines w:val="0"/>
              <w:pageBreakBefore w:val="0"/>
              <w:widowControl w:val="0"/>
              <w:kinsoku/>
              <w:wordWrap/>
              <w:overflowPunct/>
              <w:topLinePunct w:val="0"/>
              <w:bidi w:val="0"/>
              <w:adjustRightInd/>
              <w:spacing w:line="360" w:lineRule="auto"/>
              <w:ind w:firstLine="0" w:firstLineChars="0"/>
              <w:jc w:val="both"/>
              <w:rPr>
                <w:rFonts w:hint="eastAsia" w:ascii="仿宋" w:hAnsi="仿宋" w:eastAsia="仿宋" w:cs="仿宋"/>
                <w:b/>
                <w:color w:val="auto"/>
                <w:sz w:val="24"/>
                <w:szCs w:val="24"/>
              </w:rPr>
            </w:pPr>
            <w:r>
              <w:rPr>
                <w:rFonts w:hint="eastAsia" w:ascii="仿宋" w:hAnsi="仿宋" w:eastAsia="仿宋" w:cs="仿宋"/>
                <w:b/>
                <w:color w:val="auto"/>
                <w:sz w:val="24"/>
                <w:szCs w:val="24"/>
              </w:rPr>
              <w:t>第二步：申请CA</w:t>
            </w:r>
          </w:p>
          <w:p>
            <w:pPr>
              <w:keepNext w:val="0"/>
              <w:keepLines w:val="0"/>
              <w:pageBreakBefore w:val="0"/>
              <w:widowControl w:val="0"/>
              <w:kinsoku/>
              <w:wordWrap/>
              <w:overflowPunct/>
              <w:topLinePunct w:val="0"/>
              <w:bidi w:val="0"/>
              <w:adjustRightInd/>
              <w:spacing w:line="360" w:lineRule="auto"/>
              <w:ind w:firstLine="0" w:firstLineChars="0"/>
              <w:jc w:val="both"/>
              <w:rPr>
                <w:rFonts w:hint="eastAsia" w:ascii="仿宋" w:hAnsi="仿宋" w:eastAsia="仿宋" w:cs="仿宋"/>
                <w:b/>
                <w:color w:val="auto"/>
                <w:sz w:val="24"/>
                <w:szCs w:val="24"/>
              </w:rPr>
            </w:pPr>
            <w:r>
              <w:rPr>
                <w:rFonts w:hint="eastAsia" w:ascii="仿宋" w:hAnsi="仿宋" w:eastAsia="仿宋" w:cs="仿宋"/>
                <w:b/>
                <w:color w:val="auto"/>
                <w:sz w:val="24"/>
                <w:szCs w:val="24"/>
              </w:rPr>
              <w:t>响应方应在</w:t>
            </w:r>
            <w:r>
              <w:rPr>
                <w:rFonts w:hint="eastAsia" w:ascii="仿宋" w:hAnsi="仿宋" w:cs="仿宋"/>
                <w:b/>
                <w:color w:val="auto"/>
                <w:sz w:val="24"/>
                <w:szCs w:val="24"/>
                <w:lang w:eastAsia="zh-CN"/>
              </w:rPr>
              <w:t>响应</w:t>
            </w:r>
            <w:r>
              <w:rPr>
                <w:rFonts w:hint="eastAsia" w:ascii="仿宋" w:hAnsi="仿宋" w:eastAsia="仿宋" w:cs="仿宋"/>
                <w:b/>
                <w:color w:val="auto"/>
                <w:sz w:val="24"/>
                <w:szCs w:val="24"/>
              </w:rPr>
              <w:t>前完成CA数字证书办理（办理流程详见http://zfcg.czt.zj.gov.cn/bidClientTemplate/2019-05-27/12945.html）。完成CA数字证书办理预计一周左右，建议各响应方抓紧时间办理；</w:t>
            </w:r>
          </w:p>
          <w:p>
            <w:pPr>
              <w:keepNext w:val="0"/>
              <w:keepLines w:val="0"/>
              <w:pageBreakBefore w:val="0"/>
              <w:widowControl w:val="0"/>
              <w:kinsoku/>
              <w:wordWrap/>
              <w:overflowPunct/>
              <w:topLinePunct w:val="0"/>
              <w:bidi w:val="0"/>
              <w:adjustRightInd/>
              <w:spacing w:line="360" w:lineRule="auto"/>
              <w:ind w:firstLine="0" w:firstLineChars="0"/>
              <w:jc w:val="both"/>
              <w:rPr>
                <w:rFonts w:hint="eastAsia" w:ascii="仿宋" w:hAnsi="仿宋" w:eastAsia="仿宋" w:cs="仿宋"/>
                <w:b/>
                <w:color w:val="auto"/>
                <w:sz w:val="24"/>
                <w:szCs w:val="24"/>
              </w:rPr>
            </w:pPr>
            <w:r>
              <w:rPr>
                <w:rFonts w:hint="eastAsia" w:ascii="仿宋" w:hAnsi="仿宋" w:eastAsia="仿宋" w:cs="仿宋"/>
                <w:b/>
                <w:color w:val="auto"/>
                <w:sz w:val="24"/>
                <w:szCs w:val="24"/>
              </w:rPr>
              <w:t>第三步：下载客户端</w:t>
            </w:r>
          </w:p>
          <w:p>
            <w:pPr>
              <w:keepNext w:val="0"/>
              <w:keepLines w:val="0"/>
              <w:pageBreakBefore w:val="0"/>
              <w:widowControl w:val="0"/>
              <w:kinsoku/>
              <w:wordWrap/>
              <w:overflowPunct/>
              <w:topLinePunct w:val="0"/>
              <w:bidi w:val="0"/>
              <w:adjustRightInd/>
              <w:spacing w:line="360" w:lineRule="auto"/>
              <w:ind w:firstLine="0" w:firstLineChars="0"/>
              <w:jc w:val="both"/>
              <w:rPr>
                <w:rFonts w:hint="eastAsia" w:ascii="仿宋" w:hAnsi="仿宋" w:eastAsia="仿宋" w:cs="仿宋"/>
                <w:b/>
                <w:color w:val="auto"/>
                <w:sz w:val="24"/>
                <w:szCs w:val="24"/>
              </w:rPr>
            </w:pPr>
            <w:r>
              <w:rPr>
                <w:rFonts w:hint="eastAsia" w:ascii="仿宋" w:hAnsi="仿宋" w:eastAsia="仿宋" w:cs="仿宋"/>
                <w:b/>
                <w:color w:val="auto"/>
                <w:sz w:val="24"/>
                <w:szCs w:val="24"/>
              </w:rPr>
              <w:t>响应方通过政采云电子交易客户端制作响应文件，请自行前往浙江政府采购网下载并安装（下载网址：</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"http://zfcg.czt.zj.gov.cn/bidClientTemplate/2019-09-24/12975.html" </w:instrText>
            </w:r>
            <w:r>
              <w:rPr>
                <w:rFonts w:hint="eastAsia" w:ascii="仿宋" w:hAnsi="仿宋" w:eastAsia="仿宋" w:cs="仿宋"/>
                <w:color w:val="auto"/>
                <w:sz w:val="24"/>
                <w:szCs w:val="24"/>
              </w:rPr>
              <w:fldChar w:fldCharType="separate"/>
            </w:r>
            <w:r>
              <w:rPr>
                <w:rFonts w:hint="eastAsia" w:ascii="仿宋" w:hAnsi="仿宋" w:eastAsia="仿宋" w:cs="仿宋"/>
                <w:b/>
                <w:color w:val="auto"/>
                <w:sz w:val="24"/>
                <w:szCs w:val="24"/>
              </w:rPr>
              <w:t>http://zfcg.czt.zj.gov.cn/bidClientTemplate/2019-09-24/12975.html</w:t>
            </w:r>
            <w:r>
              <w:rPr>
                <w:rFonts w:hint="eastAsia" w:ascii="仿宋" w:hAnsi="仿宋" w:eastAsia="仿宋" w:cs="仿宋"/>
                <w:b/>
                <w:color w:val="auto"/>
                <w:sz w:val="24"/>
                <w:szCs w:val="24"/>
              </w:rPr>
              <w:fldChar w:fldCharType="end"/>
            </w:r>
            <w:r>
              <w:rPr>
                <w:rFonts w:hint="eastAsia" w:ascii="仿宋" w:hAnsi="仿宋" w:eastAsia="仿宋" w:cs="仿宋"/>
                <w:b/>
                <w:color w:val="auto"/>
                <w:sz w:val="24"/>
                <w:szCs w:val="24"/>
              </w:rPr>
              <w:t>）；</w:t>
            </w:r>
          </w:p>
          <w:p>
            <w:pPr>
              <w:keepNext w:val="0"/>
              <w:keepLines w:val="0"/>
              <w:pageBreakBefore w:val="0"/>
              <w:widowControl w:val="0"/>
              <w:kinsoku/>
              <w:wordWrap/>
              <w:overflowPunct/>
              <w:topLinePunct w:val="0"/>
              <w:bidi w:val="0"/>
              <w:adjustRightInd/>
              <w:spacing w:line="360" w:lineRule="auto"/>
              <w:ind w:firstLine="0" w:firstLineChars="0"/>
              <w:jc w:val="both"/>
              <w:rPr>
                <w:rFonts w:hint="eastAsia" w:ascii="仿宋" w:hAnsi="仿宋" w:eastAsia="仿宋" w:cs="仿宋"/>
                <w:b/>
                <w:color w:val="auto"/>
                <w:sz w:val="24"/>
                <w:szCs w:val="24"/>
              </w:rPr>
            </w:pPr>
            <w:r>
              <w:rPr>
                <w:rFonts w:hint="eastAsia" w:ascii="仿宋" w:hAnsi="仿宋" w:eastAsia="仿宋" w:cs="仿宋"/>
                <w:b/>
                <w:color w:val="auto"/>
                <w:sz w:val="24"/>
                <w:szCs w:val="24"/>
              </w:rPr>
              <w:t>第四步：具体流程</w:t>
            </w:r>
          </w:p>
          <w:p>
            <w:pPr>
              <w:keepNext w:val="0"/>
              <w:keepLines w:val="0"/>
              <w:pageBreakBefore w:val="0"/>
              <w:widowControl w:val="0"/>
              <w:kinsoku/>
              <w:wordWrap/>
              <w:overflowPunct/>
              <w:topLinePunct w:val="0"/>
              <w:bidi w:val="0"/>
              <w:adjustRightInd/>
              <w:spacing w:line="360" w:lineRule="auto"/>
              <w:ind w:firstLine="0" w:firstLineChars="0"/>
              <w:jc w:val="both"/>
              <w:rPr>
                <w:rFonts w:hint="eastAsia" w:ascii="仿宋" w:hAnsi="仿宋" w:eastAsia="仿宋" w:cs="仿宋"/>
                <w:b/>
                <w:color w:val="auto"/>
                <w:sz w:val="24"/>
                <w:szCs w:val="24"/>
              </w:rPr>
            </w:pPr>
            <w:r>
              <w:rPr>
                <w:rFonts w:hint="eastAsia" w:ascii="仿宋" w:hAnsi="仿宋" w:eastAsia="仿宋" w:cs="仿宋"/>
                <w:b/>
                <w:color w:val="auto"/>
                <w:sz w:val="24"/>
                <w:szCs w:val="24"/>
              </w:rPr>
              <w:t>详见浙江省“电子交易/不见面开评标”学习专题（网址</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"https://edu.zcygov.cn/luban/e-biding" </w:instrText>
            </w:r>
            <w:r>
              <w:rPr>
                <w:rFonts w:hint="eastAsia" w:ascii="仿宋" w:hAnsi="仿宋" w:eastAsia="仿宋" w:cs="仿宋"/>
                <w:color w:val="auto"/>
                <w:sz w:val="24"/>
                <w:szCs w:val="24"/>
              </w:rPr>
              <w:fldChar w:fldCharType="separate"/>
            </w:r>
            <w:r>
              <w:rPr>
                <w:rFonts w:hint="eastAsia" w:ascii="仿宋" w:hAnsi="仿宋" w:eastAsia="仿宋" w:cs="仿宋"/>
                <w:b/>
                <w:color w:val="auto"/>
                <w:sz w:val="24"/>
                <w:szCs w:val="24"/>
              </w:rPr>
              <w:t>https://edu.zcygov.cn/luban/e-biding</w:t>
            </w:r>
            <w:r>
              <w:rPr>
                <w:rFonts w:hint="eastAsia" w:ascii="仿宋" w:hAnsi="仿宋" w:eastAsia="仿宋" w:cs="仿宋"/>
                <w:b/>
                <w:color w:val="auto"/>
                <w:sz w:val="24"/>
                <w:szCs w:val="24"/>
              </w:rPr>
              <w:fldChar w:fldCharType="end"/>
            </w:r>
            <w:r>
              <w:rPr>
                <w:rFonts w:hint="eastAsia" w:ascii="仿宋" w:hAnsi="仿宋" w:eastAsia="仿宋" w:cs="仿宋"/>
                <w:b/>
                <w:color w:val="auto"/>
                <w:sz w:val="24"/>
                <w:szCs w:val="24"/>
              </w:rPr>
              <w:t>）</w:t>
            </w:r>
          </w:p>
          <w:p>
            <w:pPr>
              <w:keepNext w:val="0"/>
              <w:keepLines w:val="0"/>
              <w:pageBreakBefore w:val="0"/>
              <w:widowControl w:val="0"/>
              <w:kinsoku/>
              <w:wordWrap/>
              <w:overflowPunct/>
              <w:topLinePunct w:val="0"/>
              <w:bidi w:val="0"/>
              <w:adjustRightInd/>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b/>
                <w:color w:val="auto"/>
                <w:sz w:val="24"/>
                <w:szCs w:val="24"/>
              </w:rPr>
              <w:t>提醒：请各响应方合理安排时间，尽快完成第一、二、三步骤，避免影响</w:t>
            </w:r>
            <w:r>
              <w:rPr>
                <w:rFonts w:hint="eastAsia" w:ascii="仿宋" w:hAnsi="仿宋" w:cs="仿宋"/>
                <w:b/>
                <w:color w:val="auto"/>
                <w:sz w:val="24"/>
                <w:szCs w:val="24"/>
                <w:lang w:eastAsia="zh-CN"/>
              </w:rPr>
              <w:t>响应</w:t>
            </w:r>
            <w:r>
              <w:rPr>
                <w:rFonts w:hint="eastAsia" w:ascii="仿宋" w:hAnsi="仿宋" w:eastAsia="仿宋" w:cs="仿宋"/>
                <w:b/>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center"/>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16</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响应文件的递交与接收</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both"/>
              <w:rPr>
                <w:rFonts w:hint="eastAsia" w:ascii="仿宋" w:hAnsi="仿宋" w:eastAsia="仿宋" w:cs="仿宋"/>
                <w:b/>
                <w:color w:val="auto"/>
                <w:sz w:val="24"/>
                <w:szCs w:val="24"/>
              </w:rPr>
            </w:pPr>
            <w:r>
              <w:rPr>
                <w:rFonts w:hint="eastAsia" w:ascii="仿宋" w:hAnsi="仿宋" w:eastAsia="仿宋" w:cs="仿宋"/>
                <w:b/>
                <w:color w:val="auto"/>
                <w:sz w:val="24"/>
                <w:szCs w:val="24"/>
              </w:rPr>
              <w:t>响应方应当在响应文件提交截止时间前完成电子响应文件的传输递交，并可以补充、修改或者撤回电子响应文件。补充或者修改电子响应文件的，应当先行撤回原文件，补充、修改后重新传输递交。提交截止时间前未完成传输的，视为撤回响应文件。提交截止时间后送达的响应文件，将被电子交易平台拒收。</w:t>
            </w:r>
          </w:p>
          <w:p>
            <w:pPr>
              <w:keepNext w:val="0"/>
              <w:keepLines w:val="0"/>
              <w:pageBreakBefore w:val="0"/>
              <w:widowControl w:val="0"/>
              <w:kinsoku/>
              <w:wordWrap/>
              <w:overflowPunct/>
              <w:topLinePunct w:val="0"/>
              <w:bidi w:val="0"/>
              <w:adjustRightInd/>
              <w:spacing w:line="360" w:lineRule="auto"/>
              <w:ind w:firstLine="0" w:firstLineChars="0"/>
              <w:jc w:val="both"/>
              <w:rPr>
                <w:rFonts w:hint="eastAsia" w:ascii="仿宋" w:hAnsi="仿宋" w:eastAsia="仿宋" w:cs="仿宋"/>
                <w:b/>
                <w:color w:val="auto"/>
                <w:sz w:val="24"/>
                <w:szCs w:val="24"/>
              </w:rPr>
            </w:pPr>
            <w:r>
              <w:rPr>
                <w:rFonts w:hint="eastAsia" w:ascii="仿宋" w:hAnsi="仿宋" w:eastAsia="仿宋" w:cs="仿宋"/>
                <w:b/>
                <w:color w:val="auto"/>
                <w:sz w:val="24"/>
                <w:szCs w:val="24"/>
              </w:rPr>
              <w:t>响应文件的接收以本项目公告要求的时间、地点和“第二章”的“响应文件的编制”等要求为准。</w:t>
            </w:r>
          </w:p>
          <w:p>
            <w:pPr>
              <w:keepNext w:val="0"/>
              <w:keepLines w:val="0"/>
              <w:pageBreakBefore w:val="0"/>
              <w:widowControl w:val="0"/>
              <w:kinsoku/>
              <w:wordWrap/>
              <w:overflowPunct/>
              <w:topLinePunct w:val="0"/>
              <w:bidi w:val="0"/>
              <w:adjustRightInd/>
              <w:spacing w:line="360" w:lineRule="auto"/>
              <w:ind w:firstLine="0" w:firstLineChars="0"/>
              <w:jc w:val="both"/>
              <w:rPr>
                <w:rFonts w:hint="eastAsia" w:ascii="仿宋" w:hAnsi="仿宋" w:eastAsia="仿宋" w:cs="仿宋"/>
                <w:b/>
                <w:color w:val="auto"/>
                <w:sz w:val="24"/>
                <w:szCs w:val="24"/>
              </w:rPr>
            </w:pPr>
            <w:r>
              <w:rPr>
                <w:rFonts w:hint="eastAsia" w:ascii="仿宋" w:hAnsi="仿宋" w:eastAsia="仿宋" w:cs="仿宋"/>
                <w:b/>
                <w:color w:val="auto"/>
                <w:sz w:val="24"/>
                <w:szCs w:val="24"/>
              </w:rPr>
              <w:t>响应方递交备份响应文件，出现下列情况之一的，将被拒收：</w:t>
            </w:r>
          </w:p>
          <w:p>
            <w:pPr>
              <w:keepNext w:val="0"/>
              <w:keepLines w:val="0"/>
              <w:pageBreakBefore w:val="0"/>
              <w:widowControl w:val="0"/>
              <w:kinsoku/>
              <w:wordWrap/>
              <w:overflowPunct/>
              <w:topLinePunct w:val="0"/>
              <w:bidi w:val="0"/>
              <w:adjustRightInd/>
              <w:spacing w:line="360" w:lineRule="auto"/>
              <w:ind w:firstLine="0" w:firstLineChars="0"/>
              <w:jc w:val="both"/>
              <w:rPr>
                <w:rFonts w:hint="eastAsia" w:ascii="仿宋" w:hAnsi="仿宋" w:eastAsia="仿宋" w:cs="仿宋"/>
                <w:b/>
                <w:color w:val="auto"/>
                <w:sz w:val="24"/>
                <w:szCs w:val="24"/>
              </w:rPr>
            </w:pPr>
            <w:r>
              <w:rPr>
                <w:rFonts w:hint="eastAsia" w:ascii="仿宋" w:hAnsi="仿宋" w:eastAsia="仿宋" w:cs="仿宋"/>
                <w:b/>
                <w:color w:val="auto"/>
                <w:sz w:val="24"/>
                <w:szCs w:val="24"/>
              </w:rPr>
              <w:t>1、未按规定密封或标记的；</w:t>
            </w:r>
          </w:p>
          <w:p>
            <w:pPr>
              <w:keepNext w:val="0"/>
              <w:keepLines w:val="0"/>
              <w:pageBreakBefore w:val="0"/>
              <w:widowControl w:val="0"/>
              <w:kinsoku/>
              <w:wordWrap/>
              <w:overflowPunct/>
              <w:topLinePunct w:val="0"/>
              <w:bidi w:val="0"/>
              <w:adjustRightInd/>
              <w:spacing w:line="360" w:lineRule="auto"/>
              <w:ind w:firstLine="0" w:firstLineChars="0"/>
              <w:jc w:val="both"/>
              <w:rPr>
                <w:rFonts w:hint="eastAsia" w:ascii="仿宋" w:hAnsi="仿宋" w:eastAsia="仿宋" w:cs="仿宋"/>
                <w:b/>
                <w:color w:val="auto"/>
                <w:sz w:val="24"/>
                <w:szCs w:val="24"/>
              </w:rPr>
            </w:pPr>
            <w:r>
              <w:rPr>
                <w:rFonts w:hint="eastAsia" w:ascii="仿宋" w:hAnsi="仿宋" w:eastAsia="仿宋" w:cs="仿宋"/>
                <w:b/>
                <w:color w:val="auto"/>
                <w:sz w:val="24"/>
                <w:szCs w:val="24"/>
              </w:rPr>
              <w:t>2、由于包装不妥，在送交途中严重破损或失散的；</w:t>
            </w:r>
          </w:p>
          <w:p>
            <w:pPr>
              <w:keepNext w:val="0"/>
              <w:keepLines w:val="0"/>
              <w:pageBreakBefore w:val="0"/>
              <w:widowControl w:val="0"/>
              <w:kinsoku/>
              <w:wordWrap/>
              <w:overflowPunct/>
              <w:topLinePunct w:val="0"/>
              <w:bidi w:val="0"/>
              <w:adjustRightInd/>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b/>
                <w:color w:val="auto"/>
                <w:sz w:val="24"/>
                <w:szCs w:val="24"/>
              </w:rPr>
              <w:t>3、超过响应文件提交截止时间送达的。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60" w:lineRule="auto"/>
              <w:ind w:firstLine="0" w:firstLineChars="0"/>
              <w:jc w:val="center"/>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17</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入围结果公告</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入围供应商确定之日起2个工作日内，将在浙江省政府采购网</w:t>
            </w:r>
            <w:r>
              <w:rPr>
                <w:rFonts w:hint="eastAsia" w:ascii="仿宋" w:hAnsi="仿宋" w:cs="仿宋"/>
                <w:color w:val="auto"/>
                <w:sz w:val="24"/>
                <w:szCs w:val="24"/>
                <w:lang w:eastAsia="zh-CN"/>
              </w:rPr>
              <w:t>（</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"http://www.zjzfcg.gov.cn/new" </w:instrText>
            </w:r>
            <w:r>
              <w:rPr>
                <w:rFonts w:hint="eastAsia" w:ascii="仿宋" w:hAnsi="仿宋" w:eastAsia="仿宋" w:cs="仿宋"/>
                <w:color w:val="auto"/>
                <w:sz w:val="24"/>
                <w:szCs w:val="24"/>
              </w:rPr>
              <w:fldChar w:fldCharType="separate"/>
            </w:r>
            <w:r>
              <w:rPr>
                <w:rStyle w:val="21"/>
                <w:rFonts w:hint="eastAsia" w:ascii="仿宋" w:hAnsi="仿宋" w:eastAsia="仿宋" w:cs="仿宋"/>
                <w:color w:val="auto"/>
                <w:sz w:val="24"/>
                <w:szCs w:val="24"/>
              </w:rPr>
              <w:t>http://www.zjzfcg.gov.cn</w:t>
            </w:r>
            <w:r>
              <w:rPr>
                <w:rStyle w:val="21"/>
                <w:rFonts w:hint="eastAsia" w:ascii="仿宋" w:hAnsi="仿宋" w:eastAsia="仿宋" w:cs="仿宋"/>
                <w:color w:val="auto"/>
                <w:sz w:val="24"/>
                <w:szCs w:val="24"/>
              </w:rPr>
              <w:fldChar w:fldCharType="end"/>
            </w:r>
            <w:r>
              <w:rPr>
                <w:rFonts w:hint="eastAsia" w:ascii="仿宋" w:hAnsi="仿宋" w:eastAsia="仿宋" w:cs="仿宋"/>
                <w:color w:val="auto"/>
                <w:sz w:val="24"/>
                <w:szCs w:val="24"/>
              </w:rPr>
              <w:t>)发布入围结果公告</w:t>
            </w:r>
            <w:r>
              <w:rPr>
                <w:rFonts w:hint="eastAsia" w:ascii="仿宋" w:hAnsi="仿宋" w:eastAsia="仿宋" w:cs="仿宋"/>
                <w:b/>
                <w:color w:val="auto"/>
                <w:sz w:val="24"/>
                <w:szCs w:val="24"/>
              </w:rPr>
              <w:t>（入围供应商为中小企业的，其声明函将随入围结果同时公告）</w:t>
            </w:r>
            <w:r>
              <w:rPr>
                <w:rFonts w:hint="eastAsia" w:ascii="仿宋" w:hAnsi="仿宋" w:eastAsia="仿宋" w:cs="仿宋"/>
                <w:color w:val="auto"/>
                <w:sz w:val="24"/>
                <w:szCs w:val="24"/>
              </w:rPr>
              <w:t>，公告期限为1个工作日。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60" w:lineRule="auto"/>
              <w:ind w:firstLine="0" w:firstLineChars="0"/>
              <w:jc w:val="center"/>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18</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bottom"/>
              <w:rPr>
                <w:rFonts w:hint="eastAsia" w:ascii="仿宋" w:hAnsi="仿宋" w:eastAsia="仿宋" w:cs="仿宋"/>
                <w:color w:val="auto"/>
                <w:sz w:val="24"/>
                <w:szCs w:val="24"/>
              </w:rPr>
            </w:pPr>
            <w:r>
              <w:rPr>
                <w:rFonts w:hint="eastAsia" w:ascii="仿宋" w:hAnsi="仿宋" w:eastAsia="仿宋" w:cs="仿宋"/>
                <w:color w:val="auto"/>
                <w:sz w:val="24"/>
                <w:szCs w:val="24"/>
              </w:rPr>
              <w:t>履约保证金</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both"/>
              <w:textAlignment w:val="bottom"/>
              <w:rPr>
                <w:rFonts w:hint="eastAsia" w:ascii="仿宋" w:hAnsi="仿宋" w:eastAsia="仿宋" w:cs="仿宋"/>
                <w:color w:val="auto"/>
                <w:sz w:val="24"/>
                <w:szCs w:val="24"/>
              </w:rPr>
            </w:pPr>
            <w:r>
              <w:rPr>
                <w:rFonts w:hint="eastAsia" w:ascii="仿宋" w:hAnsi="仿宋" w:eastAsia="仿宋" w:cs="仿宋"/>
                <w:color w:val="auto"/>
                <w:sz w:val="24"/>
                <w:szCs w:val="24"/>
              </w:rPr>
              <w:t>框架协议无需缴纳履约保证金。第二阶段合同签订时，采购人按《中华人民共和国政府采购法实施条例》有关规定自行收取项目履约保证金。采购人要求成交供应商提交履约保证金的，供应商应当以支票、汇票、本票或者金融机构、担保机构出具的保函等非现金形式提交。履约保证金的数额不得超过政府采购合同金额的</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60" w:lineRule="auto"/>
              <w:ind w:firstLine="0" w:firstLineChars="0"/>
              <w:jc w:val="center"/>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19</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bottom"/>
              <w:rPr>
                <w:rFonts w:hint="eastAsia" w:ascii="仿宋" w:hAnsi="仿宋" w:eastAsia="仿宋" w:cs="仿宋"/>
                <w:color w:val="auto"/>
                <w:sz w:val="24"/>
                <w:szCs w:val="24"/>
              </w:rPr>
            </w:pPr>
            <w:r>
              <w:rPr>
                <w:rFonts w:hint="eastAsia" w:ascii="仿宋" w:hAnsi="仿宋" w:eastAsia="仿宋" w:cs="仿宋"/>
                <w:color w:val="auto"/>
                <w:sz w:val="24"/>
                <w:szCs w:val="24"/>
              </w:rPr>
              <w:t>付款方式</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both"/>
              <w:textAlignment w:val="bottom"/>
              <w:rPr>
                <w:rFonts w:hint="eastAsia" w:ascii="仿宋" w:hAnsi="仿宋" w:eastAsia="仿宋" w:cs="仿宋"/>
                <w:color w:val="auto"/>
                <w:sz w:val="24"/>
                <w:szCs w:val="24"/>
              </w:rPr>
            </w:pPr>
            <w:r>
              <w:rPr>
                <w:rFonts w:hint="eastAsia" w:ascii="仿宋" w:hAnsi="仿宋" w:eastAsia="仿宋" w:cs="仿宋"/>
                <w:color w:val="auto"/>
                <w:sz w:val="24"/>
                <w:szCs w:val="24"/>
              </w:rPr>
              <w:t>国库集中支付（采购人自行支付）详见各</w:t>
            </w:r>
            <w:r>
              <w:rPr>
                <w:rFonts w:hint="eastAsia" w:ascii="仿宋" w:hAnsi="仿宋" w:cs="仿宋"/>
                <w:color w:val="auto"/>
                <w:sz w:val="24"/>
                <w:szCs w:val="24"/>
                <w:lang w:eastAsia="zh-CN"/>
              </w:rPr>
              <w:t>采购包</w:t>
            </w:r>
            <w:r>
              <w:rPr>
                <w:rFonts w:hint="eastAsia" w:ascii="仿宋" w:hAnsi="仿宋" w:eastAsia="仿宋" w:cs="仿宋"/>
                <w:color w:val="auto"/>
                <w:sz w:val="24"/>
                <w:szCs w:val="24"/>
              </w:rPr>
              <w:t>的商务要求表。</w:t>
            </w:r>
          </w:p>
          <w:p>
            <w:pPr>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both"/>
              <w:textAlignment w:val="bottom"/>
              <w:rPr>
                <w:rFonts w:hint="eastAsia" w:ascii="仿宋" w:hAnsi="仿宋" w:eastAsia="仿宋" w:cs="仿宋"/>
                <w:color w:val="auto"/>
                <w:sz w:val="24"/>
                <w:szCs w:val="24"/>
              </w:rPr>
            </w:pPr>
            <w:r>
              <w:rPr>
                <w:rFonts w:hint="eastAsia" w:ascii="仿宋" w:hAnsi="仿宋" w:eastAsia="仿宋" w:cs="仿宋"/>
                <w:b/>
                <w:color w:val="auto"/>
                <w:sz w:val="24"/>
                <w:szCs w:val="24"/>
              </w:rPr>
              <w:t>根据《中华人民共和国中小企业促进法》《保障中小企业款项支付条例</w:t>
            </w:r>
            <w:r>
              <w:rPr>
                <w:rFonts w:hint="eastAsia" w:ascii="仿宋" w:hAnsi="仿宋" w:cs="仿宋"/>
                <w:b/>
                <w:color w:val="auto"/>
                <w:sz w:val="24"/>
                <w:szCs w:val="24"/>
                <w:lang w:eastAsia="zh-CN"/>
              </w:rPr>
              <w:t>》《</w:t>
            </w:r>
            <w:r>
              <w:rPr>
                <w:rFonts w:hint="eastAsia" w:ascii="仿宋" w:hAnsi="仿宋" w:eastAsia="仿宋" w:cs="仿宋"/>
                <w:b/>
                <w:color w:val="auto"/>
                <w:sz w:val="24"/>
                <w:szCs w:val="24"/>
              </w:rPr>
              <w:t>浙江省财政厅关于进一步发挥政府采购政策功能全力推动经济稳进提质的通知》等规范要求，采购人认为符合条件的，在第四部分《采购需求》付款条件中，明确对相关企业在资金支付期限、预付款比例等方面的优惠措施</w:t>
            </w:r>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60" w:lineRule="auto"/>
              <w:ind w:firstLine="0" w:firstLineChars="0"/>
              <w:jc w:val="center"/>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20</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bottom"/>
              <w:rPr>
                <w:rFonts w:hint="eastAsia" w:ascii="仿宋" w:hAnsi="仿宋" w:eastAsia="仿宋" w:cs="仿宋"/>
                <w:color w:val="auto"/>
                <w:sz w:val="24"/>
                <w:szCs w:val="24"/>
              </w:rPr>
            </w:pPr>
            <w:r>
              <w:rPr>
                <w:rFonts w:hint="eastAsia" w:ascii="仿宋" w:hAnsi="仿宋" w:eastAsia="仿宋" w:cs="仿宋"/>
                <w:color w:val="auto"/>
                <w:sz w:val="24"/>
                <w:szCs w:val="24"/>
              </w:rPr>
              <w:t>响应文件有效期</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both"/>
              <w:textAlignment w:val="bottom"/>
              <w:rPr>
                <w:rFonts w:hint="eastAsia" w:ascii="仿宋" w:hAnsi="仿宋" w:eastAsia="仿宋" w:cs="仿宋"/>
                <w:color w:val="auto"/>
                <w:sz w:val="24"/>
                <w:szCs w:val="24"/>
              </w:rPr>
            </w:pPr>
            <w:r>
              <w:rPr>
                <w:rFonts w:hint="eastAsia" w:ascii="仿宋" w:hAnsi="仿宋" w:eastAsia="仿宋" w:cs="仿宋"/>
                <w:color w:val="auto"/>
                <w:sz w:val="24"/>
                <w:szCs w:val="24"/>
              </w:rPr>
              <w:t>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60" w:lineRule="auto"/>
              <w:ind w:firstLine="0" w:firstLineChars="0"/>
              <w:jc w:val="center"/>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21</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框架协议签订时间</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入围通知书发出后30日内。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center"/>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22</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征集人代理费用</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center"/>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23</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解释权</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本征集文件的解释权属于浙江省政府采购中心。</w:t>
            </w:r>
          </w:p>
        </w:tc>
      </w:tr>
    </w:tbl>
    <w:p>
      <w:pPr>
        <w:pStyle w:val="11"/>
        <w:pageBreakBefore w:val="0"/>
        <w:widowControl w:val="0"/>
        <w:kinsoku/>
        <w:wordWrap/>
        <w:overflowPunct/>
        <w:topLinePunct w:val="0"/>
        <w:autoSpaceDE/>
        <w:autoSpaceDN/>
        <w:bidi w:val="0"/>
        <w:adjustRightInd/>
        <w:snapToGrid w:val="0"/>
        <w:spacing w:before="240" w:beforeLines="100" w:after="240" w:afterLines="100" w:line="360" w:lineRule="auto"/>
        <w:jc w:val="center"/>
        <w:textAlignment w:val="auto"/>
        <w:rPr>
          <w:rStyle w:val="28"/>
          <w:color w:val="auto"/>
          <w:sz w:val="40"/>
          <w:szCs w:val="40"/>
        </w:rPr>
      </w:pPr>
      <w:r>
        <w:rPr>
          <w:rFonts w:ascii="仿宋" w:hAnsi="仿宋" w:eastAsia="仿宋_GB2312"/>
          <w:color w:val="auto"/>
          <w:sz w:val="32"/>
          <w:szCs w:val="32"/>
        </w:rPr>
        <w:br w:type="page"/>
      </w:r>
      <w:r>
        <w:rPr>
          <w:rFonts w:hint="eastAsia" w:ascii="Calibri" w:hAnsi="Calibri" w:eastAsia="仿宋" w:cs="Times New Roman"/>
          <w:b/>
          <w:color w:val="auto"/>
          <w:kern w:val="2"/>
          <w:sz w:val="40"/>
          <w:szCs w:val="40"/>
          <w:lang w:val="en-US" w:eastAsia="zh-CN" w:bidi="ar-SA"/>
        </w:rPr>
        <w:t>一、总  则</w:t>
      </w:r>
    </w:p>
    <w:p>
      <w:pPr>
        <w:pStyle w:val="4"/>
        <w:pageBreakBefore w:val="0"/>
        <w:widowControl w:val="0"/>
        <w:kinsoku/>
        <w:wordWrap/>
        <w:overflowPunct/>
        <w:topLinePunct w:val="0"/>
        <w:autoSpaceDE/>
        <w:autoSpaceDN/>
        <w:bidi w:val="0"/>
        <w:adjustRightInd/>
        <w:spacing w:line="360" w:lineRule="auto"/>
        <w:ind w:firstLine="643" w:firstLineChars="200"/>
        <w:textAlignment w:val="auto"/>
        <w:rPr>
          <w:color w:val="auto"/>
          <w:sz w:val="32"/>
          <w:szCs w:val="32"/>
        </w:rPr>
      </w:pPr>
      <w:r>
        <w:rPr>
          <w:rFonts w:hint="eastAsia"/>
          <w:color w:val="auto"/>
          <w:sz w:val="32"/>
          <w:szCs w:val="32"/>
        </w:rPr>
        <w:t>（一）适用范围</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仅适用于本次征集文件中采购项目的征集、响应、评标、定标、验收、合同履约、付款等行为（法律、法规另有规定的，从其规定）。</w:t>
      </w:r>
    </w:p>
    <w:p>
      <w:pPr>
        <w:pStyle w:val="4"/>
        <w:pageBreakBefore w:val="0"/>
        <w:widowControl w:val="0"/>
        <w:kinsoku/>
        <w:wordWrap/>
        <w:overflowPunct/>
        <w:topLinePunct w:val="0"/>
        <w:autoSpaceDE/>
        <w:autoSpaceDN/>
        <w:bidi w:val="0"/>
        <w:adjustRightInd/>
        <w:spacing w:line="360" w:lineRule="auto"/>
        <w:ind w:firstLine="643" w:firstLineChars="200"/>
        <w:textAlignment w:val="auto"/>
        <w:rPr>
          <w:color w:val="auto"/>
          <w:sz w:val="32"/>
          <w:szCs w:val="32"/>
        </w:rPr>
      </w:pPr>
      <w:r>
        <w:rPr>
          <w:rFonts w:hint="eastAsia"/>
          <w:color w:val="auto"/>
          <w:sz w:val="32"/>
          <w:szCs w:val="32"/>
        </w:rPr>
        <w:t xml:space="preserve">（二）定义 </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1.征集人：指组织本项目采购的浙江省政府采购中心。</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2.响应方：</w:t>
      </w:r>
      <w:r>
        <w:rPr>
          <w:color w:val="auto"/>
          <w:sz w:val="32"/>
          <w:szCs w:val="32"/>
        </w:rPr>
        <w:t>指响应</w:t>
      </w:r>
      <w:r>
        <w:rPr>
          <w:rFonts w:hint="eastAsia"/>
          <w:color w:val="auto"/>
          <w:sz w:val="32"/>
          <w:szCs w:val="32"/>
        </w:rPr>
        <w:t>征集</w:t>
      </w:r>
      <w:r>
        <w:rPr>
          <w:color w:val="auto"/>
          <w:sz w:val="32"/>
          <w:szCs w:val="32"/>
        </w:rPr>
        <w:t>、参加</w:t>
      </w:r>
      <w:r>
        <w:rPr>
          <w:rFonts w:hint="eastAsia"/>
          <w:color w:val="auto"/>
          <w:sz w:val="32"/>
          <w:szCs w:val="32"/>
        </w:rPr>
        <w:t>响应</w:t>
      </w:r>
      <w:r>
        <w:rPr>
          <w:color w:val="auto"/>
          <w:sz w:val="32"/>
          <w:szCs w:val="32"/>
        </w:rPr>
        <w:t>竞争的法人、其他组织或者自然人</w:t>
      </w:r>
      <w:r>
        <w:rPr>
          <w:rFonts w:hint="eastAsia"/>
          <w:color w:val="auto"/>
          <w:sz w:val="32"/>
          <w:szCs w:val="32"/>
        </w:rPr>
        <w:t>。</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3.采购人：指根据本次征集结果采购相应货物、服务项目的浙江省各级预算单位。</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4.货物：指征集文件规定响应方须向采购人提供的一切材料、设备、机械、仪器仪表、工具及其它有关技术资料和文字材料。</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5.服务：指征集文件规定响应方须承担的劳务以及其他类似的义务。</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6.项目：指响应方按征集文件规定向采购人提供的需求总称。</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7.电子交易平台</w:t>
      </w:r>
      <w:r>
        <w:rPr>
          <w:rFonts w:hint="eastAsia"/>
          <w:color w:val="auto"/>
          <w:sz w:val="32"/>
          <w:szCs w:val="32"/>
          <w:lang w:eastAsia="zh-CN"/>
        </w:rPr>
        <w:t>：</w:t>
      </w:r>
      <w:r>
        <w:rPr>
          <w:rFonts w:hint="eastAsia"/>
          <w:color w:val="auto"/>
          <w:sz w:val="32"/>
          <w:szCs w:val="32"/>
        </w:rPr>
        <w:t>指</w:t>
      </w:r>
      <w:r>
        <w:rPr>
          <w:color w:val="auto"/>
          <w:sz w:val="32"/>
          <w:szCs w:val="32"/>
        </w:rPr>
        <w:t>政府采购项目电子交易平台</w:t>
      </w:r>
      <w:r>
        <w:rPr>
          <w:rFonts w:hint="eastAsia"/>
          <w:color w:val="auto"/>
          <w:sz w:val="32"/>
          <w:szCs w:val="32"/>
        </w:rPr>
        <w:t>，即</w:t>
      </w:r>
      <w:r>
        <w:rPr>
          <w:color w:val="auto"/>
          <w:sz w:val="32"/>
          <w:szCs w:val="32"/>
        </w:rPr>
        <w:t>政采云平台。</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8.中小企业：</w:t>
      </w:r>
      <w:r>
        <w:rPr>
          <w:color w:val="auto"/>
          <w:sz w:val="32"/>
          <w:szCs w:val="32"/>
        </w:rPr>
        <w:t>是指在中华人民共和国境内依法设立，依据国务院批准的中小企业划分标准确定的中型企业、小型企业和微型企业，但与大企业的负责人为同一人，或者与大企业存在直接控股、管理关系的除外。</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color w:val="auto"/>
          <w:sz w:val="32"/>
          <w:szCs w:val="32"/>
        </w:rPr>
        <w:t>符合中小企业划分标准的个体工商户，在政府采购活动中视同中小企业。</w:t>
      </w:r>
    </w:p>
    <w:p>
      <w:pPr>
        <w:pStyle w:val="4"/>
        <w:pageBreakBefore w:val="0"/>
        <w:widowControl w:val="0"/>
        <w:kinsoku/>
        <w:wordWrap/>
        <w:overflowPunct/>
        <w:topLinePunct w:val="0"/>
        <w:autoSpaceDE/>
        <w:autoSpaceDN/>
        <w:bidi w:val="0"/>
        <w:adjustRightInd/>
        <w:spacing w:line="360" w:lineRule="auto"/>
        <w:ind w:firstLine="643" w:firstLineChars="200"/>
        <w:textAlignment w:val="auto"/>
        <w:rPr>
          <w:color w:val="auto"/>
          <w:sz w:val="32"/>
          <w:szCs w:val="32"/>
        </w:rPr>
      </w:pPr>
      <w:r>
        <w:rPr>
          <w:rFonts w:hint="eastAsia"/>
          <w:color w:val="auto"/>
          <w:sz w:val="32"/>
          <w:szCs w:val="32"/>
        </w:rPr>
        <w:t>（三）响应方及委托有关说明</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1.如授权代表不是法定代表人，须有法定代表人出具的授权委托书（格式见附件）。</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2.响应方响应所使用的资格、信誉、荣誉、业绩与企业认证必须为本法人所拥有。响应方响应所使用的采购项目实施人员必须为响应方员工（或响应方控股公司正式员工）。</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3.单位负责人为同一人或者存在直接控股、管理关系的不同供应商，不得参加同一合同项下的政府采购活动。</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4.响应方应仔细阅读征集文件的所有内容，按照征集文件的要求提交响应文件，并对所提供的全部资料的真实性承担法律责任。</w:t>
      </w:r>
    </w:p>
    <w:p>
      <w:pPr>
        <w:pStyle w:val="4"/>
        <w:pageBreakBefore w:val="0"/>
        <w:widowControl w:val="0"/>
        <w:kinsoku/>
        <w:wordWrap/>
        <w:overflowPunct/>
        <w:topLinePunct w:val="0"/>
        <w:autoSpaceDE/>
        <w:autoSpaceDN/>
        <w:bidi w:val="0"/>
        <w:adjustRightInd/>
        <w:spacing w:line="360" w:lineRule="auto"/>
        <w:ind w:firstLine="643" w:firstLineChars="200"/>
        <w:textAlignment w:val="auto"/>
        <w:rPr>
          <w:color w:val="auto"/>
          <w:sz w:val="32"/>
          <w:szCs w:val="32"/>
        </w:rPr>
      </w:pPr>
      <w:r>
        <w:rPr>
          <w:rFonts w:hint="eastAsia"/>
          <w:color w:val="auto"/>
          <w:sz w:val="32"/>
          <w:szCs w:val="32"/>
        </w:rPr>
        <w:t>（四）响应费用</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不论响应结果如何，响应方均应自行承担所有与响应有关的全部费用（征集文件有其他相反规定除外）。</w:t>
      </w:r>
    </w:p>
    <w:p>
      <w:pPr>
        <w:pStyle w:val="4"/>
        <w:pageBreakBefore w:val="0"/>
        <w:widowControl w:val="0"/>
        <w:kinsoku/>
        <w:wordWrap/>
        <w:overflowPunct/>
        <w:topLinePunct w:val="0"/>
        <w:autoSpaceDE/>
        <w:autoSpaceDN/>
        <w:bidi w:val="0"/>
        <w:adjustRightInd/>
        <w:spacing w:line="360" w:lineRule="auto"/>
        <w:ind w:firstLine="643" w:firstLineChars="200"/>
        <w:textAlignment w:val="auto"/>
        <w:rPr>
          <w:color w:val="auto"/>
          <w:sz w:val="32"/>
          <w:szCs w:val="32"/>
        </w:rPr>
      </w:pPr>
      <w:r>
        <w:rPr>
          <w:rFonts w:hint="eastAsia"/>
          <w:color w:val="auto"/>
          <w:sz w:val="32"/>
          <w:szCs w:val="32"/>
        </w:rPr>
        <w:t>（五）质疑</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1.响应方认为征集过程或</w:t>
      </w:r>
      <w:r>
        <w:rPr>
          <w:rFonts w:hint="eastAsia"/>
          <w:color w:val="auto"/>
          <w:sz w:val="32"/>
          <w:szCs w:val="32"/>
          <w:lang w:eastAsia="zh-CN"/>
        </w:rPr>
        <w:t>入围</w:t>
      </w:r>
      <w:r>
        <w:rPr>
          <w:rFonts w:hint="eastAsia"/>
          <w:color w:val="auto"/>
          <w:sz w:val="32"/>
          <w:szCs w:val="32"/>
        </w:rPr>
        <w:t>结果使自己的合法权益受到损害的，可以在</w:t>
      </w:r>
      <w:r>
        <w:rPr>
          <w:rFonts w:hint="eastAsia"/>
          <w:color w:val="auto"/>
          <w:sz w:val="32"/>
          <w:szCs w:val="32"/>
          <w:lang w:eastAsia="zh-CN"/>
        </w:rPr>
        <w:t>入围</w:t>
      </w:r>
      <w:r>
        <w:rPr>
          <w:rFonts w:hint="eastAsia"/>
          <w:color w:val="auto"/>
          <w:sz w:val="32"/>
          <w:szCs w:val="32"/>
        </w:rPr>
        <w:t>结果公告期限届满之日起七个工作日内，以书面形式向征集人提出质疑。</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2.质疑应当以书面形式提出，格式见《政府采购质疑和投诉办法》（财政部令第94号）附件范本，下载网址：浙江政府采购网</w:t>
      </w:r>
      <w:r>
        <w:rPr>
          <w:rFonts w:hint="eastAsia"/>
          <w:color w:val="auto"/>
          <w:sz w:val="32"/>
          <w:szCs w:val="32"/>
          <w:lang w:eastAsia="zh-CN"/>
        </w:rPr>
        <w:t>（</w:t>
      </w:r>
      <w:r>
        <w:rPr>
          <w:color w:val="auto"/>
          <w:sz w:val="32"/>
          <w:szCs w:val="32"/>
        </w:rPr>
        <w:fldChar w:fldCharType="begin"/>
      </w:r>
      <w:r>
        <w:rPr>
          <w:color w:val="auto"/>
          <w:sz w:val="32"/>
          <w:szCs w:val="32"/>
        </w:rPr>
        <w:instrText xml:space="preserve"> HYPERLINK "http://zfcg.czt.zj.gov.cn/" </w:instrText>
      </w:r>
      <w:r>
        <w:rPr>
          <w:color w:val="auto"/>
          <w:sz w:val="32"/>
          <w:szCs w:val="32"/>
        </w:rPr>
        <w:fldChar w:fldCharType="separate"/>
      </w:r>
      <w:r>
        <w:rPr>
          <w:color w:val="auto"/>
          <w:sz w:val="32"/>
          <w:szCs w:val="32"/>
        </w:rPr>
        <w:t>http://zfcg.czt.zj.gov.cn/</w:t>
      </w:r>
      <w:r>
        <w:rPr>
          <w:color w:val="auto"/>
          <w:sz w:val="32"/>
          <w:szCs w:val="32"/>
        </w:rPr>
        <w:fldChar w:fldCharType="end"/>
      </w:r>
      <w:r>
        <w:rPr>
          <w:rFonts w:hint="eastAsia"/>
          <w:color w:val="auto"/>
          <w:sz w:val="32"/>
          <w:szCs w:val="32"/>
        </w:rPr>
        <w:t>)，位置：“首页</w:t>
      </w:r>
      <w:r>
        <w:rPr>
          <w:rFonts w:hint="eastAsia"/>
          <w:color w:val="auto"/>
          <w:sz w:val="32"/>
          <w:szCs w:val="32"/>
          <w:lang w:eastAsia="zh-CN"/>
        </w:rPr>
        <w:t>－</w:t>
      </w:r>
      <w:r>
        <w:rPr>
          <w:rFonts w:hint="eastAsia"/>
          <w:color w:val="auto"/>
          <w:sz w:val="32"/>
          <w:szCs w:val="32"/>
        </w:rPr>
        <w:t>下载专区</w:t>
      </w:r>
      <w:r>
        <w:rPr>
          <w:rFonts w:hint="eastAsia"/>
          <w:color w:val="auto"/>
          <w:sz w:val="32"/>
          <w:szCs w:val="32"/>
          <w:lang w:eastAsia="zh-CN"/>
        </w:rPr>
        <w:t>－</w:t>
      </w:r>
      <w:r>
        <w:rPr>
          <w:rFonts w:hint="eastAsia"/>
          <w:color w:val="auto"/>
          <w:sz w:val="32"/>
          <w:szCs w:val="32"/>
        </w:rPr>
        <w:t>质疑投诉模板”。供应商提出质疑应当提交质疑函和必要的证明材料。供应商应当在法定质疑期内一次性提出针对同一采购程序环节的质疑。</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质疑函应当包括下列内容：</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a.供应商的姓名或者名称、地址、邮编、联系人及联系电话；</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b.质疑项目的名称、编号；</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c.具体、明确的质疑事项和与质疑事项相关的请求；</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d.事实依据；</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e.必要的法律依据；</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f.提出质疑的日期。</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供应商为自然人的，应当由本人签字；供应商为法人或者其他组织的，应当由法定代表人、主要负责人，或者其授权代表签字或者盖章，并加盖公章。质疑应明确阐述征集过程或</w:t>
      </w:r>
      <w:r>
        <w:rPr>
          <w:rFonts w:hint="eastAsia"/>
          <w:color w:val="auto"/>
          <w:sz w:val="32"/>
          <w:szCs w:val="32"/>
          <w:lang w:eastAsia="zh-CN"/>
        </w:rPr>
        <w:t>入围</w:t>
      </w:r>
      <w:r>
        <w:rPr>
          <w:rFonts w:hint="eastAsia"/>
          <w:color w:val="auto"/>
          <w:sz w:val="32"/>
          <w:szCs w:val="32"/>
        </w:rPr>
        <w:t>结果中使自己合法权益受到损害的实质性内容，提供相关事实、依据和证据及其来源或线索，便于有关单位调查、答复和处理</w:t>
      </w:r>
      <w:r>
        <w:rPr>
          <w:rFonts w:hint="eastAsia"/>
          <w:color w:val="auto"/>
          <w:sz w:val="32"/>
          <w:szCs w:val="32"/>
          <w:lang w:eastAsia="zh-CN"/>
        </w:rPr>
        <w:t>，</w:t>
      </w:r>
      <w:r>
        <w:rPr>
          <w:rFonts w:hint="eastAsia"/>
          <w:color w:val="auto"/>
          <w:sz w:val="32"/>
          <w:szCs w:val="32"/>
        </w:rPr>
        <w:t>质疑函不符合《政府采购质疑和投诉办法》相关规定的，应在规定期限内补齐的，征集人自收到补齐材料之日起受理；逾期未补齐的，按自动撤回质疑处理。</w:t>
      </w:r>
    </w:p>
    <w:p>
      <w:pPr>
        <w:pStyle w:val="4"/>
        <w:pageBreakBefore w:val="0"/>
        <w:widowControl w:val="0"/>
        <w:kinsoku/>
        <w:wordWrap/>
        <w:overflowPunct/>
        <w:topLinePunct w:val="0"/>
        <w:autoSpaceDE/>
        <w:autoSpaceDN/>
        <w:bidi w:val="0"/>
        <w:adjustRightInd/>
        <w:spacing w:line="360" w:lineRule="auto"/>
        <w:ind w:firstLine="643" w:firstLineChars="200"/>
        <w:textAlignment w:val="auto"/>
        <w:rPr>
          <w:color w:val="auto"/>
          <w:sz w:val="32"/>
          <w:szCs w:val="32"/>
        </w:rPr>
      </w:pPr>
      <w:r>
        <w:rPr>
          <w:rFonts w:hint="eastAsia"/>
          <w:color w:val="auto"/>
          <w:sz w:val="32"/>
          <w:szCs w:val="32"/>
        </w:rPr>
        <w:t xml:space="preserve">（六）征集文件的澄清与修改 </w:t>
      </w:r>
    </w:p>
    <w:p>
      <w:pPr>
        <w:pStyle w:val="11"/>
        <w:pageBreakBefore w:val="0"/>
        <w:widowControl w:val="0"/>
        <w:kinsoku/>
        <w:wordWrap/>
        <w:overflowPunct/>
        <w:topLinePunct w:val="0"/>
        <w:autoSpaceDE/>
        <w:autoSpaceDN/>
        <w:bidi w:val="0"/>
        <w:adjustRightInd/>
        <w:snapToGrid w:val="0"/>
        <w:spacing w:before="120" w:after="120" w:line="360" w:lineRule="auto"/>
        <w:ind w:firstLine="640" w:firstLineChars="200"/>
        <w:textAlignment w:val="auto"/>
        <w:rPr>
          <w:rFonts w:hint="eastAsia" w:ascii="Calibri" w:hAnsi="Calibri" w:eastAsia="仿宋" w:cs="Times New Roman"/>
          <w:color w:val="auto"/>
          <w:kern w:val="2"/>
          <w:sz w:val="32"/>
          <w:szCs w:val="32"/>
          <w:lang w:val="en-US" w:eastAsia="zh-CN" w:bidi="ar-SA"/>
        </w:rPr>
      </w:pPr>
      <w:r>
        <w:rPr>
          <w:rFonts w:hint="eastAsia" w:ascii="Calibri" w:hAnsi="Calibri" w:eastAsia="仿宋" w:cs="Times New Roman"/>
          <w:color w:val="auto"/>
          <w:kern w:val="2"/>
          <w:sz w:val="32"/>
          <w:szCs w:val="32"/>
          <w:lang w:val="en-US" w:eastAsia="zh-CN" w:bidi="ar-SA"/>
        </w:rPr>
        <w:t>1.响应方应认真阅读本征集文件，发现其中有误或有不合理要求的，响应方应当于公告发布之日起至公告期限满第7个工作日内以书面形式向征集人提出。征集人将在规定的时间内，在财政部门指定的政府采购信息发布媒体上发布更正公告，并以书面形式通知所有征集文件收受人。逾期提出征集人将不予受理。</w:t>
      </w:r>
    </w:p>
    <w:p>
      <w:pPr>
        <w:pStyle w:val="11"/>
        <w:pageBreakBefore w:val="0"/>
        <w:widowControl w:val="0"/>
        <w:kinsoku/>
        <w:wordWrap/>
        <w:overflowPunct/>
        <w:topLinePunct w:val="0"/>
        <w:autoSpaceDE/>
        <w:autoSpaceDN/>
        <w:bidi w:val="0"/>
        <w:adjustRightInd/>
        <w:snapToGrid w:val="0"/>
        <w:spacing w:before="120" w:after="120" w:line="360" w:lineRule="auto"/>
        <w:ind w:firstLine="640" w:firstLineChars="200"/>
        <w:textAlignment w:val="auto"/>
        <w:rPr>
          <w:rFonts w:hint="eastAsia" w:ascii="Calibri" w:hAnsi="Calibri" w:eastAsia="仿宋" w:cs="Times New Roman"/>
          <w:color w:val="auto"/>
          <w:kern w:val="2"/>
          <w:sz w:val="32"/>
          <w:szCs w:val="32"/>
          <w:lang w:val="en-US" w:eastAsia="zh-CN" w:bidi="ar-SA"/>
        </w:rPr>
      </w:pPr>
      <w:r>
        <w:rPr>
          <w:rFonts w:hint="eastAsia" w:ascii="Calibri" w:hAnsi="Calibri" w:eastAsia="仿宋" w:cs="Times New Roman"/>
          <w:color w:val="auto"/>
          <w:kern w:val="2"/>
          <w:sz w:val="32"/>
          <w:szCs w:val="32"/>
          <w:lang w:val="en-US" w:eastAsia="zh-CN" w:bidi="ar-SA"/>
        </w:rPr>
        <w:t>2.征集人主动进行的澄清、修改：征集人无论出于何种原因，均可主动对征集文件中的相关事项，用补充文件等方式进行澄清和修改。</w:t>
      </w:r>
    </w:p>
    <w:p>
      <w:pPr>
        <w:pStyle w:val="11"/>
        <w:pageBreakBefore w:val="0"/>
        <w:widowControl w:val="0"/>
        <w:kinsoku/>
        <w:wordWrap/>
        <w:overflowPunct/>
        <w:topLinePunct w:val="0"/>
        <w:autoSpaceDE/>
        <w:autoSpaceDN/>
        <w:bidi w:val="0"/>
        <w:adjustRightInd/>
        <w:snapToGrid w:val="0"/>
        <w:spacing w:before="120" w:after="120" w:line="360" w:lineRule="auto"/>
        <w:ind w:firstLine="640" w:firstLineChars="200"/>
        <w:textAlignment w:val="auto"/>
        <w:rPr>
          <w:rFonts w:hint="eastAsia" w:ascii="Calibri" w:hAnsi="Calibri" w:eastAsia="仿宋" w:cs="Times New Roman"/>
          <w:color w:val="auto"/>
          <w:kern w:val="2"/>
          <w:sz w:val="32"/>
          <w:szCs w:val="32"/>
          <w:lang w:val="en-US" w:eastAsia="zh-CN" w:bidi="ar-SA"/>
        </w:rPr>
      </w:pPr>
      <w:r>
        <w:rPr>
          <w:rFonts w:hint="eastAsia" w:ascii="Calibri" w:hAnsi="Calibri" w:eastAsia="仿宋" w:cs="Times New Roman"/>
          <w:color w:val="auto"/>
          <w:kern w:val="2"/>
          <w:sz w:val="32"/>
          <w:szCs w:val="32"/>
          <w:lang w:val="en-US" w:eastAsia="zh-CN" w:bidi="ar-SA"/>
        </w:rPr>
        <w:t>3.征集文件澄清、答复、修改、补充的内容为征集文件的组成部分。当征集文件与征集文件的答复、澄清、修改、补充通知就同一内容的表述不一致时，以最后发出的书面文件为准。</w:t>
      </w:r>
    </w:p>
    <w:p>
      <w:pPr>
        <w:pStyle w:val="3"/>
        <w:pageBreakBefore w:val="0"/>
        <w:widowControl w:val="0"/>
        <w:kinsoku/>
        <w:wordWrap/>
        <w:overflowPunct/>
        <w:topLinePunct w:val="0"/>
        <w:autoSpaceDE/>
        <w:autoSpaceDN/>
        <w:bidi w:val="0"/>
        <w:adjustRightInd/>
        <w:spacing w:line="360" w:lineRule="auto"/>
        <w:ind w:left="0" w:leftChars="0" w:firstLine="643" w:firstLineChars="200"/>
        <w:jc w:val="center"/>
        <w:textAlignment w:val="auto"/>
        <w:rPr>
          <w:color w:val="auto"/>
          <w:sz w:val="32"/>
          <w:szCs w:val="32"/>
        </w:rPr>
      </w:pPr>
      <w:r>
        <w:rPr>
          <w:rFonts w:hint="eastAsia"/>
          <w:color w:val="auto"/>
          <w:sz w:val="32"/>
          <w:szCs w:val="32"/>
        </w:rPr>
        <w:t>二、响应文件的编制</w:t>
      </w:r>
    </w:p>
    <w:p>
      <w:pPr>
        <w:pStyle w:val="4"/>
        <w:pageBreakBefore w:val="0"/>
        <w:widowControl w:val="0"/>
        <w:kinsoku/>
        <w:wordWrap/>
        <w:overflowPunct/>
        <w:topLinePunct w:val="0"/>
        <w:autoSpaceDE/>
        <w:autoSpaceDN/>
        <w:bidi w:val="0"/>
        <w:adjustRightInd/>
        <w:spacing w:line="360" w:lineRule="auto"/>
        <w:ind w:firstLine="643" w:firstLineChars="200"/>
        <w:textAlignment w:val="auto"/>
        <w:rPr>
          <w:color w:val="auto"/>
          <w:sz w:val="32"/>
          <w:szCs w:val="32"/>
        </w:rPr>
      </w:pPr>
      <w:r>
        <w:rPr>
          <w:rFonts w:hint="eastAsia"/>
          <w:color w:val="auto"/>
          <w:sz w:val="32"/>
          <w:szCs w:val="32"/>
        </w:rPr>
        <w:t>（一）响应文件编制工具</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响应文件编制工具为</w:t>
      </w:r>
      <w:r>
        <w:rPr>
          <w:color w:val="auto"/>
          <w:sz w:val="32"/>
          <w:szCs w:val="32"/>
        </w:rPr>
        <w:t>政采云电子交易客户端，</w:t>
      </w:r>
      <w:r>
        <w:rPr>
          <w:rFonts w:hint="eastAsia"/>
          <w:color w:val="auto"/>
          <w:sz w:val="32"/>
          <w:szCs w:val="32"/>
        </w:rPr>
        <w:t>下载网址：</w:t>
      </w:r>
      <w:r>
        <w:rPr>
          <w:color w:val="auto"/>
          <w:sz w:val="32"/>
          <w:szCs w:val="32"/>
        </w:rPr>
        <w:fldChar w:fldCharType="begin"/>
      </w:r>
      <w:r>
        <w:rPr>
          <w:color w:val="auto"/>
          <w:sz w:val="32"/>
          <w:szCs w:val="32"/>
        </w:rPr>
        <w:instrText xml:space="preserve"> HYPERLINK "http://zfcg.czt.zj.gov.cn/bidClientTemplate/2019-09-24/12975.html" </w:instrText>
      </w:r>
      <w:r>
        <w:rPr>
          <w:color w:val="auto"/>
          <w:sz w:val="32"/>
          <w:szCs w:val="32"/>
        </w:rPr>
        <w:fldChar w:fldCharType="separate"/>
      </w:r>
      <w:r>
        <w:rPr>
          <w:color w:val="auto"/>
          <w:sz w:val="32"/>
          <w:szCs w:val="32"/>
        </w:rPr>
        <w:t>http://zfcg.czt.zj.gov.cn/bidClientTemplate/2019-09-24/12975.html</w:t>
      </w:r>
      <w:r>
        <w:rPr>
          <w:color w:val="auto"/>
          <w:sz w:val="32"/>
          <w:szCs w:val="32"/>
        </w:rPr>
        <w:fldChar w:fldCharType="end"/>
      </w:r>
      <w:r>
        <w:rPr>
          <w:rFonts w:hint="eastAsia"/>
          <w:color w:val="auto"/>
          <w:sz w:val="32"/>
          <w:szCs w:val="32"/>
        </w:rPr>
        <w:t>，请自行下载并安装。</w:t>
      </w:r>
    </w:p>
    <w:p>
      <w:pPr>
        <w:pStyle w:val="4"/>
        <w:pageBreakBefore w:val="0"/>
        <w:widowControl w:val="0"/>
        <w:kinsoku/>
        <w:wordWrap/>
        <w:overflowPunct/>
        <w:topLinePunct w:val="0"/>
        <w:autoSpaceDE/>
        <w:autoSpaceDN/>
        <w:bidi w:val="0"/>
        <w:adjustRightInd/>
        <w:spacing w:line="360" w:lineRule="auto"/>
        <w:ind w:firstLine="643" w:firstLineChars="200"/>
        <w:textAlignment w:val="auto"/>
        <w:rPr>
          <w:color w:val="auto"/>
          <w:sz w:val="32"/>
          <w:szCs w:val="32"/>
        </w:rPr>
      </w:pPr>
      <w:r>
        <w:rPr>
          <w:rFonts w:hint="eastAsia"/>
          <w:color w:val="auto"/>
          <w:sz w:val="32"/>
          <w:szCs w:val="32"/>
        </w:rPr>
        <w:t>（二）响应文件的组成</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本项目所称响应文件系指电子响应文件或备份响应文件。响应文件需按照本征集文件和电子交易平台的要求制作、加密并递交。</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电子响应文件每个</w:t>
      </w:r>
      <w:r>
        <w:rPr>
          <w:rFonts w:hint="eastAsia"/>
          <w:color w:val="auto"/>
          <w:sz w:val="32"/>
          <w:szCs w:val="32"/>
          <w:lang w:eastAsia="zh-CN"/>
        </w:rPr>
        <w:t>采购包</w:t>
      </w:r>
      <w:r>
        <w:rPr>
          <w:rFonts w:hint="eastAsia"/>
          <w:color w:val="auto"/>
          <w:sz w:val="32"/>
          <w:szCs w:val="32"/>
        </w:rPr>
        <w:t>由</w:t>
      </w:r>
      <w:r>
        <w:rPr>
          <w:rFonts w:hint="eastAsia"/>
          <w:color w:val="auto"/>
          <w:sz w:val="32"/>
          <w:szCs w:val="32"/>
          <w:lang w:eastAsia="zh-CN"/>
        </w:rPr>
        <w:t>资格</w:t>
      </w:r>
      <w:r>
        <w:rPr>
          <w:rFonts w:hint="eastAsia"/>
          <w:color w:val="auto"/>
          <w:sz w:val="32"/>
          <w:szCs w:val="32"/>
        </w:rPr>
        <w:t>文件、技术商务文件、报价文件三部份组成，具体详见“第六章  响应文件格式附件”。备份响应文件的组成和内容等同电子响应文件。</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注：法定代表人授权委托书、声明书、报价明细表必须按征集文件格式要求正确签署并加盖响应方公章。响应文件中所须加盖公章部分均采用CA签章。</w:t>
      </w:r>
    </w:p>
    <w:p>
      <w:pPr>
        <w:pStyle w:val="4"/>
        <w:pageBreakBefore w:val="0"/>
        <w:widowControl w:val="0"/>
        <w:kinsoku/>
        <w:wordWrap/>
        <w:overflowPunct/>
        <w:topLinePunct w:val="0"/>
        <w:autoSpaceDE/>
        <w:autoSpaceDN/>
        <w:bidi w:val="0"/>
        <w:adjustRightInd/>
        <w:spacing w:line="360" w:lineRule="auto"/>
        <w:ind w:firstLine="643" w:firstLineChars="200"/>
        <w:textAlignment w:val="auto"/>
        <w:rPr>
          <w:color w:val="auto"/>
          <w:sz w:val="32"/>
          <w:szCs w:val="32"/>
        </w:rPr>
      </w:pPr>
      <w:r>
        <w:rPr>
          <w:rFonts w:hint="eastAsia"/>
          <w:color w:val="auto"/>
          <w:sz w:val="32"/>
          <w:szCs w:val="32"/>
        </w:rPr>
        <w:t>（三）响应文件的效力</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电子响应文件未按时解密，响应方提供了备份响应文件的，以备份响应文件作为依据，否则视为响应文件撤回。电子响应文件已按时解密的，备份响应文件自动失效。</w:t>
      </w:r>
    </w:p>
    <w:p>
      <w:pPr>
        <w:pStyle w:val="4"/>
        <w:pageBreakBefore w:val="0"/>
        <w:widowControl w:val="0"/>
        <w:kinsoku/>
        <w:wordWrap/>
        <w:overflowPunct/>
        <w:topLinePunct w:val="0"/>
        <w:autoSpaceDE/>
        <w:autoSpaceDN/>
        <w:bidi w:val="0"/>
        <w:adjustRightInd/>
        <w:spacing w:line="360" w:lineRule="auto"/>
        <w:ind w:firstLine="643" w:firstLineChars="200"/>
        <w:textAlignment w:val="auto"/>
        <w:rPr>
          <w:color w:val="auto"/>
          <w:sz w:val="32"/>
          <w:szCs w:val="32"/>
        </w:rPr>
      </w:pPr>
      <w:r>
        <w:rPr>
          <w:rFonts w:hint="eastAsia"/>
          <w:color w:val="auto"/>
          <w:sz w:val="32"/>
          <w:szCs w:val="32"/>
        </w:rPr>
        <w:t>（四）响应文件的语言及计量</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1.响应文件以及响应方与征集人就有关</w:t>
      </w:r>
      <w:r>
        <w:rPr>
          <w:rFonts w:hint="eastAsia"/>
          <w:color w:val="auto"/>
          <w:sz w:val="32"/>
          <w:szCs w:val="32"/>
          <w:lang w:eastAsia="zh-CN"/>
        </w:rPr>
        <w:t>响应</w:t>
      </w:r>
      <w:r>
        <w:rPr>
          <w:rFonts w:hint="eastAsia"/>
          <w:color w:val="auto"/>
          <w:sz w:val="32"/>
          <w:szCs w:val="32"/>
        </w:rPr>
        <w:t>事宜的所有来往函电，均应以中文简体字书写。除签名、盖章、专用名称等特殊情形外，响应文件中以中文汉语以外的文字表述部分视同未提供。</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2.</w:t>
      </w:r>
      <w:r>
        <w:rPr>
          <w:rFonts w:hint="eastAsia"/>
          <w:color w:val="auto"/>
          <w:sz w:val="32"/>
          <w:szCs w:val="32"/>
          <w:lang w:eastAsia="zh-CN"/>
        </w:rPr>
        <w:t>响应</w:t>
      </w:r>
      <w:r>
        <w:rPr>
          <w:rFonts w:hint="eastAsia"/>
          <w:color w:val="auto"/>
          <w:sz w:val="32"/>
          <w:szCs w:val="32"/>
        </w:rPr>
        <w:t>计量单位，征集文件已有明确规定的，使用征集文件规定的计量单位；征集文件没有规定的，应采用中华人民共和国法定计量单位（货币单位：人民币元），否则将作无效标处理。</w:t>
      </w:r>
    </w:p>
    <w:p>
      <w:pPr>
        <w:pStyle w:val="4"/>
        <w:pageBreakBefore w:val="0"/>
        <w:widowControl w:val="0"/>
        <w:kinsoku/>
        <w:wordWrap/>
        <w:overflowPunct/>
        <w:topLinePunct w:val="0"/>
        <w:autoSpaceDE/>
        <w:autoSpaceDN/>
        <w:bidi w:val="0"/>
        <w:adjustRightInd/>
        <w:spacing w:line="360" w:lineRule="auto"/>
        <w:ind w:firstLine="643" w:firstLineChars="200"/>
        <w:textAlignment w:val="auto"/>
        <w:rPr>
          <w:color w:val="auto"/>
          <w:sz w:val="32"/>
          <w:szCs w:val="32"/>
        </w:rPr>
      </w:pPr>
      <w:r>
        <w:rPr>
          <w:rFonts w:hint="eastAsia"/>
          <w:color w:val="auto"/>
          <w:sz w:val="32"/>
          <w:szCs w:val="32"/>
        </w:rPr>
        <w:t>（五）响应文件的有效期</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1.自</w:t>
      </w:r>
      <w:r>
        <w:rPr>
          <w:rFonts w:hint="eastAsia"/>
          <w:color w:val="auto"/>
          <w:sz w:val="32"/>
          <w:szCs w:val="32"/>
          <w:lang w:eastAsia="zh-CN"/>
        </w:rPr>
        <w:t>响应</w:t>
      </w:r>
      <w:r>
        <w:rPr>
          <w:rFonts w:hint="eastAsia"/>
          <w:color w:val="auto"/>
          <w:sz w:val="32"/>
          <w:szCs w:val="32"/>
        </w:rPr>
        <w:t>截止日起90天内响应文件应保持有效。有效期不足的响应文件将作无效标处理。</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2.</w:t>
      </w:r>
      <w:r>
        <w:rPr>
          <w:rFonts w:hint="eastAsia"/>
          <w:color w:val="auto"/>
          <w:sz w:val="32"/>
          <w:szCs w:val="32"/>
          <w:lang w:eastAsia="zh-CN"/>
        </w:rPr>
        <w:t>入围</w:t>
      </w:r>
      <w:r>
        <w:rPr>
          <w:rFonts w:hint="eastAsia"/>
          <w:color w:val="auto"/>
          <w:sz w:val="32"/>
          <w:szCs w:val="32"/>
        </w:rPr>
        <w:t>供应商的响应文件自开标之日起至合同履行完毕止均应保持有效。</w:t>
      </w:r>
    </w:p>
    <w:p>
      <w:pPr>
        <w:pStyle w:val="4"/>
        <w:pageBreakBefore w:val="0"/>
        <w:widowControl w:val="0"/>
        <w:kinsoku/>
        <w:wordWrap/>
        <w:overflowPunct/>
        <w:topLinePunct w:val="0"/>
        <w:autoSpaceDE/>
        <w:autoSpaceDN/>
        <w:bidi w:val="0"/>
        <w:adjustRightInd/>
        <w:spacing w:line="360" w:lineRule="auto"/>
        <w:ind w:firstLine="643" w:firstLineChars="200"/>
        <w:textAlignment w:val="auto"/>
        <w:rPr>
          <w:color w:val="auto"/>
          <w:sz w:val="32"/>
          <w:szCs w:val="32"/>
        </w:rPr>
      </w:pPr>
      <w:r>
        <w:rPr>
          <w:rFonts w:hint="eastAsia"/>
          <w:color w:val="auto"/>
          <w:sz w:val="32"/>
          <w:szCs w:val="32"/>
        </w:rPr>
        <w:t>（六）响应文件的签署和包装</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 xml:space="preserve">1.电子响应文件部分： </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1）响应方应根据本征集文件和电子交易平台规定的格式和顺序编制电子响应文件并进行关联定位，响应文件内容不完整、编排混乱、关联错误导致响应文件被误读、漏读或者查找不到相关内容的，是响应方的责任。</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（2）响应文件须由响应方在规定位置盖章并由法定代表人或法定代表人的授权委托人签署，响应方应写全称。</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（3）响应文件不得涂改，若有修改错漏处，须加盖响应方公章或者法定代表人或授权委托人签名或盖章。响应文件因字迹潦草或表达不清所引起的后果由响应方负责。</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2.响应方选择递交备份响应文件的，备份响应文件另须满足以下条件：</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 xml:space="preserve">（1）储存形式：U盘、DVD </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（2）密封要求：外包装封面上应注明响应方名称、响应方地址、响应方联系方式（授权代表手机）、响应文件名称（备份响应文件）、</w:t>
      </w:r>
      <w:r>
        <w:rPr>
          <w:rFonts w:hint="eastAsia"/>
          <w:color w:val="auto"/>
          <w:sz w:val="32"/>
          <w:szCs w:val="32"/>
          <w:lang w:eastAsia="zh-CN"/>
        </w:rPr>
        <w:t>响应</w:t>
      </w:r>
      <w:r>
        <w:rPr>
          <w:rFonts w:hint="eastAsia"/>
          <w:color w:val="auto"/>
          <w:sz w:val="32"/>
          <w:szCs w:val="32"/>
        </w:rPr>
        <w:t>项目名称、项目编号、</w:t>
      </w:r>
      <w:r>
        <w:rPr>
          <w:rFonts w:hint="eastAsia"/>
          <w:color w:val="auto"/>
          <w:sz w:val="32"/>
          <w:szCs w:val="32"/>
          <w:lang w:eastAsia="zh-CN"/>
        </w:rPr>
        <w:t>采购包</w:t>
      </w:r>
      <w:r>
        <w:rPr>
          <w:rFonts w:hint="eastAsia"/>
          <w:color w:val="auto"/>
          <w:sz w:val="32"/>
          <w:szCs w:val="32"/>
        </w:rPr>
        <w:t>及“开标时启封”字样，并加盖响应方公章。</w:t>
      </w:r>
    </w:p>
    <w:p>
      <w:pPr>
        <w:pStyle w:val="4"/>
        <w:pageBreakBefore w:val="0"/>
        <w:widowControl w:val="0"/>
        <w:kinsoku/>
        <w:wordWrap/>
        <w:overflowPunct/>
        <w:topLinePunct w:val="0"/>
        <w:autoSpaceDE/>
        <w:autoSpaceDN/>
        <w:bidi w:val="0"/>
        <w:adjustRightInd/>
        <w:spacing w:line="360" w:lineRule="auto"/>
        <w:ind w:firstLine="643" w:firstLineChars="200"/>
        <w:textAlignment w:val="auto"/>
        <w:rPr>
          <w:color w:val="auto"/>
          <w:sz w:val="32"/>
          <w:szCs w:val="32"/>
        </w:rPr>
      </w:pPr>
      <w:r>
        <w:rPr>
          <w:rFonts w:hint="eastAsia"/>
          <w:color w:val="auto"/>
          <w:sz w:val="32"/>
          <w:szCs w:val="32"/>
        </w:rPr>
        <w:t>（七）</w:t>
      </w:r>
      <w:r>
        <w:rPr>
          <w:rFonts w:hint="eastAsia"/>
          <w:color w:val="auto"/>
          <w:sz w:val="32"/>
          <w:szCs w:val="32"/>
          <w:lang w:val="en-US" w:eastAsia="zh-CN"/>
        </w:rPr>
        <w:t>响应</w:t>
      </w:r>
      <w:r>
        <w:rPr>
          <w:rFonts w:hint="eastAsia"/>
          <w:color w:val="auto"/>
          <w:sz w:val="32"/>
          <w:szCs w:val="32"/>
        </w:rPr>
        <w:t>报价</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1.响应文件只允许有一个报价，</w:t>
      </w:r>
      <w:r>
        <w:rPr>
          <w:rFonts w:hint="eastAsia"/>
          <w:color w:val="auto"/>
          <w:sz w:val="32"/>
          <w:szCs w:val="32"/>
          <w:lang w:val="en-US" w:eastAsia="zh-CN"/>
        </w:rPr>
        <w:t>响应</w:t>
      </w:r>
      <w:r>
        <w:rPr>
          <w:rFonts w:hint="eastAsia"/>
          <w:color w:val="auto"/>
          <w:sz w:val="32"/>
          <w:szCs w:val="32"/>
        </w:rPr>
        <w:t>报价应按征集文件中相关附表格式填报，该</w:t>
      </w:r>
      <w:r>
        <w:rPr>
          <w:rFonts w:hint="eastAsia"/>
          <w:color w:val="auto"/>
          <w:sz w:val="32"/>
          <w:szCs w:val="32"/>
          <w:lang w:eastAsia="zh-CN"/>
        </w:rPr>
        <w:t>响应</w:t>
      </w:r>
      <w:r>
        <w:rPr>
          <w:rFonts w:hint="eastAsia"/>
          <w:color w:val="auto"/>
          <w:sz w:val="32"/>
          <w:szCs w:val="32"/>
        </w:rPr>
        <w:t>报价应与明细报价汇总相等，且不允许出现报价优惠等字样（明细出现“0”元，视同赠送，按无效标处理）。</w:t>
      </w:r>
    </w:p>
    <w:p>
      <w:pPr>
        <w:pageBreakBefore w:val="0"/>
        <w:widowControl w:val="0"/>
        <w:kinsoku/>
        <w:wordWrap/>
        <w:overflowPunct/>
        <w:topLinePunct w:val="0"/>
        <w:autoSpaceDE/>
        <w:autoSpaceDN/>
        <w:bidi w:val="0"/>
        <w:adjustRightInd/>
        <w:spacing w:line="360" w:lineRule="auto"/>
        <w:ind w:firstLine="640" w:firstLineChars="200"/>
        <w:textAlignment w:val="auto"/>
        <w:rPr>
          <w:rFonts w:hint="eastAsia"/>
          <w:color w:val="auto"/>
          <w:sz w:val="32"/>
          <w:szCs w:val="32"/>
          <w:lang w:val="en-US" w:eastAsia="zh-CN"/>
        </w:rPr>
      </w:pPr>
      <w:r>
        <w:rPr>
          <w:rFonts w:hint="eastAsia"/>
          <w:color w:val="auto"/>
          <w:sz w:val="32"/>
          <w:szCs w:val="32"/>
        </w:rPr>
        <w:t>2.</w:t>
      </w:r>
      <w:r>
        <w:rPr>
          <w:rFonts w:hint="eastAsia"/>
          <w:color w:val="auto"/>
          <w:sz w:val="32"/>
          <w:szCs w:val="32"/>
          <w:lang w:val="en-US" w:eastAsia="zh-CN"/>
        </w:rPr>
        <w:t>响应</w:t>
      </w:r>
      <w:r>
        <w:rPr>
          <w:rFonts w:hint="eastAsia"/>
          <w:color w:val="auto"/>
          <w:sz w:val="32"/>
          <w:szCs w:val="32"/>
        </w:rPr>
        <w:t>报价应包含项目所需全部产品、服务，不得缺漏，是履行合同的最终价格（含货款、标准附件、备品备件、专用工具、包装、运输、装卸、保险、税金、货到就位以及安装、调试、培训、保修等一切税金和费用）。</w:t>
      </w:r>
      <w:r>
        <w:rPr>
          <w:rFonts w:hint="eastAsia"/>
          <w:color w:val="auto"/>
          <w:sz w:val="32"/>
          <w:szCs w:val="32"/>
          <w:lang w:val="en-US" w:eastAsia="zh-CN"/>
        </w:rPr>
        <w:t xml:space="preserve"> </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3.</w:t>
      </w:r>
      <w:r>
        <w:rPr>
          <w:rFonts w:hint="eastAsia"/>
          <w:color w:val="auto"/>
          <w:sz w:val="32"/>
          <w:szCs w:val="32"/>
          <w:lang w:val="en-US" w:eastAsia="zh-CN"/>
        </w:rPr>
        <w:t>响应</w:t>
      </w:r>
      <w:r>
        <w:rPr>
          <w:rFonts w:hint="eastAsia"/>
          <w:color w:val="auto"/>
          <w:sz w:val="32"/>
          <w:szCs w:val="32"/>
        </w:rPr>
        <w:t>报价金额到元为止，如</w:t>
      </w:r>
      <w:r>
        <w:rPr>
          <w:rFonts w:hint="eastAsia"/>
          <w:color w:val="auto"/>
          <w:sz w:val="32"/>
          <w:szCs w:val="32"/>
          <w:lang w:eastAsia="zh-CN"/>
        </w:rPr>
        <w:t>响应</w:t>
      </w:r>
      <w:r>
        <w:rPr>
          <w:rFonts w:hint="eastAsia"/>
          <w:color w:val="auto"/>
          <w:sz w:val="32"/>
          <w:szCs w:val="32"/>
        </w:rPr>
        <w:t>报价总价出现角、分，将被抹除。</w:t>
      </w:r>
    </w:p>
    <w:p>
      <w:pPr>
        <w:pStyle w:val="4"/>
        <w:pageBreakBefore w:val="0"/>
        <w:widowControl w:val="0"/>
        <w:kinsoku/>
        <w:wordWrap/>
        <w:overflowPunct/>
        <w:topLinePunct w:val="0"/>
        <w:autoSpaceDE/>
        <w:autoSpaceDN/>
        <w:bidi w:val="0"/>
        <w:adjustRightInd/>
        <w:spacing w:line="360" w:lineRule="auto"/>
        <w:ind w:firstLine="643" w:firstLineChars="200"/>
        <w:textAlignment w:val="auto"/>
        <w:rPr>
          <w:color w:val="auto"/>
          <w:sz w:val="32"/>
          <w:szCs w:val="32"/>
        </w:rPr>
      </w:pPr>
      <w:r>
        <w:rPr>
          <w:rFonts w:hint="eastAsia"/>
          <w:color w:val="auto"/>
          <w:sz w:val="32"/>
          <w:szCs w:val="32"/>
        </w:rPr>
        <w:t>（八）串通</w:t>
      </w:r>
      <w:r>
        <w:rPr>
          <w:rFonts w:hint="eastAsia"/>
          <w:color w:val="auto"/>
          <w:sz w:val="32"/>
          <w:szCs w:val="32"/>
          <w:lang w:eastAsia="zh-CN"/>
        </w:rPr>
        <w:t>响应</w:t>
      </w:r>
      <w:r>
        <w:rPr>
          <w:rFonts w:hint="eastAsia"/>
          <w:color w:val="auto"/>
          <w:sz w:val="32"/>
          <w:szCs w:val="32"/>
        </w:rPr>
        <w:t>认定</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有下列情形之一的，视为响应方串通</w:t>
      </w:r>
      <w:r>
        <w:rPr>
          <w:rFonts w:hint="eastAsia"/>
          <w:color w:val="auto"/>
          <w:sz w:val="32"/>
          <w:szCs w:val="32"/>
          <w:lang w:eastAsia="zh-CN"/>
        </w:rPr>
        <w:t>响应</w:t>
      </w:r>
      <w:r>
        <w:rPr>
          <w:rFonts w:hint="eastAsia"/>
          <w:color w:val="auto"/>
          <w:sz w:val="32"/>
          <w:szCs w:val="32"/>
        </w:rPr>
        <w:t>，其响应无效：</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1.不同响应方的响应文件由同一单位或者个人编制；</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2.不同响应方委托同一单位或者个人办理</w:t>
      </w:r>
      <w:r>
        <w:rPr>
          <w:rFonts w:hint="eastAsia"/>
          <w:color w:val="auto"/>
          <w:sz w:val="32"/>
          <w:szCs w:val="32"/>
          <w:lang w:eastAsia="zh-CN"/>
        </w:rPr>
        <w:t>响应</w:t>
      </w:r>
      <w:r>
        <w:rPr>
          <w:rFonts w:hint="eastAsia"/>
          <w:color w:val="auto"/>
          <w:sz w:val="32"/>
          <w:szCs w:val="32"/>
        </w:rPr>
        <w:t>事宜；</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3.不同响应方的响应文件载明的项目管理成员或者联系人员为同一人；</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4.不同响应方的响应文件异常一致或者</w:t>
      </w:r>
      <w:r>
        <w:rPr>
          <w:rFonts w:hint="eastAsia"/>
          <w:color w:val="auto"/>
          <w:sz w:val="32"/>
          <w:szCs w:val="32"/>
          <w:lang w:eastAsia="zh-CN"/>
        </w:rPr>
        <w:t>响应</w:t>
      </w:r>
      <w:r>
        <w:rPr>
          <w:rFonts w:hint="eastAsia"/>
          <w:color w:val="auto"/>
          <w:sz w:val="32"/>
          <w:szCs w:val="32"/>
        </w:rPr>
        <w:t>报价呈规律性差异；</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5.不同响应方的响应文件相互混装；</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（九）响应无效的情形</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在评审时，如发现下列情形之一的，响应文件将被视为无效：</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1.响应方未能提供合格的资格文件、</w:t>
      </w:r>
      <w:r>
        <w:rPr>
          <w:rFonts w:hint="eastAsia"/>
          <w:color w:val="auto"/>
          <w:sz w:val="32"/>
          <w:szCs w:val="32"/>
          <w:lang w:eastAsia="zh-CN"/>
        </w:rPr>
        <w:t>响应</w:t>
      </w:r>
      <w:r>
        <w:rPr>
          <w:rFonts w:hint="eastAsia"/>
          <w:color w:val="auto"/>
          <w:sz w:val="32"/>
          <w:szCs w:val="32"/>
        </w:rPr>
        <w:t>有效期不足的；</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2.响应方被列入失信被执行人、重大税收违法案件当事人名单、政府采购严重违法失信行为记录名单的；</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3.仅提供备份响应文件的；</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4.电子响应文件解密失败，且未在规定时间内提交备份响应文件的；</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5.电子响应文件解密失败，虽然在规定时间内提交了备份响应文件，但是备份响应文件无法导入或者无法读取或者不符合本征集文件和电子交易平台要求的；</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6.响应文件未按征集文件要求签署、盖章的；</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7.与征集文件有重大偏离、未满足带“▲”号实质性指标的响应文件；</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8.采购需求中要求提供的产品属于节能清单中政府强制采购节能产品品目的，响应方未提供该清单内产品的；</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9.</w:t>
      </w:r>
      <w:r>
        <w:rPr>
          <w:rFonts w:hint="eastAsia"/>
          <w:color w:val="auto"/>
          <w:sz w:val="32"/>
          <w:szCs w:val="32"/>
          <w:lang w:eastAsia="zh-CN"/>
        </w:rPr>
        <w:t>响应</w:t>
      </w:r>
      <w:r>
        <w:rPr>
          <w:rFonts w:hint="eastAsia"/>
          <w:color w:val="auto"/>
          <w:sz w:val="32"/>
          <w:szCs w:val="32"/>
        </w:rPr>
        <w:t>报价超出征集文件中规定的</w:t>
      </w:r>
      <w:r>
        <w:rPr>
          <w:rFonts w:hint="eastAsia"/>
          <w:color w:val="auto"/>
          <w:sz w:val="32"/>
          <w:szCs w:val="32"/>
          <w:lang w:val="en-US" w:eastAsia="zh-CN"/>
        </w:rPr>
        <w:t>价格区间范围</w:t>
      </w:r>
      <w:r>
        <w:rPr>
          <w:rFonts w:hint="eastAsia"/>
          <w:color w:val="auto"/>
          <w:sz w:val="32"/>
          <w:szCs w:val="32"/>
        </w:rPr>
        <w:t>或者最高限价的；</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10.</w:t>
      </w:r>
      <w:r>
        <w:rPr>
          <w:rFonts w:hint="eastAsia"/>
          <w:color w:val="auto"/>
          <w:sz w:val="32"/>
          <w:szCs w:val="32"/>
          <w:lang w:eastAsia="zh-CN"/>
        </w:rPr>
        <w:t>采购包</w:t>
      </w:r>
      <w:r>
        <w:rPr>
          <w:rFonts w:hint="eastAsia"/>
          <w:color w:val="auto"/>
          <w:sz w:val="32"/>
          <w:szCs w:val="32"/>
        </w:rPr>
        <w:t>以赠送方式响应的、对一个</w:t>
      </w:r>
      <w:r>
        <w:rPr>
          <w:rFonts w:hint="eastAsia"/>
          <w:color w:val="auto"/>
          <w:sz w:val="32"/>
          <w:szCs w:val="32"/>
          <w:lang w:eastAsia="zh-CN"/>
        </w:rPr>
        <w:t>采购包</w:t>
      </w:r>
      <w:r>
        <w:rPr>
          <w:rFonts w:hint="eastAsia"/>
          <w:color w:val="auto"/>
          <w:sz w:val="32"/>
          <w:szCs w:val="32"/>
        </w:rPr>
        <w:t>提供两个响应方案或两个报价的；</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11.</w:t>
      </w:r>
      <w:r>
        <w:rPr>
          <w:rFonts w:hint="eastAsia"/>
          <w:color w:val="auto"/>
          <w:sz w:val="32"/>
          <w:szCs w:val="32"/>
          <w:lang w:eastAsia="zh-CN"/>
        </w:rPr>
        <w:t>评审小组</w:t>
      </w:r>
      <w:r>
        <w:rPr>
          <w:rFonts w:hint="eastAsia"/>
          <w:color w:val="auto"/>
          <w:sz w:val="32"/>
          <w:szCs w:val="32"/>
        </w:rPr>
        <w:t>认为响应方的报价明显低于其他通过符合性审查响应方的报价，有可能影响产品质量或者不能诚信履约，且不能证明其报价合理性的；</w:t>
      </w:r>
    </w:p>
    <w:p>
      <w:pPr>
        <w:pageBreakBefore w:val="0"/>
        <w:widowControl w:val="0"/>
        <w:kinsoku/>
        <w:wordWrap/>
        <w:overflowPunct/>
        <w:topLinePunct w:val="0"/>
        <w:autoSpaceDE/>
        <w:autoSpaceDN/>
        <w:bidi w:val="0"/>
        <w:adjustRightInd/>
        <w:spacing w:line="360" w:lineRule="auto"/>
        <w:ind w:firstLine="640" w:firstLineChars="200"/>
        <w:textAlignment w:val="auto"/>
        <w:rPr>
          <w:rFonts w:hint="eastAsia"/>
          <w:color w:val="auto"/>
          <w:sz w:val="32"/>
          <w:szCs w:val="32"/>
        </w:rPr>
      </w:pPr>
      <w:r>
        <w:rPr>
          <w:rFonts w:hint="eastAsia"/>
          <w:color w:val="auto"/>
          <w:sz w:val="32"/>
          <w:szCs w:val="32"/>
        </w:rPr>
        <w:t>12.响应方不接受报价文件中修正后的报价的；</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13.未按本章“二、响应文件的编制”第七点</w:t>
      </w:r>
      <w:r>
        <w:rPr>
          <w:rFonts w:hint="eastAsia"/>
          <w:color w:val="auto"/>
          <w:sz w:val="32"/>
          <w:szCs w:val="32"/>
          <w:lang w:eastAsia="zh-CN"/>
        </w:rPr>
        <w:t>响应</w:t>
      </w:r>
      <w:r>
        <w:rPr>
          <w:rFonts w:hint="eastAsia"/>
          <w:color w:val="auto"/>
          <w:sz w:val="32"/>
          <w:szCs w:val="32"/>
        </w:rPr>
        <w:t>报价要求报价的；</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14.响应文件含有采购人不能接受的附加条件的；</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15.响应方被视为串通</w:t>
      </w:r>
      <w:r>
        <w:rPr>
          <w:rFonts w:hint="eastAsia"/>
          <w:color w:val="auto"/>
          <w:sz w:val="32"/>
          <w:szCs w:val="32"/>
          <w:lang w:eastAsia="zh-CN"/>
        </w:rPr>
        <w:t>响应</w:t>
      </w:r>
      <w:r>
        <w:rPr>
          <w:rFonts w:hint="eastAsia"/>
          <w:color w:val="auto"/>
          <w:sz w:val="32"/>
          <w:szCs w:val="32"/>
        </w:rPr>
        <w:t>的；</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16.不符合法律、法规和本征集文件规定的其他实质性要求的。</w:t>
      </w:r>
    </w:p>
    <w:p>
      <w:pPr>
        <w:pStyle w:val="4"/>
        <w:pageBreakBefore w:val="0"/>
        <w:widowControl w:val="0"/>
        <w:kinsoku/>
        <w:wordWrap/>
        <w:overflowPunct/>
        <w:topLinePunct w:val="0"/>
        <w:autoSpaceDE/>
        <w:autoSpaceDN/>
        <w:bidi w:val="0"/>
        <w:adjustRightInd/>
        <w:spacing w:line="360" w:lineRule="auto"/>
        <w:ind w:firstLine="643" w:firstLineChars="200"/>
        <w:textAlignment w:val="auto"/>
        <w:rPr>
          <w:color w:val="auto"/>
          <w:sz w:val="32"/>
          <w:szCs w:val="32"/>
        </w:rPr>
      </w:pPr>
      <w:r>
        <w:rPr>
          <w:rFonts w:hint="eastAsia"/>
          <w:color w:val="auto"/>
          <w:sz w:val="32"/>
          <w:szCs w:val="32"/>
        </w:rPr>
        <w:t>（十）错误修正</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电子交易平台客户端里开标一览表录入的</w:t>
      </w:r>
      <w:r>
        <w:rPr>
          <w:rFonts w:hint="eastAsia"/>
          <w:color w:val="auto"/>
          <w:sz w:val="32"/>
          <w:szCs w:val="32"/>
          <w:lang w:eastAsia="zh-CN"/>
        </w:rPr>
        <w:t>响应</w:t>
      </w:r>
      <w:r>
        <w:rPr>
          <w:rFonts w:hint="eastAsia"/>
          <w:color w:val="auto"/>
          <w:sz w:val="32"/>
          <w:szCs w:val="32"/>
        </w:rPr>
        <w:t>报价信息与扫描上传的报价文件不一致的，以扫描上传的报价文件为准。</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响应文件报价出现前后不一致的，除征集文件另有规定外，按照下列规定修正：</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1.响应文件中报价明细表内容与响应文件中相应内容不一致的，以报价明细表为准；</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2.大写金额和小写金额不一致的，以大写金额为准；</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3.单价金额小数点或者百分比有明显错位的，以报价明细表的总价为准，并修改单价；</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4.总价金额与按单价汇总金额不一致的，以单价金额计算结果为准。</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同时出现两种以上不一致的，按照前款规定的顺序修正。修正后的报价按照经响应方加盖公章后产生约束力，响应方不确认的，其响应无效。</w:t>
      </w:r>
    </w:p>
    <w:p>
      <w:pPr>
        <w:pStyle w:val="4"/>
        <w:pageBreakBefore w:val="0"/>
        <w:widowControl w:val="0"/>
        <w:kinsoku/>
        <w:wordWrap/>
        <w:overflowPunct/>
        <w:topLinePunct w:val="0"/>
        <w:autoSpaceDE/>
        <w:autoSpaceDN/>
        <w:bidi w:val="0"/>
        <w:adjustRightInd/>
        <w:spacing w:line="360" w:lineRule="auto"/>
        <w:ind w:firstLine="643" w:firstLineChars="200"/>
        <w:textAlignment w:val="auto"/>
        <w:rPr>
          <w:color w:val="auto"/>
          <w:sz w:val="32"/>
          <w:szCs w:val="32"/>
        </w:rPr>
      </w:pPr>
      <w:r>
        <w:rPr>
          <w:rFonts w:hint="eastAsia"/>
          <w:color w:val="auto"/>
          <w:sz w:val="32"/>
          <w:szCs w:val="32"/>
        </w:rPr>
        <w:t>（十一）采购过程中的异常情况及处理措施</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采购过程中出现以下情形，导致电子交易平台无法正常运行，或者无法保证电子交易的公平、公正和安全时，征集人可中止电子交易活动：</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1.电子交易平台发生故障而无法登录访问的；</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2.电子交易平台应用或数据库出现错误，不能进行正常操作的；</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3.电子交易平台发现严重安全漏洞，有潜在泄密危险的；</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4.病毒发作导致不能进行正常操作的；</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5.其他无法保证电子交易的公平、公正和安全的情况。</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出现前款规定情形，不影响采购公平、公正性的，征集人可以待上述情形消除后继续组织电子交易活动，也可以决定某些环节以纸质形式进行；影响或可能影响采购公平、公正性的，应当重新采购。</w:t>
      </w:r>
    </w:p>
    <w:p>
      <w:pPr>
        <w:pStyle w:val="3"/>
        <w:pageBreakBefore w:val="0"/>
        <w:widowControl w:val="0"/>
        <w:kinsoku/>
        <w:wordWrap/>
        <w:overflowPunct/>
        <w:topLinePunct w:val="0"/>
        <w:autoSpaceDE/>
        <w:autoSpaceDN/>
        <w:bidi w:val="0"/>
        <w:adjustRightInd/>
        <w:spacing w:line="360" w:lineRule="auto"/>
        <w:ind w:left="0" w:leftChars="0" w:firstLine="643" w:firstLineChars="200"/>
        <w:jc w:val="center"/>
        <w:textAlignment w:val="auto"/>
        <w:rPr>
          <w:color w:val="auto"/>
          <w:sz w:val="32"/>
          <w:szCs w:val="32"/>
        </w:rPr>
      </w:pPr>
      <w:r>
        <w:rPr>
          <w:rFonts w:hint="eastAsia"/>
          <w:color w:val="auto"/>
          <w:sz w:val="32"/>
          <w:szCs w:val="32"/>
        </w:rPr>
        <w:t>三、开、评标程序及</w:t>
      </w:r>
      <w:r>
        <w:rPr>
          <w:rFonts w:hint="eastAsia"/>
          <w:color w:val="auto"/>
          <w:sz w:val="32"/>
          <w:szCs w:val="32"/>
          <w:lang w:eastAsia="zh-CN"/>
        </w:rPr>
        <w:t>评审小组</w:t>
      </w:r>
      <w:r>
        <w:rPr>
          <w:rFonts w:hint="eastAsia"/>
          <w:color w:val="auto"/>
          <w:sz w:val="32"/>
          <w:szCs w:val="32"/>
        </w:rPr>
        <w:t>的评审程序</w:t>
      </w:r>
    </w:p>
    <w:p>
      <w:pPr>
        <w:pStyle w:val="4"/>
        <w:pageBreakBefore w:val="0"/>
        <w:widowControl w:val="0"/>
        <w:kinsoku/>
        <w:wordWrap/>
        <w:overflowPunct/>
        <w:topLinePunct w:val="0"/>
        <w:autoSpaceDE/>
        <w:autoSpaceDN/>
        <w:bidi w:val="0"/>
        <w:adjustRightInd/>
        <w:spacing w:line="360" w:lineRule="auto"/>
        <w:ind w:firstLine="643" w:firstLineChars="200"/>
        <w:textAlignment w:val="auto"/>
        <w:rPr>
          <w:color w:val="auto"/>
          <w:sz w:val="32"/>
          <w:szCs w:val="32"/>
        </w:rPr>
      </w:pPr>
      <w:r>
        <w:rPr>
          <w:rFonts w:hint="eastAsia"/>
          <w:color w:val="auto"/>
          <w:sz w:val="32"/>
          <w:szCs w:val="32"/>
        </w:rPr>
        <w:t>（一）组织开标启响应文件</w:t>
      </w:r>
    </w:p>
    <w:p>
      <w:pPr>
        <w:pageBreakBefore w:val="0"/>
        <w:widowControl w:val="0"/>
        <w:kinsoku/>
        <w:wordWrap/>
        <w:overflowPunct/>
        <w:topLinePunct w:val="0"/>
        <w:autoSpaceDE/>
        <w:autoSpaceDN/>
        <w:bidi w:val="0"/>
        <w:adjustRightInd/>
        <w:spacing w:line="360" w:lineRule="auto"/>
        <w:ind w:firstLine="640" w:firstLineChars="200"/>
        <w:textAlignment w:val="auto"/>
        <w:rPr>
          <w:rFonts w:hint="eastAsia"/>
          <w:color w:val="auto"/>
          <w:sz w:val="32"/>
          <w:szCs w:val="32"/>
        </w:rPr>
      </w:pPr>
      <w:r>
        <w:rPr>
          <w:rFonts w:hint="eastAsia"/>
          <w:color w:val="auto"/>
          <w:sz w:val="32"/>
          <w:szCs w:val="32"/>
        </w:rPr>
        <w:t>征集人将按照征集文件规定的时间、地点和程序组织开标启响应文件，各响应方授权代表及相关人员均应当准时在线参加，无关人员不得进入</w:t>
      </w:r>
      <w:r>
        <w:rPr>
          <w:rFonts w:hint="eastAsia"/>
          <w:color w:val="auto"/>
          <w:sz w:val="32"/>
          <w:szCs w:val="32"/>
          <w:lang w:val="en-US" w:eastAsia="zh-CN"/>
        </w:rPr>
        <w:t>开启</w:t>
      </w:r>
      <w:r>
        <w:rPr>
          <w:rFonts w:hint="eastAsia"/>
          <w:color w:val="auto"/>
          <w:sz w:val="32"/>
          <w:szCs w:val="32"/>
        </w:rPr>
        <w:t>现场。响应方如未准时在线参加的，事后不得对采购相关人员、</w:t>
      </w:r>
      <w:r>
        <w:rPr>
          <w:rFonts w:hint="eastAsia"/>
          <w:color w:val="auto"/>
          <w:sz w:val="32"/>
          <w:szCs w:val="32"/>
          <w:lang w:val="en-US" w:eastAsia="zh-CN"/>
        </w:rPr>
        <w:t>开启</w:t>
      </w:r>
      <w:r>
        <w:rPr>
          <w:rFonts w:hint="eastAsia"/>
          <w:color w:val="auto"/>
          <w:sz w:val="32"/>
          <w:szCs w:val="32"/>
        </w:rPr>
        <w:t>过程和</w:t>
      </w:r>
      <w:r>
        <w:rPr>
          <w:rFonts w:hint="eastAsia"/>
          <w:color w:val="auto"/>
          <w:sz w:val="32"/>
          <w:szCs w:val="32"/>
          <w:lang w:val="en-US" w:eastAsia="zh-CN"/>
        </w:rPr>
        <w:t>开启</w:t>
      </w:r>
      <w:r>
        <w:rPr>
          <w:rFonts w:hint="eastAsia"/>
          <w:color w:val="auto"/>
          <w:sz w:val="32"/>
          <w:szCs w:val="32"/>
        </w:rPr>
        <w:t>结果提出异议。</w:t>
      </w:r>
    </w:p>
    <w:p>
      <w:pPr>
        <w:pageBreakBefore w:val="0"/>
        <w:widowControl w:val="0"/>
        <w:kinsoku/>
        <w:wordWrap/>
        <w:overflowPunct/>
        <w:topLinePunct w:val="0"/>
        <w:autoSpaceDE/>
        <w:autoSpaceDN/>
        <w:bidi w:val="0"/>
        <w:adjustRightInd/>
        <w:spacing w:line="360" w:lineRule="auto"/>
        <w:ind w:firstLine="640" w:firstLineChars="200"/>
        <w:textAlignment w:val="auto"/>
        <w:rPr>
          <w:rFonts w:hint="eastAsia"/>
          <w:color w:val="auto"/>
          <w:sz w:val="32"/>
          <w:szCs w:val="32"/>
        </w:rPr>
      </w:pPr>
      <w:r>
        <w:rPr>
          <w:rFonts w:hint="eastAsia"/>
          <w:color w:val="auto"/>
          <w:sz w:val="32"/>
          <w:szCs w:val="32"/>
        </w:rPr>
        <w:t>1.落实工作场地、设施，检查录音录像采集设备运行情况，验证电子交易平台是否能正常登录。</w:t>
      </w:r>
    </w:p>
    <w:p>
      <w:pPr>
        <w:pageBreakBefore w:val="0"/>
        <w:widowControl w:val="0"/>
        <w:kinsoku/>
        <w:wordWrap/>
        <w:overflowPunct/>
        <w:topLinePunct w:val="0"/>
        <w:autoSpaceDE/>
        <w:autoSpaceDN/>
        <w:bidi w:val="0"/>
        <w:adjustRightInd/>
        <w:spacing w:line="360" w:lineRule="auto"/>
        <w:ind w:firstLine="640" w:firstLineChars="200"/>
        <w:textAlignment w:val="auto"/>
        <w:rPr>
          <w:rFonts w:hint="eastAsia"/>
          <w:color w:val="auto"/>
          <w:sz w:val="32"/>
          <w:szCs w:val="32"/>
        </w:rPr>
      </w:pPr>
      <w:r>
        <w:rPr>
          <w:rFonts w:hint="eastAsia"/>
          <w:color w:val="auto"/>
          <w:sz w:val="32"/>
          <w:szCs w:val="32"/>
        </w:rPr>
        <w:t>2.开启响应文件由征集人主持，主持人介绍开</w:t>
      </w:r>
      <w:r>
        <w:rPr>
          <w:rFonts w:hint="eastAsia"/>
          <w:color w:val="auto"/>
          <w:sz w:val="32"/>
          <w:szCs w:val="32"/>
          <w:lang w:val="en-US" w:eastAsia="zh-CN"/>
        </w:rPr>
        <w:t>启</w:t>
      </w:r>
      <w:r>
        <w:rPr>
          <w:rFonts w:hint="eastAsia"/>
          <w:color w:val="auto"/>
          <w:sz w:val="32"/>
          <w:szCs w:val="32"/>
        </w:rPr>
        <w:t>现场的人员情况，宣读递交响应文件的响应方名单、开标纪律、应当回避的情形等注意事项。</w:t>
      </w:r>
    </w:p>
    <w:p>
      <w:pPr>
        <w:pageBreakBefore w:val="0"/>
        <w:widowControl w:val="0"/>
        <w:kinsoku/>
        <w:wordWrap/>
        <w:overflowPunct/>
        <w:topLinePunct w:val="0"/>
        <w:autoSpaceDE/>
        <w:autoSpaceDN/>
        <w:bidi w:val="0"/>
        <w:adjustRightInd/>
        <w:spacing w:line="360" w:lineRule="auto"/>
        <w:ind w:firstLine="640" w:firstLineChars="200"/>
        <w:textAlignment w:val="auto"/>
        <w:rPr>
          <w:rFonts w:hint="eastAsia"/>
          <w:color w:val="auto"/>
          <w:sz w:val="32"/>
          <w:szCs w:val="32"/>
        </w:rPr>
      </w:pPr>
      <w:r>
        <w:rPr>
          <w:rFonts w:hint="eastAsia"/>
          <w:color w:val="auto"/>
          <w:sz w:val="32"/>
          <w:szCs w:val="32"/>
        </w:rPr>
        <w:t>3.</w:t>
      </w:r>
      <w:r>
        <w:rPr>
          <w:rFonts w:hint="eastAsia"/>
          <w:color w:val="auto"/>
          <w:sz w:val="32"/>
          <w:szCs w:val="32"/>
          <w:lang w:eastAsia="zh-CN"/>
        </w:rPr>
        <w:t>响应</w:t>
      </w:r>
      <w:r>
        <w:rPr>
          <w:rFonts w:hint="eastAsia"/>
          <w:color w:val="auto"/>
          <w:sz w:val="32"/>
          <w:szCs w:val="32"/>
        </w:rPr>
        <w:t>截止时，电子交易平台自动提取所有电子响应文件。征集人点击[开始解密]按钮后，响应方可以在线解密，解密时限为</w:t>
      </w:r>
      <w:r>
        <w:rPr>
          <w:rFonts w:hint="eastAsia"/>
          <w:color w:val="auto"/>
          <w:sz w:val="32"/>
          <w:szCs w:val="32"/>
          <w:lang w:val="en-US" w:eastAsia="zh-CN"/>
        </w:rPr>
        <w:t>30</w:t>
      </w:r>
      <w:r>
        <w:rPr>
          <w:rFonts w:hint="eastAsia"/>
          <w:color w:val="auto"/>
          <w:sz w:val="32"/>
          <w:szCs w:val="32"/>
        </w:rPr>
        <w:t>分钟。</w:t>
      </w:r>
    </w:p>
    <w:p>
      <w:pPr>
        <w:pageBreakBefore w:val="0"/>
        <w:widowControl w:val="0"/>
        <w:kinsoku/>
        <w:wordWrap/>
        <w:overflowPunct/>
        <w:topLinePunct w:val="0"/>
        <w:autoSpaceDE/>
        <w:autoSpaceDN/>
        <w:bidi w:val="0"/>
        <w:adjustRightInd/>
        <w:spacing w:line="360" w:lineRule="auto"/>
        <w:ind w:firstLine="640" w:firstLineChars="200"/>
        <w:textAlignment w:val="auto"/>
        <w:rPr>
          <w:rFonts w:hint="eastAsia"/>
          <w:color w:val="auto"/>
          <w:sz w:val="32"/>
          <w:szCs w:val="32"/>
        </w:rPr>
      </w:pPr>
      <w:r>
        <w:rPr>
          <w:rFonts w:hint="eastAsia"/>
          <w:color w:val="auto"/>
          <w:sz w:val="32"/>
          <w:szCs w:val="32"/>
        </w:rPr>
        <w:t>4.响应方应当在解密时限内完成解密，如所有响应方的电子响应文件都已经解密完成的，则电子交易平台自动结束解密。如有任一响应方未解密，电子交易平台会在解密时限截止时自动结束解密。</w:t>
      </w:r>
    </w:p>
    <w:p>
      <w:pPr>
        <w:pageBreakBefore w:val="0"/>
        <w:widowControl w:val="0"/>
        <w:kinsoku/>
        <w:wordWrap/>
        <w:overflowPunct/>
        <w:topLinePunct w:val="0"/>
        <w:autoSpaceDE/>
        <w:autoSpaceDN/>
        <w:bidi w:val="0"/>
        <w:adjustRightInd/>
        <w:spacing w:line="360" w:lineRule="auto"/>
        <w:ind w:firstLine="640" w:firstLineChars="200"/>
        <w:textAlignment w:val="auto"/>
        <w:rPr>
          <w:rFonts w:hint="eastAsia"/>
          <w:color w:val="auto"/>
          <w:sz w:val="32"/>
          <w:szCs w:val="32"/>
        </w:rPr>
      </w:pPr>
      <w:r>
        <w:rPr>
          <w:rFonts w:hint="eastAsia"/>
          <w:color w:val="auto"/>
          <w:sz w:val="32"/>
          <w:szCs w:val="32"/>
        </w:rPr>
        <w:t>解密时限内未完成解密且按规定提供了备份响应文件的，征集人将拆封其备份响应文件，并导入电子交易平台。</w:t>
      </w:r>
    </w:p>
    <w:p>
      <w:pPr>
        <w:pageBreakBefore w:val="0"/>
        <w:widowControl w:val="0"/>
        <w:kinsoku/>
        <w:wordWrap/>
        <w:overflowPunct/>
        <w:topLinePunct w:val="0"/>
        <w:autoSpaceDE/>
        <w:autoSpaceDN/>
        <w:bidi w:val="0"/>
        <w:adjustRightInd/>
        <w:spacing w:line="360" w:lineRule="auto"/>
        <w:ind w:firstLine="640" w:firstLineChars="200"/>
        <w:textAlignment w:val="auto"/>
        <w:rPr>
          <w:rFonts w:hint="eastAsia"/>
          <w:color w:val="auto"/>
          <w:sz w:val="32"/>
          <w:szCs w:val="32"/>
        </w:rPr>
      </w:pPr>
      <w:r>
        <w:rPr>
          <w:rFonts w:hint="eastAsia"/>
          <w:color w:val="auto"/>
          <w:sz w:val="32"/>
          <w:szCs w:val="32"/>
        </w:rPr>
        <w:t>5.</w:t>
      </w:r>
      <w:r>
        <w:rPr>
          <w:rFonts w:hint="eastAsia"/>
          <w:color w:val="auto"/>
          <w:sz w:val="32"/>
          <w:szCs w:val="32"/>
          <w:lang w:eastAsia="zh-CN"/>
        </w:rPr>
        <w:t>评审小组</w:t>
      </w:r>
      <w:r>
        <w:rPr>
          <w:rFonts w:hint="eastAsia"/>
          <w:color w:val="auto"/>
          <w:sz w:val="32"/>
          <w:szCs w:val="32"/>
        </w:rPr>
        <w:t>在商务和技术评审结束后，主持人通过电子交易平台宣告商务和技术评审无效响应方名称及理由，有效响应方的商务和技术得分情况。</w:t>
      </w:r>
    </w:p>
    <w:p>
      <w:pPr>
        <w:pageBreakBefore w:val="0"/>
        <w:widowControl w:val="0"/>
        <w:kinsoku/>
        <w:wordWrap/>
        <w:overflowPunct/>
        <w:topLinePunct w:val="0"/>
        <w:autoSpaceDE/>
        <w:autoSpaceDN/>
        <w:bidi w:val="0"/>
        <w:adjustRightInd/>
        <w:spacing w:line="360" w:lineRule="auto"/>
        <w:ind w:firstLine="640" w:firstLineChars="200"/>
        <w:textAlignment w:val="auto"/>
        <w:rPr>
          <w:rFonts w:hint="eastAsia"/>
          <w:color w:val="auto"/>
          <w:sz w:val="32"/>
          <w:szCs w:val="32"/>
        </w:rPr>
      </w:pPr>
      <w:r>
        <w:rPr>
          <w:rFonts w:hint="eastAsia"/>
          <w:color w:val="auto"/>
          <w:sz w:val="32"/>
          <w:szCs w:val="32"/>
        </w:rPr>
        <w:t>6.征集人在电子交易平台开启响应方的报价文件信息，响应方对报价信息进行确认。响应方对报价信息不予确认的不影响后续评标过程。</w:t>
      </w:r>
    </w:p>
    <w:p>
      <w:pPr>
        <w:pageBreakBefore w:val="0"/>
        <w:widowControl w:val="0"/>
        <w:kinsoku/>
        <w:wordWrap/>
        <w:overflowPunct/>
        <w:topLinePunct w:val="0"/>
        <w:autoSpaceDE/>
        <w:autoSpaceDN/>
        <w:bidi w:val="0"/>
        <w:adjustRightInd/>
        <w:spacing w:line="360" w:lineRule="auto"/>
        <w:ind w:firstLine="640" w:firstLineChars="200"/>
        <w:textAlignment w:val="auto"/>
        <w:rPr>
          <w:rFonts w:hint="eastAsia"/>
          <w:color w:val="auto"/>
          <w:sz w:val="32"/>
          <w:szCs w:val="32"/>
        </w:rPr>
      </w:pPr>
      <w:r>
        <w:rPr>
          <w:rFonts w:hint="eastAsia"/>
          <w:color w:val="auto"/>
          <w:sz w:val="32"/>
          <w:szCs w:val="32"/>
        </w:rPr>
        <w:t>7.</w:t>
      </w:r>
      <w:r>
        <w:rPr>
          <w:rFonts w:hint="eastAsia"/>
          <w:color w:val="auto"/>
          <w:sz w:val="32"/>
          <w:szCs w:val="32"/>
          <w:lang w:eastAsia="zh-CN"/>
        </w:rPr>
        <w:t>评审小组</w:t>
      </w:r>
      <w:r>
        <w:rPr>
          <w:rFonts w:hint="eastAsia"/>
          <w:color w:val="auto"/>
          <w:sz w:val="32"/>
          <w:szCs w:val="32"/>
        </w:rPr>
        <w:t>经商议认为需要响应方作出必要澄清或说明的，应当通过电子交易平台交换数据电文。</w:t>
      </w:r>
      <w:r>
        <w:rPr>
          <w:rFonts w:hint="eastAsia"/>
          <w:color w:val="auto"/>
          <w:sz w:val="32"/>
          <w:szCs w:val="32"/>
          <w:lang w:eastAsia="zh-CN"/>
        </w:rPr>
        <w:t>评审小组</w:t>
      </w:r>
      <w:r>
        <w:rPr>
          <w:rFonts w:hint="eastAsia"/>
          <w:color w:val="auto"/>
          <w:sz w:val="32"/>
          <w:szCs w:val="32"/>
        </w:rPr>
        <w:t>给予响应方提交澄清或说明的时间为半小时，响应方已经明确表示澄清或说明完毕的除外。</w:t>
      </w:r>
    </w:p>
    <w:p>
      <w:pPr>
        <w:pageBreakBefore w:val="0"/>
        <w:widowControl w:val="0"/>
        <w:kinsoku/>
        <w:wordWrap/>
        <w:overflowPunct/>
        <w:topLinePunct w:val="0"/>
        <w:autoSpaceDE/>
        <w:autoSpaceDN/>
        <w:bidi w:val="0"/>
        <w:adjustRightInd/>
        <w:spacing w:line="360" w:lineRule="auto"/>
        <w:ind w:firstLine="640" w:firstLineChars="200"/>
        <w:textAlignment w:val="auto"/>
        <w:rPr>
          <w:rFonts w:hint="eastAsia"/>
          <w:color w:val="auto"/>
          <w:sz w:val="32"/>
          <w:szCs w:val="32"/>
        </w:rPr>
      </w:pPr>
      <w:r>
        <w:rPr>
          <w:rFonts w:hint="eastAsia"/>
          <w:color w:val="auto"/>
          <w:sz w:val="32"/>
          <w:szCs w:val="32"/>
        </w:rPr>
        <w:t>8.在电子交易平台上公布评审结果。</w:t>
      </w:r>
    </w:p>
    <w:p>
      <w:pPr>
        <w:pageBreakBefore w:val="0"/>
        <w:widowControl w:val="0"/>
        <w:kinsoku/>
        <w:wordWrap/>
        <w:overflowPunct/>
        <w:topLinePunct w:val="0"/>
        <w:autoSpaceDE/>
        <w:autoSpaceDN/>
        <w:bidi w:val="0"/>
        <w:adjustRightInd/>
        <w:spacing w:line="360" w:lineRule="auto"/>
        <w:ind w:firstLine="640" w:firstLineChars="200"/>
        <w:textAlignment w:val="auto"/>
        <w:rPr>
          <w:rFonts w:hint="eastAsia"/>
          <w:color w:val="auto"/>
          <w:sz w:val="32"/>
          <w:szCs w:val="32"/>
        </w:rPr>
      </w:pPr>
      <w:r>
        <w:rPr>
          <w:rFonts w:hint="eastAsia"/>
          <w:color w:val="auto"/>
          <w:sz w:val="32"/>
          <w:szCs w:val="32"/>
        </w:rPr>
        <w:t>特别说明：政采云公司如对电子化开标及评审程序有调整的，按调整后的程序操作。</w:t>
      </w:r>
    </w:p>
    <w:p>
      <w:pPr>
        <w:pStyle w:val="4"/>
        <w:pageBreakBefore w:val="0"/>
        <w:widowControl w:val="0"/>
        <w:kinsoku/>
        <w:wordWrap/>
        <w:overflowPunct/>
        <w:topLinePunct w:val="0"/>
        <w:autoSpaceDE/>
        <w:autoSpaceDN/>
        <w:bidi w:val="0"/>
        <w:adjustRightInd/>
        <w:spacing w:line="360" w:lineRule="auto"/>
        <w:ind w:firstLine="643" w:firstLineChars="200"/>
        <w:textAlignment w:val="auto"/>
        <w:rPr>
          <w:color w:val="auto"/>
          <w:sz w:val="32"/>
          <w:szCs w:val="32"/>
        </w:rPr>
      </w:pPr>
      <w:r>
        <w:rPr>
          <w:rFonts w:hint="eastAsia"/>
          <w:color w:val="auto"/>
          <w:sz w:val="32"/>
          <w:szCs w:val="32"/>
        </w:rPr>
        <w:t>（二）组织评标程序</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征集人将按照征集文件规定的时间、地点和程序组织评标，各评审专家及相关人员应参加评审活动并接受核验、签到，无关人员不得进入评审现场。</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1</w:t>
      </w:r>
      <w:r>
        <w:rPr>
          <w:rFonts w:hint="eastAsia"/>
          <w:color w:val="auto"/>
          <w:sz w:val="32"/>
          <w:szCs w:val="32"/>
          <w:lang w:val="en-US" w:eastAsia="zh-CN"/>
        </w:rPr>
        <w:t>.</w:t>
      </w:r>
      <w:r>
        <w:rPr>
          <w:rFonts w:hint="eastAsia"/>
          <w:color w:val="auto"/>
          <w:sz w:val="32"/>
          <w:szCs w:val="32"/>
        </w:rPr>
        <w:t>开启开标场地录音录像采集设备，并确保正常运行。</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2</w:t>
      </w:r>
      <w:r>
        <w:rPr>
          <w:rFonts w:hint="eastAsia"/>
          <w:color w:val="auto"/>
          <w:sz w:val="32"/>
          <w:szCs w:val="32"/>
          <w:lang w:eastAsia="zh-CN"/>
        </w:rPr>
        <w:t>.</w:t>
      </w:r>
      <w:r>
        <w:rPr>
          <w:rFonts w:hint="eastAsia"/>
          <w:color w:val="auto"/>
          <w:sz w:val="32"/>
          <w:szCs w:val="32"/>
        </w:rPr>
        <w:t>按规定统一收缴、保存评</w:t>
      </w:r>
      <w:r>
        <w:rPr>
          <w:rFonts w:hint="eastAsia"/>
          <w:color w:val="auto"/>
          <w:sz w:val="32"/>
          <w:szCs w:val="32"/>
          <w:lang w:val="en-US" w:eastAsia="zh-CN"/>
        </w:rPr>
        <w:t>审</w:t>
      </w:r>
      <w:r>
        <w:rPr>
          <w:rFonts w:hint="eastAsia"/>
          <w:color w:val="auto"/>
          <w:sz w:val="32"/>
          <w:szCs w:val="32"/>
        </w:rPr>
        <w:t>现场相关人员通讯工具。</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3</w:t>
      </w:r>
      <w:r>
        <w:rPr>
          <w:rFonts w:hint="eastAsia"/>
          <w:color w:val="auto"/>
          <w:sz w:val="32"/>
          <w:szCs w:val="32"/>
          <w:lang w:eastAsia="zh-CN"/>
        </w:rPr>
        <w:t>.</w:t>
      </w:r>
      <w:r>
        <w:rPr>
          <w:rFonts w:hint="eastAsia"/>
          <w:color w:val="auto"/>
          <w:sz w:val="32"/>
          <w:szCs w:val="32"/>
        </w:rPr>
        <w:t>介绍评审现场的人员情况，宣布评审工作纪律，告知评审人员应当回避情形；组织推选</w:t>
      </w:r>
      <w:r>
        <w:rPr>
          <w:rFonts w:hint="eastAsia"/>
          <w:color w:val="auto"/>
          <w:sz w:val="32"/>
          <w:szCs w:val="32"/>
          <w:lang w:eastAsia="zh-CN"/>
        </w:rPr>
        <w:t>评审小组</w:t>
      </w:r>
      <w:r>
        <w:rPr>
          <w:rFonts w:hint="eastAsia"/>
          <w:color w:val="auto"/>
          <w:sz w:val="32"/>
          <w:szCs w:val="32"/>
        </w:rPr>
        <w:t>组长。</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4</w:t>
      </w:r>
      <w:r>
        <w:rPr>
          <w:rFonts w:hint="eastAsia"/>
          <w:color w:val="auto"/>
          <w:sz w:val="32"/>
          <w:szCs w:val="32"/>
          <w:lang w:eastAsia="zh-CN"/>
        </w:rPr>
        <w:t>.</w:t>
      </w:r>
      <w:r>
        <w:rPr>
          <w:rFonts w:hint="eastAsia"/>
          <w:color w:val="auto"/>
          <w:sz w:val="32"/>
          <w:szCs w:val="32"/>
        </w:rPr>
        <w:t>宣读提交响应文件的供应商名单，组织</w:t>
      </w:r>
      <w:r>
        <w:rPr>
          <w:rFonts w:hint="eastAsia"/>
          <w:color w:val="auto"/>
          <w:sz w:val="32"/>
          <w:szCs w:val="32"/>
          <w:lang w:eastAsia="zh-CN"/>
        </w:rPr>
        <w:t>评审小组</w:t>
      </w:r>
      <w:r>
        <w:rPr>
          <w:rFonts w:hint="eastAsia"/>
          <w:color w:val="auto"/>
          <w:sz w:val="32"/>
          <w:szCs w:val="32"/>
        </w:rPr>
        <w:t>各位成员签订纸质形式的《政府采购评审人员廉洁自律承诺书》。</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5</w:t>
      </w:r>
      <w:r>
        <w:rPr>
          <w:rFonts w:hint="eastAsia"/>
          <w:color w:val="auto"/>
          <w:sz w:val="32"/>
          <w:szCs w:val="32"/>
          <w:lang w:eastAsia="zh-CN"/>
        </w:rPr>
        <w:t>.</w:t>
      </w:r>
      <w:r>
        <w:rPr>
          <w:rFonts w:hint="eastAsia"/>
          <w:color w:val="auto"/>
          <w:sz w:val="32"/>
          <w:szCs w:val="32"/>
        </w:rPr>
        <w:t>征集人可以在评</w:t>
      </w:r>
      <w:r>
        <w:rPr>
          <w:rFonts w:hint="eastAsia"/>
          <w:color w:val="auto"/>
          <w:sz w:val="32"/>
          <w:szCs w:val="32"/>
          <w:lang w:val="en-US" w:eastAsia="zh-CN"/>
        </w:rPr>
        <w:t>审</w:t>
      </w:r>
      <w:r>
        <w:rPr>
          <w:rFonts w:hint="eastAsia"/>
          <w:color w:val="auto"/>
          <w:sz w:val="32"/>
          <w:szCs w:val="32"/>
        </w:rPr>
        <w:t>前说明项目背景和采购需求，说明内容不得含有歧视性、倾向性意见，不得超出征集文件所述范围。说明应当提交书面材料，并随采购文件一并存档。</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6</w:t>
      </w:r>
      <w:r>
        <w:rPr>
          <w:rFonts w:hint="eastAsia"/>
          <w:color w:val="auto"/>
          <w:sz w:val="32"/>
          <w:szCs w:val="32"/>
          <w:lang w:eastAsia="zh-CN"/>
        </w:rPr>
        <w:t>.</w:t>
      </w:r>
      <w:r>
        <w:rPr>
          <w:rFonts w:hint="eastAsia"/>
          <w:color w:val="auto"/>
          <w:sz w:val="32"/>
          <w:szCs w:val="32"/>
        </w:rPr>
        <w:t>根据需要简要介绍征集文件（含补充文件）制定及质疑答复情况、按书面陈述项目基本情况及评审工作需注意事项等，让评审专家尽快知悉和了解所评审项目的采购需求、评审依据、评审标准、工作程序等；提醒</w:t>
      </w:r>
      <w:r>
        <w:rPr>
          <w:rFonts w:hint="eastAsia"/>
          <w:color w:val="auto"/>
          <w:sz w:val="32"/>
          <w:szCs w:val="32"/>
          <w:lang w:eastAsia="zh-CN"/>
        </w:rPr>
        <w:t>评审小组</w:t>
      </w:r>
      <w:r>
        <w:rPr>
          <w:rFonts w:hint="eastAsia"/>
          <w:color w:val="auto"/>
          <w:sz w:val="32"/>
          <w:szCs w:val="32"/>
        </w:rPr>
        <w:t>对客观评审项目应统一评审依据和评审标准，对主观评审项目应确定大致的评审要求和评审尺度；对评审人员提出的有关征集文件、响应文件的问题进行必要的说明、解释或讨论。</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7</w:t>
      </w:r>
      <w:r>
        <w:rPr>
          <w:rFonts w:hint="eastAsia"/>
          <w:color w:val="auto"/>
          <w:sz w:val="32"/>
          <w:szCs w:val="32"/>
          <w:lang w:eastAsia="zh-CN"/>
        </w:rPr>
        <w:t>.</w:t>
      </w:r>
      <w:r>
        <w:rPr>
          <w:rFonts w:hint="eastAsia"/>
          <w:color w:val="auto"/>
          <w:sz w:val="32"/>
          <w:szCs w:val="32"/>
        </w:rPr>
        <w:t>征集人对响应方资格文件进行审查并以开启响应文件当日为准对响应方“信用中国”网站（www.creditchina.gov.cn）、中国政府采购网（www.ccgp.gov.cn）信用记录情况进行核实，资格不符合的，应组织相关响应方代表进行陈述、澄清或申辩。</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8</w:t>
      </w:r>
      <w:r>
        <w:rPr>
          <w:rFonts w:hint="eastAsia"/>
          <w:color w:val="auto"/>
          <w:sz w:val="32"/>
          <w:szCs w:val="32"/>
          <w:lang w:eastAsia="zh-CN"/>
        </w:rPr>
        <w:t>.评审小组</w:t>
      </w:r>
      <w:r>
        <w:rPr>
          <w:rFonts w:hint="eastAsia"/>
          <w:color w:val="auto"/>
          <w:sz w:val="32"/>
          <w:szCs w:val="32"/>
        </w:rPr>
        <w:t>组长组织评审人员独立评审。</w:t>
      </w:r>
      <w:r>
        <w:rPr>
          <w:rFonts w:hint="eastAsia"/>
          <w:color w:val="auto"/>
          <w:sz w:val="32"/>
          <w:szCs w:val="32"/>
          <w:lang w:eastAsia="zh-CN"/>
        </w:rPr>
        <w:t>评审小组</w:t>
      </w:r>
      <w:r>
        <w:rPr>
          <w:rFonts w:hint="eastAsia"/>
          <w:color w:val="auto"/>
          <w:sz w:val="32"/>
          <w:szCs w:val="32"/>
        </w:rPr>
        <w:t>对拟认定为响应文件无效，应组织相关响应方代表进行陈述、澄清或申辩；征集人可协助</w:t>
      </w:r>
      <w:r>
        <w:rPr>
          <w:rFonts w:hint="eastAsia"/>
          <w:color w:val="auto"/>
          <w:sz w:val="32"/>
          <w:szCs w:val="32"/>
          <w:lang w:eastAsia="zh-CN"/>
        </w:rPr>
        <w:t>评审小组</w:t>
      </w:r>
      <w:r>
        <w:rPr>
          <w:rFonts w:hint="eastAsia"/>
          <w:color w:val="auto"/>
          <w:sz w:val="32"/>
          <w:szCs w:val="32"/>
        </w:rPr>
        <w:t>组长对打分结果进行校对、核对并汇总统计；对明显畸高、畸低的评分（其总评分偏离平均分30%以上的），</w:t>
      </w:r>
      <w:r>
        <w:rPr>
          <w:rFonts w:hint="eastAsia"/>
          <w:color w:val="auto"/>
          <w:sz w:val="32"/>
          <w:szCs w:val="32"/>
          <w:lang w:eastAsia="zh-CN"/>
        </w:rPr>
        <w:t>评审小组</w:t>
      </w:r>
      <w:r>
        <w:rPr>
          <w:rFonts w:hint="eastAsia"/>
          <w:color w:val="auto"/>
          <w:sz w:val="32"/>
          <w:szCs w:val="32"/>
        </w:rPr>
        <w:t>组长应提醒相关评审人员进行复核或书面说明理由，评审人员拒绝说明的，由现场监督员据实记录；评审人员的评审、修改记录应保留原件，随项目其他资料一并存档。</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9</w:t>
      </w:r>
      <w:r>
        <w:rPr>
          <w:rFonts w:hint="eastAsia"/>
          <w:color w:val="auto"/>
          <w:sz w:val="32"/>
          <w:szCs w:val="32"/>
          <w:lang w:eastAsia="zh-CN"/>
        </w:rPr>
        <w:t>.</w:t>
      </w:r>
      <w:r>
        <w:rPr>
          <w:rFonts w:hint="eastAsia"/>
          <w:color w:val="auto"/>
          <w:sz w:val="32"/>
          <w:szCs w:val="32"/>
        </w:rPr>
        <w:t>做好评审现场相关记录，协助</w:t>
      </w:r>
      <w:r>
        <w:rPr>
          <w:rFonts w:hint="eastAsia"/>
          <w:color w:val="auto"/>
          <w:sz w:val="32"/>
          <w:szCs w:val="32"/>
          <w:lang w:eastAsia="zh-CN"/>
        </w:rPr>
        <w:t>评审小组</w:t>
      </w:r>
      <w:r>
        <w:rPr>
          <w:rFonts w:hint="eastAsia"/>
          <w:color w:val="auto"/>
          <w:sz w:val="32"/>
          <w:szCs w:val="32"/>
        </w:rPr>
        <w:t>组长做好评审报告起草、有关内容电脑文字录入等工作，并要求</w:t>
      </w:r>
      <w:r>
        <w:rPr>
          <w:rFonts w:hint="eastAsia"/>
          <w:color w:val="auto"/>
          <w:sz w:val="32"/>
          <w:szCs w:val="32"/>
          <w:lang w:eastAsia="zh-CN"/>
        </w:rPr>
        <w:t>评审小组</w:t>
      </w:r>
      <w:r>
        <w:rPr>
          <w:rFonts w:hint="eastAsia"/>
          <w:color w:val="auto"/>
          <w:sz w:val="32"/>
          <w:szCs w:val="32"/>
        </w:rPr>
        <w:t>各成员签字确认。</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10</w:t>
      </w:r>
      <w:r>
        <w:rPr>
          <w:rFonts w:hint="eastAsia"/>
          <w:color w:val="auto"/>
          <w:sz w:val="32"/>
          <w:szCs w:val="32"/>
          <w:lang w:eastAsia="zh-CN"/>
        </w:rPr>
        <w:t>.</w:t>
      </w:r>
      <w:r>
        <w:rPr>
          <w:rFonts w:hint="eastAsia"/>
          <w:color w:val="auto"/>
          <w:sz w:val="32"/>
          <w:szCs w:val="32"/>
        </w:rPr>
        <w:t>评审结束后，征集人应对</w:t>
      </w:r>
      <w:r>
        <w:rPr>
          <w:rFonts w:hint="eastAsia"/>
          <w:color w:val="auto"/>
          <w:sz w:val="32"/>
          <w:szCs w:val="32"/>
          <w:lang w:eastAsia="zh-CN"/>
        </w:rPr>
        <w:t>评审小组</w:t>
      </w:r>
      <w:r>
        <w:rPr>
          <w:rFonts w:hint="eastAsia"/>
          <w:color w:val="auto"/>
          <w:sz w:val="32"/>
          <w:szCs w:val="32"/>
        </w:rPr>
        <w:t>各成员的专业水平、职业道德、遵纪守法等情况进行评价；同时按规定向评审专家发放评审费，并交还评审人员及其他现场相关人员的通讯工具。</w:t>
      </w:r>
    </w:p>
    <w:p>
      <w:pPr>
        <w:pStyle w:val="4"/>
        <w:pageBreakBefore w:val="0"/>
        <w:widowControl w:val="0"/>
        <w:kinsoku/>
        <w:wordWrap/>
        <w:overflowPunct/>
        <w:topLinePunct w:val="0"/>
        <w:autoSpaceDE/>
        <w:autoSpaceDN/>
        <w:bidi w:val="0"/>
        <w:adjustRightInd/>
        <w:spacing w:line="360" w:lineRule="auto"/>
        <w:ind w:firstLine="643" w:firstLineChars="200"/>
        <w:textAlignment w:val="auto"/>
        <w:rPr>
          <w:color w:val="auto"/>
          <w:sz w:val="32"/>
          <w:szCs w:val="32"/>
        </w:rPr>
      </w:pPr>
      <w:r>
        <w:rPr>
          <w:rFonts w:hint="eastAsia"/>
          <w:color w:val="auto"/>
          <w:sz w:val="32"/>
          <w:szCs w:val="32"/>
        </w:rPr>
        <w:t>（三）评审程序</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1</w:t>
      </w:r>
      <w:r>
        <w:rPr>
          <w:rFonts w:hint="eastAsia"/>
          <w:color w:val="auto"/>
          <w:sz w:val="32"/>
          <w:szCs w:val="32"/>
          <w:lang w:eastAsia="zh-CN"/>
        </w:rPr>
        <w:t>.</w:t>
      </w:r>
      <w:r>
        <w:rPr>
          <w:rFonts w:hint="eastAsia"/>
          <w:color w:val="auto"/>
          <w:sz w:val="32"/>
          <w:szCs w:val="32"/>
        </w:rPr>
        <w:t>在评审专家中推选</w:t>
      </w:r>
      <w:r>
        <w:rPr>
          <w:rFonts w:hint="eastAsia"/>
          <w:color w:val="auto"/>
          <w:sz w:val="32"/>
          <w:szCs w:val="32"/>
          <w:lang w:eastAsia="zh-CN"/>
        </w:rPr>
        <w:t>评审小组</w:t>
      </w:r>
      <w:r>
        <w:rPr>
          <w:rFonts w:hint="eastAsia"/>
          <w:color w:val="auto"/>
          <w:sz w:val="32"/>
          <w:szCs w:val="32"/>
        </w:rPr>
        <w:t>组长。</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2</w:t>
      </w:r>
      <w:r>
        <w:rPr>
          <w:rFonts w:hint="eastAsia"/>
          <w:color w:val="auto"/>
          <w:sz w:val="32"/>
          <w:szCs w:val="32"/>
          <w:lang w:eastAsia="zh-CN"/>
        </w:rPr>
        <w:t>.评审小组</w:t>
      </w:r>
      <w:r>
        <w:rPr>
          <w:rFonts w:hint="eastAsia"/>
          <w:color w:val="auto"/>
          <w:sz w:val="32"/>
          <w:szCs w:val="32"/>
        </w:rPr>
        <w:t>组长召集成员认真阅读征集文件以及相关补充、质疑、答复文件、项目书面说明等材料，熟悉采购项目的基本概况，采购项目的质量要求、数量、主要技术标准或服务需求，采购合同主要条款，响应文件无效情形，评审方法、评审依据、评审标准等。</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3</w:t>
      </w:r>
      <w:r>
        <w:rPr>
          <w:rFonts w:hint="eastAsia"/>
          <w:color w:val="auto"/>
          <w:sz w:val="32"/>
          <w:szCs w:val="32"/>
          <w:lang w:eastAsia="zh-CN"/>
        </w:rPr>
        <w:t>.</w:t>
      </w:r>
      <w:r>
        <w:rPr>
          <w:rFonts w:hint="eastAsia"/>
          <w:color w:val="auto"/>
          <w:sz w:val="32"/>
          <w:szCs w:val="32"/>
        </w:rPr>
        <w:t>评审人员对各响应方响应文件的有效性、符合性、完整性和响应程度进行审查，确定是否对征集文件作出实质性响应。</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4</w:t>
      </w:r>
      <w:r>
        <w:rPr>
          <w:rFonts w:hint="eastAsia"/>
          <w:color w:val="auto"/>
          <w:sz w:val="32"/>
          <w:szCs w:val="32"/>
          <w:lang w:eastAsia="zh-CN"/>
        </w:rPr>
        <w:t>.</w:t>
      </w:r>
      <w:r>
        <w:rPr>
          <w:rFonts w:hint="eastAsia"/>
          <w:color w:val="auto"/>
          <w:sz w:val="32"/>
          <w:szCs w:val="32"/>
        </w:rPr>
        <w:t>评审人员按征集文件规定的评审方法和评审标准，依法独立对响应方响应文件进行评估、比较，并给予评价或打分，不受任何单位和个人的干预。</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5</w:t>
      </w:r>
      <w:r>
        <w:rPr>
          <w:rFonts w:hint="eastAsia"/>
          <w:color w:val="auto"/>
          <w:sz w:val="32"/>
          <w:szCs w:val="32"/>
          <w:lang w:eastAsia="zh-CN"/>
        </w:rPr>
        <w:t>.</w:t>
      </w:r>
      <w:r>
        <w:rPr>
          <w:rFonts w:hint="eastAsia"/>
          <w:color w:val="auto"/>
          <w:sz w:val="32"/>
          <w:szCs w:val="32"/>
        </w:rPr>
        <w:t>评审人员对各响应方响应文件非实质性内容有疑议或异议，或者审查发现明显的文字或计算错误等，及时向</w:t>
      </w:r>
      <w:r>
        <w:rPr>
          <w:rFonts w:hint="eastAsia"/>
          <w:color w:val="auto"/>
          <w:sz w:val="32"/>
          <w:szCs w:val="32"/>
          <w:lang w:eastAsia="zh-CN"/>
        </w:rPr>
        <w:t>评审小组</w:t>
      </w:r>
      <w:r>
        <w:rPr>
          <w:rFonts w:hint="eastAsia"/>
          <w:color w:val="auto"/>
          <w:sz w:val="32"/>
          <w:szCs w:val="32"/>
        </w:rPr>
        <w:t>组长提出。经</w:t>
      </w:r>
      <w:r>
        <w:rPr>
          <w:rFonts w:hint="eastAsia"/>
          <w:color w:val="auto"/>
          <w:sz w:val="32"/>
          <w:szCs w:val="32"/>
          <w:lang w:eastAsia="zh-CN"/>
        </w:rPr>
        <w:t>评审小组</w:t>
      </w:r>
      <w:r>
        <w:rPr>
          <w:rFonts w:hint="eastAsia"/>
          <w:color w:val="auto"/>
          <w:sz w:val="32"/>
          <w:szCs w:val="32"/>
        </w:rPr>
        <w:t>商议认为需要响应方作出必要澄清或说明的，应通知该响应方以书面形式作出澄清或说明。授权代表未按时确认或拒绝澄清说明或澄清说明的内容改变了响应文件的实质性内容的，</w:t>
      </w:r>
      <w:r>
        <w:rPr>
          <w:rFonts w:hint="eastAsia"/>
          <w:color w:val="auto"/>
          <w:sz w:val="32"/>
          <w:szCs w:val="32"/>
          <w:lang w:eastAsia="zh-CN"/>
        </w:rPr>
        <w:t>评审小组</w:t>
      </w:r>
      <w:r>
        <w:rPr>
          <w:rFonts w:hint="eastAsia"/>
          <w:color w:val="auto"/>
          <w:sz w:val="32"/>
          <w:szCs w:val="32"/>
        </w:rPr>
        <w:t>有权对该响应文件作出不利于响应方的评判。书面通知及澄清说明文件应作为政府采购项目档案归档留存。</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6</w:t>
      </w:r>
      <w:r>
        <w:rPr>
          <w:rFonts w:hint="eastAsia"/>
          <w:color w:val="auto"/>
          <w:sz w:val="32"/>
          <w:szCs w:val="32"/>
          <w:lang w:eastAsia="zh-CN"/>
        </w:rPr>
        <w:t>.</w:t>
      </w:r>
      <w:r>
        <w:rPr>
          <w:rFonts w:hint="eastAsia"/>
          <w:color w:val="auto"/>
          <w:sz w:val="32"/>
          <w:szCs w:val="32"/>
        </w:rPr>
        <w:t>评审人员需对征集人工作人员唱票或统计的评审结果进行确认，现场监督员应对评审结果签署监督意见。如发现分值汇总计算错误、分项评分超出评分标准范围、客观评分不一致以及存在评分畸高、畸低情形的，应由相关人员当场改正或作出说明；拒不改正又不作说明的，由现场监督员如实记载后存入项目档案资料。</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7</w:t>
      </w:r>
      <w:r>
        <w:rPr>
          <w:rFonts w:hint="eastAsia"/>
          <w:color w:val="auto"/>
          <w:sz w:val="32"/>
          <w:szCs w:val="32"/>
          <w:lang w:eastAsia="zh-CN"/>
        </w:rPr>
        <w:t>.评审小组</w:t>
      </w:r>
      <w:r>
        <w:rPr>
          <w:rFonts w:hint="eastAsia"/>
          <w:color w:val="auto"/>
          <w:sz w:val="32"/>
          <w:szCs w:val="32"/>
        </w:rPr>
        <w:t>根据评审汇总情况和征集文件规定确定</w:t>
      </w:r>
      <w:r>
        <w:rPr>
          <w:rFonts w:hint="eastAsia"/>
          <w:color w:val="auto"/>
          <w:sz w:val="32"/>
          <w:szCs w:val="32"/>
          <w:lang w:eastAsia="zh-CN"/>
        </w:rPr>
        <w:t>入围</w:t>
      </w:r>
      <w:r>
        <w:rPr>
          <w:rFonts w:hint="eastAsia"/>
          <w:color w:val="auto"/>
          <w:sz w:val="32"/>
          <w:szCs w:val="32"/>
        </w:rPr>
        <w:t xml:space="preserve">候选供应商排序名单。 </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8</w:t>
      </w:r>
      <w:r>
        <w:rPr>
          <w:rFonts w:hint="eastAsia"/>
          <w:color w:val="auto"/>
          <w:sz w:val="32"/>
          <w:szCs w:val="32"/>
          <w:lang w:eastAsia="zh-CN"/>
        </w:rPr>
        <w:t>.</w:t>
      </w:r>
      <w:r>
        <w:rPr>
          <w:rFonts w:hint="eastAsia"/>
          <w:color w:val="auto"/>
          <w:sz w:val="32"/>
          <w:szCs w:val="32"/>
        </w:rPr>
        <w:t>起草评审报告，所有评审人员须在评审报告上签字确认。</w:t>
      </w:r>
    </w:p>
    <w:p>
      <w:pPr>
        <w:pStyle w:val="3"/>
        <w:pageBreakBefore w:val="0"/>
        <w:widowControl w:val="0"/>
        <w:kinsoku/>
        <w:wordWrap/>
        <w:overflowPunct/>
        <w:topLinePunct w:val="0"/>
        <w:autoSpaceDE/>
        <w:autoSpaceDN/>
        <w:bidi w:val="0"/>
        <w:adjustRightInd/>
        <w:spacing w:line="360" w:lineRule="auto"/>
        <w:ind w:left="0" w:leftChars="0" w:firstLine="643" w:firstLineChars="200"/>
        <w:jc w:val="center"/>
        <w:textAlignment w:val="auto"/>
        <w:rPr>
          <w:rFonts w:hint="eastAsia"/>
          <w:color w:val="auto"/>
          <w:sz w:val="32"/>
          <w:szCs w:val="32"/>
        </w:rPr>
      </w:pPr>
      <w:r>
        <w:rPr>
          <w:rFonts w:hint="eastAsia"/>
          <w:color w:val="auto"/>
          <w:sz w:val="32"/>
          <w:szCs w:val="32"/>
        </w:rPr>
        <w:t>四、评审原则</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1.</w:t>
      </w:r>
      <w:r>
        <w:rPr>
          <w:rFonts w:hint="eastAsia"/>
          <w:color w:val="auto"/>
          <w:sz w:val="32"/>
          <w:szCs w:val="32"/>
          <w:lang w:eastAsia="zh-CN"/>
        </w:rPr>
        <w:t>评审小组</w:t>
      </w:r>
      <w:r>
        <w:rPr>
          <w:rFonts w:hint="eastAsia"/>
          <w:color w:val="auto"/>
          <w:sz w:val="32"/>
          <w:szCs w:val="32"/>
        </w:rPr>
        <w:t>必须公平、公正、客观，不带任何倾向性和启发性；不得向外界透露任何与评标有关的内容；任何单位和个人不得干扰、影响评标的正常进行；</w:t>
      </w:r>
      <w:r>
        <w:rPr>
          <w:rFonts w:hint="eastAsia"/>
          <w:color w:val="auto"/>
          <w:sz w:val="32"/>
          <w:szCs w:val="32"/>
          <w:lang w:eastAsia="zh-CN"/>
        </w:rPr>
        <w:t>评审小组</w:t>
      </w:r>
      <w:r>
        <w:rPr>
          <w:rFonts w:hint="eastAsia"/>
          <w:color w:val="auto"/>
          <w:sz w:val="32"/>
          <w:szCs w:val="32"/>
        </w:rPr>
        <w:t>及有关工作人员不得私下与响应方接触。</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2.评审专家因回避、临时缺席或健康原因等特殊情况不能继续参加评审工作的，应按规定更换评审专家</w:t>
      </w:r>
      <w:r>
        <w:rPr>
          <w:rFonts w:hint="eastAsia"/>
          <w:color w:val="auto"/>
          <w:sz w:val="32"/>
          <w:szCs w:val="32"/>
          <w:lang w:eastAsia="zh-CN"/>
        </w:rPr>
        <w:t>，</w:t>
      </w:r>
      <w:r>
        <w:rPr>
          <w:rFonts w:hint="eastAsia"/>
          <w:color w:val="auto"/>
          <w:sz w:val="32"/>
          <w:szCs w:val="32"/>
        </w:rPr>
        <w:t>被更换的评审人员之前所作出的评审意见不再予以采纳，由更换后的评审人员重新进行评审。无法及时更换专家的，要立即停止评审工作、封存评审资料，并告知响应方择期重新评审的时间和地点。</w:t>
      </w:r>
    </w:p>
    <w:p>
      <w:pPr>
        <w:pageBreakBefore w:val="0"/>
        <w:widowControl w:val="0"/>
        <w:kinsoku/>
        <w:wordWrap/>
        <w:overflowPunct/>
        <w:topLinePunct w:val="0"/>
        <w:autoSpaceDE/>
        <w:autoSpaceDN/>
        <w:bidi w:val="0"/>
        <w:adjustRightInd/>
        <w:spacing w:line="360" w:lineRule="auto"/>
        <w:ind w:firstLine="640" w:firstLineChars="200"/>
        <w:textAlignment w:val="auto"/>
        <w:rPr>
          <w:rFonts w:hint="eastAsia"/>
          <w:color w:val="auto"/>
          <w:sz w:val="32"/>
          <w:szCs w:val="32"/>
        </w:rPr>
      </w:pPr>
      <w:r>
        <w:rPr>
          <w:rFonts w:hint="eastAsia"/>
          <w:color w:val="auto"/>
          <w:sz w:val="32"/>
          <w:szCs w:val="32"/>
        </w:rPr>
        <w:t>3.评审人员对有关征集文件、响应文件、样品或现场演示（如有）的说明、解释、要求、标准存在不同意见的，持不同意见的评审人员及其意见或理由应予以完整记录，并在评审过程中按照少数服从多数的原则表决执行。对征集文件本身不明确或存在歧义、矛盾的内容，应作对响应方而非采购人有利的解释；对因征集文件中有关产品技术参数需求表述不清导致响应方实质性响应不一致时，应终止评审，重新组织采购。评审人员拒绝在评审报告中签字又不说明其不同意见或理由的，由现场监督员记录在案后，可视为同意评审结果。</w:t>
      </w:r>
    </w:p>
    <w:p>
      <w:pPr>
        <w:pStyle w:val="3"/>
        <w:pageBreakBefore w:val="0"/>
        <w:widowControl w:val="0"/>
        <w:kinsoku/>
        <w:wordWrap/>
        <w:overflowPunct/>
        <w:topLinePunct w:val="0"/>
        <w:autoSpaceDE/>
        <w:autoSpaceDN/>
        <w:bidi w:val="0"/>
        <w:adjustRightInd/>
        <w:spacing w:line="360" w:lineRule="auto"/>
        <w:ind w:left="0" w:leftChars="0" w:firstLine="643" w:firstLineChars="200"/>
        <w:jc w:val="center"/>
        <w:textAlignment w:val="auto"/>
        <w:rPr>
          <w:color w:val="auto"/>
          <w:sz w:val="32"/>
          <w:szCs w:val="32"/>
        </w:rPr>
      </w:pPr>
      <w:r>
        <w:rPr>
          <w:rFonts w:hint="eastAsia"/>
          <w:color w:val="auto"/>
          <w:sz w:val="32"/>
          <w:szCs w:val="32"/>
        </w:rPr>
        <w:t>五、确定入围供应商的原则</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1.项目由</w:t>
      </w:r>
      <w:r>
        <w:rPr>
          <w:rFonts w:hint="eastAsia"/>
          <w:color w:val="auto"/>
          <w:sz w:val="32"/>
          <w:szCs w:val="32"/>
          <w:lang w:eastAsia="zh-CN"/>
        </w:rPr>
        <w:t>评审小组</w:t>
      </w:r>
      <w:r>
        <w:rPr>
          <w:rFonts w:hint="eastAsia"/>
          <w:color w:val="auto"/>
          <w:sz w:val="32"/>
          <w:szCs w:val="32"/>
        </w:rPr>
        <w:t>根据第三章《评审办法与评审标准》规定，在评审报告中确定入围供应商。</w:t>
      </w:r>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2.征集人将于评审结果确定后2个工作日内在浙江省政府采购网上发布入围结果公告，通过电子交易平台统一签发《入围通知书》。</w:t>
      </w:r>
    </w:p>
    <w:p>
      <w:pPr>
        <w:pStyle w:val="3"/>
        <w:pageBreakBefore w:val="0"/>
        <w:widowControl w:val="0"/>
        <w:kinsoku/>
        <w:wordWrap/>
        <w:overflowPunct/>
        <w:topLinePunct w:val="0"/>
        <w:autoSpaceDE/>
        <w:autoSpaceDN/>
        <w:bidi w:val="0"/>
        <w:adjustRightInd/>
        <w:spacing w:line="360" w:lineRule="auto"/>
        <w:ind w:left="0" w:leftChars="0" w:firstLine="643" w:firstLineChars="200"/>
        <w:jc w:val="center"/>
        <w:textAlignment w:val="auto"/>
        <w:rPr>
          <w:color w:val="auto"/>
          <w:sz w:val="32"/>
          <w:szCs w:val="32"/>
        </w:rPr>
      </w:pPr>
      <w:r>
        <w:rPr>
          <w:rFonts w:hint="eastAsia"/>
          <w:color w:val="auto"/>
          <w:sz w:val="32"/>
          <w:szCs w:val="32"/>
        </w:rPr>
        <w:t>六、协议签订</w:t>
      </w:r>
    </w:p>
    <w:p>
      <w:pPr>
        <w:pStyle w:val="4"/>
        <w:pageBreakBefore w:val="0"/>
        <w:widowControl w:val="0"/>
        <w:kinsoku/>
        <w:wordWrap/>
        <w:overflowPunct/>
        <w:topLinePunct w:val="0"/>
        <w:autoSpaceDE/>
        <w:autoSpaceDN/>
        <w:bidi w:val="0"/>
        <w:adjustRightInd/>
        <w:spacing w:line="360" w:lineRule="auto"/>
        <w:ind w:firstLine="643" w:firstLineChars="200"/>
        <w:textAlignment w:val="auto"/>
        <w:rPr>
          <w:color w:val="auto"/>
          <w:sz w:val="32"/>
          <w:szCs w:val="32"/>
        </w:rPr>
      </w:pPr>
      <w:r>
        <w:rPr>
          <w:rFonts w:hint="eastAsia"/>
          <w:color w:val="auto"/>
          <w:sz w:val="32"/>
          <w:szCs w:val="32"/>
        </w:rPr>
        <w:t>（一）征集人与入围供应商应当在《入围通知书》发出之日起30日内签订政府采购框架协议，并在7个工作日内报省财政厅备案。</w:t>
      </w:r>
    </w:p>
    <w:p>
      <w:pPr>
        <w:pStyle w:val="4"/>
        <w:pageBreakBefore w:val="0"/>
        <w:widowControl w:val="0"/>
        <w:kinsoku/>
        <w:wordWrap/>
        <w:overflowPunct/>
        <w:topLinePunct w:val="0"/>
        <w:autoSpaceDE/>
        <w:autoSpaceDN/>
        <w:bidi w:val="0"/>
        <w:adjustRightInd/>
        <w:spacing w:line="360" w:lineRule="auto"/>
        <w:ind w:firstLine="643" w:firstLineChars="200"/>
        <w:textAlignment w:val="auto"/>
        <w:rPr>
          <w:color w:val="auto"/>
          <w:sz w:val="32"/>
          <w:szCs w:val="32"/>
        </w:rPr>
      </w:pPr>
      <w:r>
        <w:rPr>
          <w:rFonts w:hint="eastAsia"/>
          <w:color w:val="auto"/>
          <w:sz w:val="32"/>
          <w:szCs w:val="32"/>
        </w:rPr>
        <w:t>（二）入围供应商拖延、拒签协议的</w:t>
      </w:r>
      <w:r>
        <w:rPr>
          <w:rFonts w:hint="eastAsia"/>
          <w:color w:val="auto"/>
          <w:sz w:val="32"/>
          <w:szCs w:val="32"/>
          <w:lang w:eastAsia="zh-CN"/>
        </w:rPr>
        <w:t>，</w:t>
      </w:r>
      <w:r>
        <w:rPr>
          <w:rFonts w:hint="eastAsia"/>
          <w:color w:val="auto"/>
          <w:sz w:val="32"/>
          <w:szCs w:val="32"/>
        </w:rPr>
        <w:t>将视为无正当理由放弃封闭式框架协议入围供应商资格。</w:t>
      </w:r>
    </w:p>
    <w:p>
      <w:pPr>
        <w:pStyle w:val="11"/>
        <w:pageBreakBefore w:val="0"/>
        <w:widowControl w:val="0"/>
        <w:kinsoku/>
        <w:wordWrap/>
        <w:overflowPunct/>
        <w:topLinePunct w:val="0"/>
        <w:autoSpaceDE/>
        <w:autoSpaceDN/>
        <w:bidi w:val="0"/>
        <w:adjustRightInd/>
        <w:spacing w:before="120" w:after="120" w:line="360" w:lineRule="auto"/>
        <w:ind w:firstLine="643" w:firstLineChars="200"/>
        <w:jc w:val="center"/>
        <w:textAlignment w:val="auto"/>
        <w:outlineLvl w:val="0"/>
        <w:rPr>
          <w:rStyle w:val="27"/>
          <w:color w:val="auto"/>
          <w:sz w:val="40"/>
          <w:szCs w:val="40"/>
        </w:rPr>
      </w:pPr>
      <w:r>
        <w:rPr>
          <w:rFonts w:hint="eastAsia" w:hAnsi="宋体"/>
          <w:b/>
          <w:color w:val="auto"/>
          <w:sz w:val="32"/>
          <w:szCs w:val="32"/>
        </w:rPr>
        <w:br w:type="page"/>
      </w:r>
      <w:bookmarkStart w:id="14" w:name="_Toc23567"/>
      <w:bookmarkStart w:id="15" w:name="_Toc4729"/>
      <w:r>
        <w:rPr>
          <w:rStyle w:val="27"/>
          <w:rFonts w:hint="eastAsia"/>
          <w:color w:val="auto"/>
          <w:sz w:val="40"/>
          <w:szCs w:val="40"/>
        </w:rPr>
        <w:t>第三章  评审办法及评审标准</w:t>
      </w:r>
      <w:bookmarkEnd w:id="14"/>
      <w:bookmarkEnd w:id="15"/>
    </w:p>
    <w:p>
      <w:pPr>
        <w:pageBreakBefore w:val="0"/>
        <w:widowControl w:val="0"/>
        <w:kinsoku/>
        <w:wordWrap/>
        <w:overflowPunct/>
        <w:topLinePunct w:val="0"/>
        <w:autoSpaceDE/>
        <w:autoSpaceDN/>
        <w:bidi w:val="0"/>
        <w:adjustRightInd/>
        <w:spacing w:line="360" w:lineRule="auto"/>
        <w:ind w:firstLine="640" w:firstLineChars="200"/>
        <w:textAlignment w:val="auto"/>
        <w:rPr>
          <w:color w:val="auto"/>
          <w:sz w:val="32"/>
          <w:szCs w:val="32"/>
        </w:rPr>
      </w:pPr>
      <w:r>
        <w:rPr>
          <w:rFonts w:hint="eastAsia"/>
          <w:color w:val="auto"/>
          <w:sz w:val="32"/>
          <w:szCs w:val="32"/>
        </w:rPr>
        <w:t>根据《中华人民共和国政府采购法》等有关法律法规，结合本项目的实际需求，制定本办法。</w:t>
      </w:r>
    </w:p>
    <w:p>
      <w:pPr>
        <w:pStyle w:val="3"/>
        <w:pageBreakBefore w:val="0"/>
        <w:widowControl w:val="0"/>
        <w:kinsoku/>
        <w:wordWrap/>
        <w:overflowPunct/>
        <w:topLinePunct w:val="0"/>
        <w:autoSpaceDE/>
        <w:autoSpaceDN/>
        <w:bidi w:val="0"/>
        <w:adjustRightInd/>
        <w:spacing w:line="360" w:lineRule="auto"/>
        <w:ind w:firstLine="643" w:firstLineChars="200"/>
        <w:textAlignment w:val="auto"/>
        <w:rPr>
          <w:color w:val="auto"/>
          <w:sz w:val="32"/>
          <w:szCs w:val="32"/>
        </w:rPr>
      </w:pPr>
      <w:r>
        <w:rPr>
          <w:rFonts w:hint="eastAsia"/>
          <w:color w:val="auto"/>
          <w:sz w:val="32"/>
          <w:szCs w:val="32"/>
        </w:rPr>
        <w:t>一、总则</w:t>
      </w:r>
    </w:p>
    <w:p>
      <w:pPr>
        <w:pageBreakBefore w:val="0"/>
        <w:widowControl w:val="0"/>
        <w:kinsoku/>
        <w:wordWrap/>
        <w:overflowPunct/>
        <w:topLinePunct w:val="0"/>
        <w:autoSpaceDE/>
        <w:autoSpaceDN/>
        <w:bidi w:val="0"/>
        <w:adjustRightInd/>
        <w:spacing w:line="360" w:lineRule="auto"/>
        <w:ind w:firstLine="640" w:firstLineChars="200"/>
        <w:textAlignment w:val="auto"/>
        <w:rPr>
          <w:rFonts w:hint="eastAsia"/>
          <w:color w:val="auto"/>
          <w:sz w:val="32"/>
          <w:szCs w:val="32"/>
        </w:rPr>
      </w:pPr>
      <w:r>
        <w:rPr>
          <w:rFonts w:hint="eastAsia"/>
          <w:color w:val="auto"/>
          <w:sz w:val="32"/>
          <w:szCs w:val="32"/>
        </w:rPr>
        <w:t>本次评审采用价格优先法。价格优先法是指对满足采购需求且响应报价不超过最高限制单价的产品，按照响应报价从低到高排序，根据征集文件规定的淘汰率或者入围供应商数量上限，确定入围供应商的评审方法。</w:t>
      </w:r>
    </w:p>
    <w:p>
      <w:pPr>
        <w:pStyle w:val="3"/>
        <w:pageBreakBefore w:val="0"/>
        <w:widowControl w:val="0"/>
        <w:kinsoku/>
        <w:wordWrap/>
        <w:overflowPunct/>
        <w:topLinePunct w:val="0"/>
        <w:autoSpaceDE/>
        <w:autoSpaceDN/>
        <w:bidi w:val="0"/>
        <w:adjustRightInd/>
        <w:spacing w:line="360" w:lineRule="auto"/>
        <w:ind w:firstLine="643" w:firstLineChars="200"/>
        <w:textAlignment w:val="auto"/>
        <w:rPr>
          <w:color w:val="auto"/>
          <w:sz w:val="32"/>
          <w:szCs w:val="32"/>
        </w:rPr>
      </w:pPr>
      <w:r>
        <w:rPr>
          <w:rFonts w:hint="eastAsia"/>
          <w:color w:val="auto"/>
          <w:sz w:val="32"/>
          <w:szCs w:val="32"/>
        </w:rPr>
        <w:t>二、入围供应商的确定</w:t>
      </w:r>
    </w:p>
    <w:p>
      <w:pPr>
        <w:pageBreakBefore w:val="0"/>
        <w:widowControl w:val="0"/>
        <w:kinsoku/>
        <w:wordWrap/>
        <w:overflowPunct/>
        <w:topLinePunct w:val="0"/>
        <w:autoSpaceDE/>
        <w:autoSpaceDN/>
        <w:bidi w:val="0"/>
        <w:adjustRightInd/>
        <w:spacing w:line="360" w:lineRule="auto"/>
        <w:ind w:firstLine="640" w:firstLineChars="200"/>
        <w:textAlignment w:val="auto"/>
        <w:rPr>
          <w:rFonts w:hint="eastAsia"/>
          <w:color w:val="auto"/>
          <w:sz w:val="32"/>
          <w:szCs w:val="32"/>
        </w:rPr>
      </w:pPr>
      <w:bookmarkStart w:id="16" w:name="_Toc520112427"/>
      <w:r>
        <w:rPr>
          <w:rFonts w:hint="eastAsia" w:ascii="仿宋" w:hAnsi="仿宋" w:eastAsia="仿宋" w:cs="仿宋"/>
          <w:color w:val="auto"/>
          <w:sz w:val="32"/>
          <w:szCs w:val="32"/>
        </w:rPr>
        <w:t>1.每个采购包淘汰率均为20%，且至少淘汰一家供应商。对符合资格条件、实质性要求、满足采购需求且响应报价不超过最高限制单价的供应商，按照响应报价从低到高排序，在报价相同的情况下，环保产品排序排在非环保产品前，取排序前80%的供应商确定为入围供应商（有效供应商数量的80%为非整数时，采用去尾法取整数，如有效供应商为6家时，淘汰末尾2家，以此类推）。若出现排序前80%中末位供应商并列的情况，并列供应商均不确定为入围供应商。例：10家有效供应商，A、B两家供应商并列第8名，则A、B均不入围，入围供应商为1至7名。</w:t>
      </w:r>
    </w:p>
    <w:p>
      <w:pPr>
        <w:pageBreakBefore w:val="0"/>
        <w:widowControl w:val="0"/>
        <w:kinsoku/>
        <w:wordWrap/>
        <w:overflowPunct/>
        <w:topLinePunct w:val="0"/>
        <w:autoSpaceDE/>
        <w:autoSpaceDN/>
        <w:bidi w:val="0"/>
        <w:adjustRightInd/>
        <w:spacing w:line="360" w:lineRule="auto"/>
        <w:ind w:firstLine="640" w:firstLineChars="200"/>
        <w:textAlignment w:val="auto"/>
        <w:rPr>
          <w:rFonts w:hint="eastAsia"/>
          <w:color w:val="auto"/>
          <w:sz w:val="32"/>
          <w:szCs w:val="32"/>
        </w:rPr>
      </w:pPr>
      <w:r>
        <w:rPr>
          <w:rFonts w:hint="eastAsia"/>
          <w:color w:val="auto"/>
          <w:sz w:val="32"/>
          <w:szCs w:val="32"/>
        </w:rPr>
        <w:t>2.在评审时对符合享受政府采购支持政策的</w:t>
      </w:r>
      <w:r>
        <w:rPr>
          <w:rFonts w:hint="eastAsia"/>
          <w:color w:val="auto"/>
          <w:sz w:val="32"/>
          <w:szCs w:val="32"/>
          <w:lang w:val="en-US" w:eastAsia="zh-CN"/>
        </w:rPr>
        <w:t>小微</w:t>
      </w:r>
      <w:r>
        <w:rPr>
          <w:rFonts w:hint="eastAsia"/>
          <w:color w:val="auto"/>
          <w:sz w:val="32"/>
          <w:szCs w:val="32"/>
        </w:rPr>
        <w:t>企业、残疾人福利单位、监狱企业报价给予</w:t>
      </w:r>
      <w:r>
        <w:rPr>
          <w:rFonts w:hint="eastAsia"/>
          <w:color w:val="auto"/>
          <w:sz w:val="32"/>
          <w:szCs w:val="32"/>
          <w:lang w:val="en-US" w:eastAsia="zh-CN"/>
        </w:rPr>
        <w:t>1</w:t>
      </w:r>
      <w:r>
        <w:rPr>
          <w:rFonts w:hint="eastAsia"/>
          <w:color w:val="auto"/>
          <w:sz w:val="32"/>
          <w:szCs w:val="32"/>
        </w:rPr>
        <w:t>0%的扣除，此扣除后报价仅用于价格排序。</w:t>
      </w:r>
    </w:p>
    <w:p>
      <w:pPr>
        <w:pageBreakBefore w:val="0"/>
        <w:widowControl w:val="0"/>
        <w:kinsoku/>
        <w:wordWrap/>
        <w:overflowPunct/>
        <w:topLinePunct w:val="0"/>
        <w:autoSpaceDE/>
        <w:autoSpaceDN/>
        <w:bidi w:val="0"/>
        <w:adjustRightInd/>
        <w:spacing w:line="360" w:lineRule="auto"/>
        <w:ind w:firstLine="640" w:firstLineChars="200"/>
        <w:textAlignment w:val="auto"/>
        <w:rPr>
          <w:rFonts w:hint="eastAsia"/>
          <w:color w:val="auto"/>
          <w:sz w:val="32"/>
          <w:szCs w:val="32"/>
        </w:rPr>
      </w:pPr>
      <w:r>
        <w:rPr>
          <w:rFonts w:hint="eastAsia"/>
          <w:color w:val="auto"/>
          <w:sz w:val="32"/>
          <w:szCs w:val="32"/>
        </w:rPr>
        <w:t>3.每个</w:t>
      </w:r>
      <w:r>
        <w:rPr>
          <w:rFonts w:hint="eastAsia"/>
          <w:color w:val="auto"/>
          <w:sz w:val="32"/>
          <w:szCs w:val="32"/>
          <w:lang w:eastAsia="zh-CN"/>
        </w:rPr>
        <w:t>采购包</w:t>
      </w:r>
      <w:r>
        <w:rPr>
          <w:rFonts w:hint="eastAsia"/>
          <w:color w:val="auto"/>
          <w:sz w:val="32"/>
          <w:szCs w:val="32"/>
        </w:rPr>
        <w:t>提交响应文件和符合资格条件、实质性要求的供应商应当均不少于2家，否则该</w:t>
      </w:r>
      <w:r>
        <w:rPr>
          <w:rFonts w:hint="eastAsia"/>
          <w:color w:val="auto"/>
          <w:sz w:val="32"/>
          <w:szCs w:val="32"/>
          <w:lang w:eastAsia="zh-CN"/>
        </w:rPr>
        <w:t>采购包</w:t>
      </w:r>
      <w:r>
        <w:rPr>
          <w:rFonts w:hint="eastAsia"/>
          <w:color w:val="auto"/>
          <w:sz w:val="32"/>
          <w:szCs w:val="32"/>
        </w:rPr>
        <w:t>作废标处理。</w:t>
      </w:r>
    </w:p>
    <w:p>
      <w:pPr>
        <w:pageBreakBefore w:val="0"/>
        <w:widowControl w:val="0"/>
        <w:kinsoku/>
        <w:wordWrap/>
        <w:overflowPunct/>
        <w:topLinePunct w:val="0"/>
        <w:autoSpaceDE/>
        <w:autoSpaceDN/>
        <w:bidi w:val="0"/>
        <w:adjustRightInd/>
        <w:spacing w:line="360" w:lineRule="auto"/>
        <w:ind w:firstLine="640" w:firstLineChars="200"/>
        <w:textAlignment w:val="auto"/>
        <w:rPr>
          <w:rFonts w:hint="eastAsia"/>
          <w:color w:val="auto"/>
          <w:sz w:val="32"/>
          <w:szCs w:val="32"/>
          <w:lang w:val="en-US" w:eastAsia="zh-CN"/>
        </w:rPr>
      </w:pPr>
      <w:r>
        <w:rPr>
          <w:rFonts w:hint="eastAsia"/>
          <w:color w:val="auto"/>
          <w:sz w:val="32"/>
          <w:szCs w:val="32"/>
          <w:lang w:val="en-US" w:eastAsia="zh-CN"/>
        </w:rPr>
        <w:t>4.采购完成后，如出现质疑并成立，淘汰部分已经入围供应商，不再另行递补入围供应商。</w:t>
      </w:r>
    </w:p>
    <w:p>
      <w:pPr>
        <w:pageBreakBefore w:val="0"/>
        <w:widowControl w:val="0"/>
        <w:kinsoku/>
        <w:wordWrap/>
        <w:overflowPunct/>
        <w:topLinePunct w:val="0"/>
        <w:autoSpaceDE/>
        <w:autoSpaceDN/>
        <w:bidi w:val="0"/>
        <w:adjustRightInd/>
        <w:spacing w:line="360" w:lineRule="auto"/>
        <w:ind w:firstLine="640" w:firstLineChars="200"/>
        <w:textAlignment w:val="auto"/>
        <w:rPr>
          <w:rFonts w:hint="eastAsia"/>
          <w:color w:val="auto"/>
          <w:sz w:val="32"/>
          <w:szCs w:val="32"/>
          <w:lang w:val="en-US" w:eastAsia="zh-CN"/>
        </w:rPr>
      </w:pPr>
      <w:r>
        <w:rPr>
          <w:rFonts w:hint="eastAsia"/>
          <w:color w:val="auto"/>
          <w:sz w:val="32"/>
          <w:szCs w:val="32"/>
          <w:lang w:val="en-US" w:eastAsia="zh-CN"/>
        </w:rPr>
        <w:t>5.框架协议有效期内如出现剩余入围供应商不足入围供应商总数70%且影响框架协议执行的情形，征集人将启动补充征集工作。</w:t>
      </w:r>
    </w:p>
    <w:p>
      <w:pPr>
        <w:pageBreakBefore w:val="0"/>
        <w:widowControl w:val="0"/>
        <w:kinsoku/>
        <w:wordWrap/>
        <w:overflowPunct/>
        <w:topLinePunct w:val="0"/>
        <w:autoSpaceDE/>
        <w:autoSpaceDN/>
        <w:bidi w:val="0"/>
        <w:adjustRightInd/>
        <w:spacing w:line="360" w:lineRule="auto"/>
        <w:ind w:firstLine="640" w:firstLineChars="200"/>
        <w:textAlignment w:val="auto"/>
        <w:rPr>
          <w:rFonts w:hint="default"/>
          <w:color w:val="auto"/>
          <w:sz w:val="32"/>
          <w:szCs w:val="32"/>
          <w:lang w:val="en-US" w:eastAsia="zh-CN"/>
        </w:rPr>
      </w:pPr>
      <w:r>
        <w:rPr>
          <w:rFonts w:hint="eastAsia"/>
          <w:color w:val="auto"/>
          <w:sz w:val="32"/>
          <w:szCs w:val="32"/>
          <w:lang w:val="en-US" w:eastAsia="zh-CN"/>
        </w:rPr>
        <w:t>6</w:t>
      </w:r>
      <w:r>
        <w:rPr>
          <w:rFonts w:hint="default"/>
          <w:color w:val="auto"/>
          <w:sz w:val="32"/>
          <w:szCs w:val="32"/>
          <w:lang w:val="en-US" w:eastAsia="zh-CN"/>
        </w:rPr>
        <w:t>.价格修正细则</w:t>
      </w:r>
    </w:p>
    <w:p>
      <w:pPr>
        <w:pageBreakBefore w:val="0"/>
        <w:widowControl w:val="0"/>
        <w:kinsoku/>
        <w:wordWrap/>
        <w:overflowPunct/>
        <w:topLinePunct w:val="0"/>
        <w:autoSpaceDE/>
        <w:autoSpaceDN/>
        <w:bidi w:val="0"/>
        <w:adjustRightInd/>
        <w:spacing w:line="360" w:lineRule="auto"/>
        <w:ind w:firstLine="640" w:firstLineChars="200"/>
        <w:textAlignment w:val="auto"/>
        <w:rPr>
          <w:rFonts w:hint="default"/>
          <w:color w:val="auto"/>
          <w:sz w:val="32"/>
          <w:szCs w:val="32"/>
          <w:lang w:val="en-US" w:eastAsia="zh-CN"/>
        </w:rPr>
      </w:pPr>
      <w:r>
        <w:rPr>
          <w:rFonts w:hint="eastAsia"/>
          <w:color w:val="auto"/>
          <w:sz w:val="32"/>
          <w:szCs w:val="32"/>
          <w:lang w:val="en-US" w:eastAsia="zh-CN"/>
        </w:rPr>
        <w:t>（1）采购包1-44：综合响应报价=</w:t>
      </w:r>
      <w:bookmarkStart w:id="17" w:name="OLE_LINK1"/>
      <w:r>
        <w:rPr>
          <w:rFonts w:hint="eastAsia"/>
          <w:color w:val="auto"/>
          <w:sz w:val="32"/>
          <w:szCs w:val="32"/>
          <w:lang w:val="en-US" w:eastAsia="zh-CN"/>
        </w:rPr>
        <w:t>产品响应报价+CPU 各规格平均报价+内存各规格平均报价+硬盘各规格平均报价+RAID 卡各规格平均报价+网卡各规格平均报价+HBA 卡各规格平均报价+电源各规格平均报价</w:t>
      </w:r>
      <w:bookmarkEnd w:id="17"/>
      <w:r>
        <w:rPr>
          <w:rFonts w:hint="eastAsia"/>
          <w:color w:val="auto"/>
          <w:sz w:val="32"/>
          <w:szCs w:val="32"/>
          <w:lang w:val="en-US" w:eastAsia="zh-CN"/>
        </w:rPr>
        <w:t>。</w:t>
      </w:r>
    </w:p>
    <w:p>
      <w:pPr>
        <w:pageBreakBefore w:val="0"/>
        <w:widowControl w:val="0"/>
        <w:kinsoku/>
        <w:wordWrap/>
        <w:overflowPunct/>
        <w:topLinePunct w:val="0"/>
        <w:autoSpaceDE/>
        <w:autoSpaceDN/>
        <w:bidi w:val="0"/>
        <w:adjustRightInd/>
        <w:spacing w:line="360" w:lineRule="auto"/>
        <w:ind w:firstLine="640" w:firstLineChars="200"/>
        <w:textAlignment w:val="auto"/>
        <w:rPr>
          <w:rFonts w:hint="default"/>
          <w:color w:val="auto"/>
          <w:sz w:val="32"/>
          <w:szCs w:val="32"/>
          <w:lang w:val="en-US" w:eastAsia="zh-CN"/>
        </w:rPr>
      </w:pPr>
      <w:r>
        <w:rPr>
          <w:rFonts w:hint="eastAsia"/>
          <w:color w:val="auto"/>
          <w:sz w:val="32"/>
          <w:szCs w:val="32"/>
          <w:lang w:val="en-US" w:eastAsia="zh-CN"/>
        </w:rPr>
        <w:t>（2）采购包45-59：</w:t>
      </w:r>
      <w:r>
        <w:rPr>
          <w:rFonts w:hint="default"/>
          <w:color w:val="auto"/>
          <w:sz w:val="32"/>
          <w:szCs w:val="32"/>
          <w:lang w:val="en-US" w:eastAsia="zh-CN"/>
        </w:rPr>
        <w:t>综合响应报价=产品响应报价+CPU 各规格平均报价+GPU 卡各规格平均报价*0.5+内存各规格平均报价+硬盘各规格平均报价+RAID 卡各规格平均报价+网卡各规格平均报价+</w:t>
      </w:r>
      <w:r>
        <w:rPr>
          <w:rFonts w:hint="eastAsia"/>
          <w:color w:val="auto"/>
          <w:sz w:val="32"/>
          <w:szCs w:val="32"/>
          <w:lang w:val="en-US" w:eastAsia="zh-CN"/>
        </w:rPr>
        <w:t>IB</w:t>
      </w:r>
      <w:r>
        <w:rPr>
          <w:rFonts w:hint="default"/>
          <w:color w:val="auto"/>
          <w:sz w:val="32"/>
          <w:szCs w:val="32"/>
          <w:lang w:val="en-US" w:eastAsia="zh-CN"/>
        </w:rPr>
        <w:t xml:space="preserve"> 卡各规格平均报价+HBA 卡各规格平均报价+电源各规格平均报价。</w:t>
      </w:r>
    </w:p>
    <w:p>
      <w:pPr>
        <w:pageBreakBefore w:val="0"/>
        <w:widowControl w:val="0"/>
        <w:kinsoku/>
        <w:wordWrap/>
        <w:overflowPunct/>
        <w:topLinePunct w:val="0"/>
        <w:autoSpaceDE/>
        <w:autoSpaceDN/>
        <w:bidi w:val="0"/>
        <w:adjustRightInd/>
        <w:spacing w:line="360" w:lineRule="auto"/>
        <w:ind w:firstLine="640" w:firstLineChars="200"/>
        <w:textAlignment w:val="auto"/>
        <w:rPr>
          <w:rFonts w:hint="default"/>
          <w:color w:val="auto"/>
          <w:sz w:val="32"/>
          <w:szCs w:val="32"/>
          <w:lang w:val="en-US" w:eastAsia="zh-CN"/>
        </w:rPr>
      </w:pPr>
      <w:r>
        <w:rPr>
          <w:rFonts w:hint="default"/>
          <w:color w:val="auto"/>
          <w:sz w:val="32"/>
          <w:szCs w:val="32"/>
          <w:lang w:val="en-US" w:eastAsia="zh-CN"/>
        </w:rPr>
        <w:t>其中，各配件要求详见技术需求。供应商应按配件需求在采购云平台如实、准确、完整地录入各类配件的具体规格型号及价格。必填配件多响应或少响应的，均视为不满足技术配置要求。</w:t>
      </w:r>
    </w:p>
    <w:p>
      <w:pPr>
        <w:pageBreakBefore w:val="0"/>
        <w:widowControl w:val="0"/>
        <w:kinsoku/>
        <w:wordWrap/>
        <w:overflowPunct/>
        <w:topLinePunct w:val="0"/>
        <w:autoSpaceDE/>
        <w:autoSpaceDN/>
        <w:bidi w:val="0"/>
        <w:adjustRightInd/>
        <w:snapToGrid w:val="0"/>
        <w:spacing w:after="120" w:line="360" w:lineRule="auto"/>
        <w:ind w:firstLine="643" w:firstLineChars="200"/>
        <w:jc w:val="center"/>
        <w:textAlignment w:val="auto"/>
        <w:outlineLvl w:val="0"/>
        <w:rPr>
          <w:rStyle w:val="27"/>
          <w:color w:val="auto"/>
          <w:sz w:val="40"/>
          <w:szCs w:val="40"/>
        </w:rPr>
      </w:pPr>
      <w:r>
        <w:rPr>
          <w:rFonts w:ascii="宋体" w:hAnsi="宋体"/>
          <w:b/>
          <w:color w:val="auto"/>
          <w:sz w:val="32"/>
          <w:szCs w:val="32"/>
        </w:rPr>
        <w:br w:type="page"/>
      </w:r>
      <w:bookmarkStart w:id="18" w:name="_Toc15900"/>
      <w:r>
        <w:rPr>
          <w:rStyle w:val="27"/>
          <w:rFonts w:hint="eastAsia"/>
          <w:color w:val="auto"/>
          <w:sz w:val="40"/>
          <w:szCs w:val="40"/>
        </w:rPr>
        <w:t>第四章  采购需求</w:t>
      </w:r>
      <w:bookmarkEnd w:id="16"/>
      <w:bookmarkEnd w:id="18"/>
    </w:p>
    <w:p>
      <w:pPr>
        <w:pageBreakBefore w:val="0"/>
        <w:widowControl w:val="0"/>
        <w:kinsoku/>
        <w:wordWrap/>
        <w:overflowPunct/>
        <w:topLinePunct w:val="0"/>
        <w:autoSpaceDE/>
        <w:autoSpaceDN/>
        <w:bidi w:val="0"/>
        <w:adjustRightInd/>
        <w:snapToGrid w:val="0"/>
        <w:spacing w:before="120" w:beforeLines="50" w:after="120" w:afterLines="50" w:line="360" w:lineRule="auto"/>
        <w:ind w:firstLine="803" w:firstLineChars="200"/>
        <w:jc w:val="center"/>
        <w:textAlignment w:val="auto"/>
        <w:rPr>
          <w:rFonts w:ascii="宋体" w:hAnsi="宋体"/>
          <w:b/>
          <w:color w:val="auto"/>
          <w:spacing w:val="40"/>
          <w:kern w:val="0"/>
          <w:sz w:val="32"/>
          <w:szCs w:val="32"/>
        </w:rPr>
      </w:pPr>
    </w:p>
    <w:p>
      <w:pPr>
        <w:pageBreakBefore w:val="0"/>
        <w:widowControl w:val="0"/>
        <w:kinsoku/>
        <w:wordWrap/>
        <w:overflowPunct/>
        <w:topLinePunct w:val="0"/>
        <w:autoSpaceDE/>
        <w:autoSpaceDN/>
        <w:bidi w:val="0"/>
        <w:adjustRightInd/>
        <w:spacing w:line="360" w:lineRule="auto"/>
        <w:ind w:firstLine="643" w:firstLineChars="200"/>
        <w:textAlignment w:val="auto"/>
        <w:rPr>
          <w:b/>
          <w:bCs/>
          <w:color w:val="auto"/>
          <w:sz w:val="32"/>
          <w:szCs w:val="32"/>
        </w:rPr>
      </w:pPr>
      <w:r>
        <w:rPr>
          <w:rFonts w:hint="eastAsia"/>
          <w:b/>
          <w:bCs/>
          <w:color w:val="auto"/>
          <w:sz w:val="32"/>
          <w:szCs w:val="32"/>
        </w:rPr>
        <w:t>特别说明：</w:t>
      </w:r>
    </w:p>
    <w:p>
      <w:pPr>
        <w:pageBreakBefore w:val="0"/>
        <w:widowControl w:val="0"/>
        <w:kinsoku/>
        <w:wordWrap/>
        <w:overflowPunct/>
        <w:topLinePunct w:val="0"/>
        <w:autoSpaceDE/>
        <w:autoSpaceDN/>
        <w:bidi w:val="0"/>
        <w:adjustRightInd/>
        <w:spacing w:line="360" w:lineRule="auto"/>
        <w:ind w:firstLine="643" w:firstLineChars="200"/>
        <w:textAlignment w:val="auto"/>
        <w:rPr>
          <w:rFonts w:hint="eastAsia" w:ascii="仿宋" w:hAnsi="仿宋" w:eastAsia="仿宋" w:cs="仿宋"/>
          <w:b/>
          <w:color w:val="auto"/>
          <w:sz w:val="32"/>
          <w:szCs w:val="32"/>
        </w:rPr>
      </w:pPr>
      <w:r>
        <w:rPr>
          <w:rFonts w:hint="eastAsia"/>
          <w:b/>
          <w:bCs/>
          <w:color w:val="auto"/>
          <w:sz w:val="32"/>
          <w:szCs w:val="32"/>
        </w:rPr>
        <w:t>需求中不允许偏离的实质性要求和条件，以“▲”号标明，如响应方未响应的，将被视为无效。</w:t>
      </w:r>
    </w:p>
    <w:p>
      <w:pPr>
        <w:pStyle w:val="3"/>
        <w:pageBreakBefore w:val="0"/>
        <w:widowControl w:val="0"/>
        <w:kinsoku/>
        <w:wordWrap/>
        <w:overflowPunct/>
        <w:topLinePunct w:val="0"/>
        <w:autoSpaceDE/>
        <w:autoSpaceDN/>
        <w:bidi w:val="0"/>
        <w:adjustRightInd/>
        <w:spacing w:line="360" w:lineRule="auto"/>
        <w:ind w:firstLine="643" w:firstLineChars="200"/>
        <w:textAlignment w:val="auto"/>
        <w:rPr>
          <w:rFonts w:hint="eastAsia"/>
          <w:color w:val="auto"/>
          <w:sz w:val="32"/>
          <w:szCs w:val="32"/>
        </w:rPr>
      </w:pPr>
      <w:r>
        <w:rPr>
          <w:rFonts w:hint="eastAsia"/>
          <w:color w:val="auto"/>
          <w:sz w:val="32"/>
          <w:szCs w:val="32"/>
        </w:rPr>
        <w:t>一、项目概述</w:t>
      </w:r>
    </w:p>
    <w:p>
      <w:pPr>
        <w:pageBreakBefore w:val="0"/>
        <w:widowControl w:val="0"/>
        <w:kinsoku/>
        <w:wordWrap/>
        <w:overflowPunct/>
        <w:topLinePunct w:val="0"/>
        <w:autoSpaceDE/>
        <w:autoSpaceDN/>
        <w:bidi w:val="0"/>
        <w:adjustRightInd/>
        <w:spacing w:line="360" w:lineRule="auto"/>
        <w:ind w:firstLine="640" w:firstLineChars="200"/>
        <w:textAlignment w:val="auto"/>
        <w:rPr>
          <w:rFonts w:hint="eastAsia"/>
          <w:color w:val="auto"/>
          <w:sz w:val="32"/>
          <w:szCs w:val="32"/>
        </w:rPr>
      </w:pPr>
      <w:r>
        <w:rPr>
          <w:rFonts w:hint="eastAsia"/>
          <w:color w:val="auto"/>
          <w:sz w:val="32"/>
          <w:szCs w:val="32"/>
        </w:rPr>
        <w:t>项目内容：</w:t>
      </w:r>
      <w:r>
        <w:rPr>
          <w:rFonts w:hint="eastAsia"/>
          <w:color w:val="auto"/>
          <w:sz w:val="32"/>
          <w:szCs w:val="32"/>
          <w:lang w:eastAsia="zh-CN"/>
        </w:rPr>
        <w:t>2025年度浙江省预算单位服务器封闭式框架协议采购项目</w:t>
      </w:r>
      <w:r>
        <w:rPr>
          <w:rFonts w:hint="eastAsia"/>
          <w:color w:val="auto"/>
          <w:sz w:val="32"/>
          <w:szCs w:val="32"/>
        </w:rPr>
        <w:t>，共</w:t>
      </w:r>
      <w:r>
        <w:rPr>
          <w:rFonts w:hint="eastAsia"/>
          <w:color w:val="auto"/>
          <w:sz w:val="32"/>
          <w:szCs w:val="32"/>
          <w:lang w:val="en-US" w:eastAsia="zh-CN"/>
        </w:rPr>
        <w:t>59</w:t>
      </w:r>
      <w:r>
        <w:rPr>
          <w:rFonts w:hint="eastAsia"/>
          <w:color w:val="auto"/>
          <w:sz w:val="32"/>
          <w:szCs w:val="32"/>
        </w:rPr>
        <w:t>个</w:t>
      </w:r>
      <w:r>
        <w:rPr>
          <w:rFonts w:hint="eastAsia"/>
          <w:color w:val="auto"/>
          <w:sz w:val="32"/>
          <w:szCs w:val="32"/>
          <w:lang w:val="en-US" w:eastAsia="zh-CN"/>
        </w:rPr>
        <w:t>采购包</w:t>
      </w:r>
      <w:r>
        <w:rPr>
          <w:rFonts w:hint="eastAsia"/>
          <w:color w:val="auto"/>
          <w:sz w:val="32"/>
          <w:szCs w:val="32"/>
        </w:rPr>
        <w:t>（详见技术需求）。本项目依据《政府采购框架协议采购方式管理暂行办法》的有关规定，通过公开征集程序确定第一阶段入围供应商和入围产品的规格型号、价格等，并订立框架协议。在框架协议有效期内，采购人使用财政性资金，购买单项采购金额未达到采购</w:t>
      </w:r>
      <w:r>
        <w:rPr>
          <w:rFonts w:hint="eastAsia"/>
          <w:color w:val="auto"/>
          <w:sz w:val="32"/>
          <w:szCs w:val="32"/>
          <w:lang w:eastAsia="zh-CN"/>
        </w:rPr>
        <w:t>限额</w:t>
      </w:r>
      <w:r>
        <w:rPr>
          <w:rFonts w:hint="eastAsia"/>
          <w:color w:val="auto"/>
          <w:sz w:val="32"/>
          <w:szCs w:val="32"/>
        </w:rPr>
        <w:t>标准的入围产品，由采购人登陆</w:t>
      </w:r>
      <w:r>
        <w:rPr>
          <w:rFonts w:hint="eastAsia"/>
          <w:color w:val="auto"/>
          <w:sz w:val="32"/>
          <w:szCs w:val="32"/>
          <w:lang w:eastAsia="zh-CN"/>
        </w:rPr>
        <w:t>浙江</w:t>
      </w:r>
      <w:r>
        <w:rPr>
          <w:rFonts w:hint="eastAsia"/>
          <w:color w:val="auto"/>
          <w:sz w:val="32"/>
          <w:szCs w:val="32"/>
        </w:rPr>
        <w:t>政府采购网（https://zfcg.czt.zj.gov.cn/）</w:t>
      </w:r>
      <w:r>
        <w:rPr>
          <w:rFonts w:hint="eastAsia"/>
          <w:color w:val="auto"/>
          <w:sz w:val="32"/>
          <w:szCs w:val="32"/>
          <w:lang w:eastAsia="zh-CN"/>
        </w:rPr>
        <w:t>政府采购云平台</w:t>
      </w:r>
      <w:r>
        <w:rPr>
          <w:rFonts w:hint="eastAsia"/>
          <w:color w:val="auto"/>
          <w:sz w:val="32"/>
          <w:szCs w:val="32"/>
        </w:rPr>
        <w:t>，在</w:t>
      </w:r>
      <w:r>
        <w:rPr>
          <w:rFonts w:hint="eastAsia"/>
          <w:color w:val="auto"/>
          <w:sz w:val="32"/>
          <w:szCs w:val="32"/>
          <w:lang w:eastAsia="zh-CN"/>
        </w:rPr>
        <w:t>框架协议</w:t>
      </w:r>
      <w:r>
        <w:rPr>
          <w:rFonts w:hint="eastAsia"/>
          <w:color w:val="auto"/>
          <w:sz w:val="32"/>
          <w:szCs w:val="32"/>
        </w:rPr>
        <w:t>入围供应商范围内通过直接选定</w:t>
      </w:r>
      <w:r>
        <w:rPr>
          <w:rFonts w:hint="eastAsia"/>
          <w:color w:val="auto"/>
          <w:sz w:val="32"/>
          <w:szCs w:val="32"/>
          <w:lang w:eastAsia="zh-CN"/>
        </w:rPr>
        <w:t>最终确定</w:t>
      </w:r>
      <w:r>
        <w:rPr>
          <w:rFonts w:hint="eastAsia"/>
          <w:color w:val="auto"/>
          <w:sz w:val="32"/>
          <w:szCs w:val="32"/>
        </w:rPr>
        <w:t>第二阶段成交供应商。购买单项采购金额达到采购</w:t>
      </w:r>
      <w:r>
        <w:rPr>
          <w:rFonts w:hint="eastAsia"/>
          <w:color w:val="auto"/>
          <w:sz w:val="32"/>
          <w:szCs w:val="32"/>
          <w:lang w:eastAsia="zh-CN"/>
        </w:rPr>
        <w:t>限额</w:t>
      </w:r>
      <w:r>
        <w:rPr>
          <w:rFonts w:hint="eastAsia"/>
          <w:color w:val="auto"/>
          <w:sz w:val="32"/>
          <w:szCs w:val="32"/>
        </w:rPr>
        <w:t>标准的，采购人将委托集中采购机构使用其他政府采购方式组织采购。</w:t>
      </w:r>
    </w:p>
    <w:p>
      <w:pPr>
        <w:pageBreakBefore w:val="0"/>
        <w:widowControl w:val="0"/>
        <w:kinsoku/>
        <w:wordWrap/>
        <w:overflowPunct/>
        <w:topLinePunct w:val="0"/>
        <w:autoSpaceDE/>
        <w:autoSpaceDN/>
        <w:bidi w:val="0"/>
        <w:adjustRightInd/>
        <w:spacing w:line="360" w:lineRule="auto"/>
        <w:ind w:firstLine="643" w:firstLineChars="200"/>
        <w:textAlignment w:val="auto"/>
        <w:rPr>
          <w:rFonts w:hint="eastAsia"/>
          <w:b/>
          <w:bCs/>
          <w:color w:val="auto"/>
          <w:sz w:val="32"/>
          <w:szCs w:val="32"/>
        </w:rPr>
      </w:pPr>
      <w:r>
        <w:rPr>
          <w:rFonts w:hint="eastAsia"/>
          <w:b/>
          <w:bCs/>
          <w:color w:val="auto"/>
          <w:sz w:val="32"/>
          <w:szCs w:val="32"/>
        </w:rPr>
        <w:t>采购人证明能够以更低价格向非入围供应商采购相同货物，且入围供应商不同意将价格降至非入围供应商以下的，采购人可在预算管理一体化信息系统（以下简称：预算管理一体化系统）申请，经批准后实施采购，将合同授予非入围供应商。</w:t>
      </w:r>
    </w:p>
    <w:p>
      <w:pPr>
        <w:pageBreakBefore w:val="0"/>
        <w:widowControl w:val="0"/>
        <w:kinsoku/>
        <w:wordWrap/>
        <w:overflowPunct/>
        <w:topLinePunct w:val="0"/>
        <w:autoSpaceDE/>
        <w:autoSpaceDN/>
        <w:bidi w:val="0"/>
        <w:adjustRightInd/>
        <w:spacing w:line="360" w:lineRule="auto"/>
        <w:ind w:firstLine="640" w:firstLineChars="200"/>
        <w:textAlignment w:val="auto"/>
        <w:rPr>
          <w:rFonts w:hint="eastAsia"/>
          <w:color w:val="auto"/>
          <w:sz w:val="32"/>
          <w:szCs w:val="32"/>
        </w:rPr>
      </w:pPr>
      <w:r>
        <w:rPr>
          <w:rFonts w:hint="eastAsia"/>
          <w:color w:val="auto"/>
          <w:sz w:val="32"/>
          <w:szCs w:val="32"/>
        </w:rPr>
        <w:t>协议期限：本次框架协议采购期限为 1 年。如遇政策调整或市场情况变化，根据有关规定，征集人可以</w:t>
      </w:r>
      <w:r>
        <w:rPr>
          <w:rFonts w:hint="eastAsia"/>
          <w:color w:val="auto"/>
          <w:sz w:val="32"/>
          <w:szCs w:val="32"/>
          <w:lang w:eastAsia="zh-CN"/>
        </w:rPr>
        <w:t>提前终止本框架协议或</w:t>
      </w:r>
      <w:r>
        <w:rPr>
          <w:rFonts w:hint="eastAsia"/>
          <w:color w:val="auto"/>
          <w:sz w:val="32"/>
          <w:szCs w:val="32"/>
        </w:rPr>
        <w:t>在适当的时间进行下一期征集活动。</w:t>
      </w:r>
    </w:p>
    <w:p>
      <w:pPr>
        <w:pageBreakBefore w:val="0"/>
        <w:widowControl w:val="0"/>
        <w:kinsoku/>
        <w:wordWrap/>
        <w:overflowPunct/>
        <w:topLinePunct w:val="0"/>
        <w:autoSpaceDE/>
        <w:autoSpaceDN/>
        <w:bidi w:val="0"/>
        <w:adjustRightInd/>
        <w:spacing w:line="360" w:lineRule="auto"/>
        <w:ind w:firstLine="640" w:firstLineChars="200"/>
        <w:textAlignment w:val="auto"/>
        <w:rPr>
          <w:rFonts w:hint="eastAsia"/>
          <w:color w:val="auto"/>
          <w:sz w:val="32"/>
          <w:szCs w:val="32"/>
        </w:rPr>
        <w:sectPr>
          <w:pgSz w:w="11906" w:h="16838"/>
          <w:pgMar w:top="1558" w:right="1531" w:bottom="468" w:left="1531" w:header="851" w:footer="851" w:gutter="0"/>
          <w:pgNumType w:fmt="decimal" w:chapStyle="1" w:chapSep="colon"/>
          <w:cols w:space="720" w:num="1"/>
        </w:sectPr>
      </w:pPr>
    </w:p>
    <w:p>
      <w:pPr>
        <w:snapToGrid w:val="0"/>
        <w:spacing w:line="460" w:lineRule="exact"/>
        <w:ind w:firstLine="643" w:firstLineChars="200"/>
        <w:rPr>
          <w:rFonts w:hint="eastAsia" w:ascii="仿宋" w:hAnsi="仿宋" w:eastAsia="仿宋" w:cs="仿宋"/>
          <w:b/>
          <w:color w:val="auto"/>
          <w:sz w:val="32"/>
          <w:szCs w:val="32"/>
        </w:rPr>
      </w:pPr>
      <w:r>
        <w:rPr>
          <w:rFonts w:hint="eastAsia" w:ascii="仿宋" w:hAnsi="仿宋" w:eastAsia="仿宋" w:cs="仿宋"/>
          <w:b/>
          <w:color w:val="auto"/>
          <w:sz w:val="32"/>
          <w:szCs w:val="32"/>
        </w:rPr>
        <w:t>▲</w:t>
      </w:r>
      <w:r>
        <w:rPr>
          <w:rFonts w:hint="eastAsia" w:ascii="仿宋" w:hAnsi="仿宋" w:cs="仿宋"/>
          <w:b/>
          <w:color w:val="auto"/>
          <w:sz w:val="32"/>
          <w:szCs w:val="32"/>
          <w:lang w:eastAsia="zh-CN"/>
        </w:rPr>
        <w:t>采购包</w:t>
      </w:r>
      <w:r>
        <w:rPr>
          <w:rFonts w:hint="eastAsia" w:ascii="仿宋" w:hAnsi="仿宋" w:eastAsia="仿宋" w:cs="仿宋"/>
          <w:b/>
          <w:color w:val="auto"/>
          <w:sz w:val="32"/>
          <w:szCs w:val="32"/>
        </w:rPr>
        <w:t>1-</w:t>
      </w:r>
      <w:r>
        <w:rPr>
          <w:rFonts w:hint="eastAsia" w:ascii="仿宋" w:hAnsi="仿宋" w:cs="仿宋"/>
          <w:b/>
          <w:color w:val="auto"/>
          <w:sz w:val="32"/>
          <w:szCs w:val="32"/>
          <w:lang w:val="en-US" w:eastAsia="zh-CN"/>
        </w:rPr>
        <w:t>59</w:t>
      </w:r>
      <w:r>
        <w:rPr>
          <w:rFonts w:hint="eastAsia" w:ascii="仿宋" w:hAnsi="仿宋" w:eastAsia="仿宋" w:cs="仿宋"/>
          <w:b/>
          <w:color w:val="auto"/>
          <w:sz w:val="32"/>
          <w:szCs w:val="32"/>
        </w:rPr>
        <w:t>：</w:t>
      </w:r>
    </w:p>
    <w:tbl>
      <w:tblPr>
        <w:tblStyle w:val="18"/>
        <w:tblW w:w="5000" w:type="pct"/>
        <w:jc w:val="center"/>
        <w:tblLayout w:type="autofit"/>
        <w:tblCellMar>
          <w:top w:w="0" w:type="dxa"/>
          <w:left w:w="108" w:type="dxa"/>
          <w:bottom w:w="0" w:type="dxa"/>
          <w:right w:w="108" w:type="dxa"/>
        </w:tblCellMar>
      </w:tblPr>
      <w:tblGrid>
        <w:gridCol w:w="1014"/>
        <w:gridCol w:w="1788"/>
        <w:gridCol w:w="1246"/>
        <w:gridCol w:w="1049"/>
        <w:gridCol w:w="1020"/>
        <w:gridCol w:w="966"/>
        <w:gridCol w:w="1744"/>
        <w:gridCol w:w="1110"/>
        <w:gridCol w:w="4006"/>
        <w:gridCol w:w="1085"/>
      </w:tblGrid>
      <w:tr>
        <w:tblPrEx>
          <w:tblCellMar>
            <w:top w:w="0" w:type="dxa"/>
            <w:left w:w="108" w:type="dxa"/>
            <w:bottom w:w="0" w:type="dxa"/>
            <w:right w:w="108" w:type="dxa"/>
          </w:tblCellMar>
        </w:tblPrEx>
        <w:trPr>
          <w:trHeight w:val="60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eastAsia="宋体"/>
                <w:sz w:val="24"/>
                <w:szCs w:val="20"/>
                <w:lang w:eastAsia="zh-CN"/>
              </w:rPr>
            </w:pPr>
            <w:r>
              <w:rPr>
                <w:rFonts w:hint="eastAsia"/>
                <w:sz w:val="24"/>
                <w:szCs w:val="20"/>
                <w:lang w:val="en-US" w:eastAsia="zh-CN"/>
              </w:rPr>
              <w:t>采购包</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CPU型号</w:t>
            </w:r>
          </w:p>
        </w:tc>
        <w:tc>
          <w:tcPr>
            <w:tcW w:w="7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类别</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主板内存槽数量</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硬盘插槽数量</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主板存储接口</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支持GPU数</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其  他</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最高限价</w:t>
            </w:r>
          </w:p>
        </w:tc>
      </w:tr>
      <w:tr>
        <w:tblPrEx>
          <w:tblCellMar>
            <w:top w:w="0" w:type="dxa"/>
            <w:left w:w="108" w:type="dxa"/>
            <w:bottom w:w="0" w:type="dxa"/>
            <w:right w:w="108" w:type="dxa"/>
          </w:tblCellMar>
        </w:tblPrEx>
        <w:trPr>
          <w:trHeight w:val="60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海光C86-4G</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30000</w:t>
            </w:r>
          </w:p>
        </w:tc>
      </w:tr>
      <w:tr>
        <w:tblPrEx>
          <w:tblCellMar>
            <w:top w:w="0" w:type="dxa"/>
            <w:left w:w="108" w:type="dxa"/>
            <w:bottom w:w="0" w:type="dxa"/>
            <w:right w:w="108" w:type="dxa"/>
          </w:tblCellMar>
        </w:tblPrEx>
        <w:trPr>
          <w:trHeight w:val="60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海光C86-4G</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插槽≥24个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≥2个</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35000</w:t>
            </w:r>
          </w:p>
        </w:tc>
      </w:tr>
      <w:tr>
        <w:tblPrEx>
          <w:tblCellMar>
            <w:top w:w="0" w:type="dxa"/>
            <w:left w:w="108" w:type="dxa"/>
            <w:bottom w:w="0" w:type="dxa"/>
            <w:right w:w="108" w:type="dxa"/>
          </w:tblCellMar>
        </w:tblPrEx>
        <w:trPr>
          <w:trHeight w:val="60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海光C86-3G</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插槽≥24个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30000</w:t>
            </w:r>
          </w:p>
        </w:tc>
      </w:tr>
      <w:tr>
        <w:tblPrEx>
          <w:tblCellMar>
            <w:top w:w="0" w:type="dxa"/>
            <w:left w:w="108" w:type="dxa"/>
            <w:bottom w:w="0" w:type="dxa"/>
            <w:right w:w="108" w:type="dxa"/>
          </w:tblCellMar>
        </w:tblPrEx>
        <w:trPr>
          <w:trHeight w:val="60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海光C86-3G</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插槽≥24个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≥2个</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35000</w:t>
            </w:r>
          </w:p>
        </w:tc>
      </w:tr>
      <w:tr>
        <w:tblPrEx>
          <w:tblCellMar>
            <w:top w:w="0" w:type="dxa"/>
            <w:left w:w="108" w:type="dxa"/>
            <w:bottom w:w="0" w:type="dxa"/>
            <w:right w:w="108" w:type="dxa"/>
          </w:tblCellMar>
        </w:tblPrEx>
        <w:trPr>
          <w:trHeight w:val="60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海光C86-3G</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22000</w:t>
            </w:r>
          </w:p>
        </w:tc>
      </w:tr>
      <w:tr>
        <w:tblPrEx>
          <w:tblCellMar>
            <w:top w:w="0" w:type="dxa"/>
            <w:left w:w="108" w:type="dxa"/>
            <w:bottom w:w="0" w:type="dxa"/>
            <w:right w:w="108" w:type="dxa"/>
          </w:tblCellMar>
        </w:tblPrEx>
        <w:trPr>
          <w:trHeight w:val="60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海光C86-3G</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支持SAS、SATA接口</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≥1个</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25000</w:t>
            </w:r>
          </w:p>
        </w:tc>
      </w:tr>
      <w:tr>
        <w:tblPrEx>
          <w:tblCellMar>
            <w:top w:w="0" w:type="dxa"/>
            <w:left w:w="108" w:type="dxa"/>
            <w:bottom w:w="0" w:type="dxa"/>
            <w:right w:w="108" w:type="dxa"/>
          </w:tblCellMar>
        </w:tblPrEx>
        <w:trPr>
          <w:trHeight w:val="60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海光C86-3G</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≥4个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20000</w:t>
            </w:r>
          </w:p>
        </w:tc>
      </w:tr>
      <w:tr>
        <w:tblPrEx>
          <w:tblCellMar>
            <w:top w:w="0" w:type="dxa"/>
            <w:left w:w="108" w:type="dxa"/>
            <w:bottom w:w="0" w:type="dxa"/>
            <w:right w:w="108" w:type="dxa"/>
          </w:tblCellMar>
        </w:tblPrEx>
        <w:trPr>
          <w:trHeight w:val="60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海光C86-3G</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支持SAS、SATA接口</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20000</w:t>
            </w:r>
          </w:p>
        </w:tc>
      </w:tr>
      <w:tr>
        <w:tblPrEx>
          <w:tblCellMar>
            <w:top w:w="0" w:type="dxa"/>
            <w:left w:w="108" w:type="dxa"/>
            <w:bottom w:w="0" w:type="dxa"/>
            <w:right w:w="108" w:type="dxa"/>
          </w:tblCellMar>
        </w:tblPrEx>
        <w:trPr>
          <w:trHeight w:val="60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9</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海光C86-3G</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机架式4U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兆芯 KH-40000/16</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≥2个</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兆芯 KH-40000/32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插槽≥32个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≥4个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≥2个</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兆芯 KH-40000/32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插槽≥32个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支持SAS、SATA接口</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≥2个</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兆芯 KH-40000/32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插槽≥32个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≥4个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兆芯 KH-40000/32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插槽≥32个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兆芯 KH-40000/32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机架式4U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插槽≥32个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≥2个</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兆芯 KH-40000/32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鲲鹏920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插槽≥8个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≥12个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支持冗余电源、4个千兆网口、支持RAID（0，1，5，6）、硬盘热插拔、支持远程管理模块、阵列卡支持带保护的高速缓存，含导轨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鲲鹏920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支持冗余电源、4个千兆网口、支持RAID（0，1，5，6）、硬盘热插拔、支持远程管理模块、阵列卡支持带保护的高速缓存，含导轨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19</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鲲鹏920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≥12个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≥2个</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支持冗余电源、4个千兆网口、支持RAID（0，1，5，6）、硬盘热插拔、支持远程管理模块、阵列卡支持带保护的高速缓存，含导轨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鲲鹏920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≥20个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支持冗余电源、4个千兆网口、支持RAID（0，1，5，6）、硬盘热插拔、支持远程管理模块、阵列卡支持带保护的高速缓存，含导轨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鲲鹏920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插槽≥32个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≥12个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支持冗余电源、4个千兆网口、支持RAID（0，1，5，6）、硬盘热插拔、支持远程管理模块、阵列卡支持带保护的高速缓存，含导轨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鲲鹏920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插槽≥32个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≥25个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≥2个</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支持冗余电源、4个千兆网口、支持RAID（0，1，5，6）、硬盘热插拔、支持远程管理模块、阵列卡支持带保护的高速缓存，含导轨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鲲鹏920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4路CPU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≥12个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支持冗余电源、4个千兆网口、支持RAID（0，1，5，6）、硬盘热插拔、支持远程管理模块、阵列卡支持带保护的高速缓存，含导轨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鲲鹏920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机架式4U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≥25个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支持冗余电源、4个千兆网口、支持RAID（0，1，5，6）、硬盘热插拔、支持远程管理模块、阵列卡支持带保护的高速缓存，含导轨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鲲鹏920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机架式4U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≥36个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支持冗余电源、4个千兆网口、支持RAID（0，1，5，6）、硬盘热插拔、支持远程管理模块、阵列卡支持带保护的高速缓存，含导轨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飞腾FT-2000+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单路CPU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插槽≥8个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飞腾FT-2000+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单路CPU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插槽≥8个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≥12个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≥2个</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飞腾FT-2000+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机架式4U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单路CPU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插槽≥8个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≥12个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≥2个</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飞腾腾云S5000C</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≥2个</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飞腾腾云S5000C</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4路CPU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≥24个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50000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飞腾腾云S5000C</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飞腾腾云S5000C</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支持SAS、SATA接口</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飞腾腾云S5000C</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机架式4U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龙芯</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插槽≥8个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龙芯</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插槽≥8个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≥2个</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龙芯</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插槽≥8个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≥12个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支持SAS、SATA接口</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≥2个</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龙芯</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插槽≥8个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≥12个</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龙芯</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机架式4U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插槽≥8个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39</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龙芯</w:t>
            </w:r>
          </w:p>
        </w:tc>
        <w:tc>
          <w:tcPr>
            <w:tcW w:w="412"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机架式4U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插槽≥8个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≥2个</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30000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40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龙芯</w:t>
            </w:r>
          </w:p>
        </w:tc>
        <w:tc>
          <w:tcPr>
            <w:tcW w:w="412"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插槽≥8个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Calibri" w:hAnsi="Calibri" w:eastAsia="宋体" w:cs="Times New Roman"/>
                <w:color w:val="auto"/>
                <w:kern w:val="2"/>
                <w:sz w:val="24"/>
                <w:szCs w:val="20"/>
                <w:highlight w:val="none"/>
                <w:lang w:val="en-US" w:eastAsia="zh-CN" w:bidi="ar-SA"/>
              </w:rPr>
            </w:pPr>
            <w:r>
              <w:rPr>
                <w:rFonts w:hint="eastAsia"/>
                <w:color w:val="auto"/>
                <w:sz w:val="24"/>
                <w:szCs w:val="20"/>
                <w:highlight w:val="none"/>
                <w:lang w:eastAsia="zh-CN"/>
              </w:rPr>
              <w:t>4</w:t>
            </w:r>
            <w:r>
              <w:rPr>
                <w:rFonts w:hint="eastAsia"/>
                <w:color w:val="auto"/>
                <w:sz w:val="24"/>
                <w:szCs w:val="20"/>
                <w:highlight w:val="none"/>
                <w:lang w:val="en-US" w:eastAsia="zh-CN"/>
              </w:rPr>
              <w:t>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申威</w:t>
            </w:r>
          </w:p>
        </w:tc>
        <w:tc>
          <w:tcPr>
            <w:tcW w:w="412"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支持SAS、SATA接口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w:t>
            </w:r>
            <w:r>
              <w:rPr>
                <w:rFonts w:hint="eastAsia"/>
                <w:color w:val="auto"/>
                <w:sz w:val="24"/>
                <w:szCs w:val="20"/>
                <w:highlight w:val="none"/>
                <w:lang w:val="en-US" w:eastAsia="zh-CN"/>
              </w:rPr>
              <w:t>2</w:t>
            </w:r>
            <w:r>
              <w:rPr>
                <w:rFonts w:hint="eastAsia"/>
                <w:color w:val="auto"/>
                <w:sz w:val="24"/>
                <w:szCs w:val="20"/>
                <w:highlight w:val="none"/>
              </w:rPr>
              <w:t>个</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20000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Calibri" w:hAnsi="Calibri" w:eastAsia="宋体" w:cs="Times New Roman"/>
                <w:color w:val="auto"/>
                <w:kern w:val="2"/>
                <w:sz w:val="24"/>
                <w:szCs w:val="20"/>
                <w:highlight w:val="none"/>
                <w:lang w:val="en-US" w:eastAsia="zh-CN" w:bidi="ar-SA"/>
              </w:rPr>
            </w:pPr>
            <w:r>
              <w:rPr>
                <w:rFonts w:hint="eastAsia" w:cs="Times New Roman"/>
                <w:color w:val="auto"/>
                <w:kern w:val="2"/>
                <w:sz w:val="24"/>
                <w:szCs w:val="20"/>
                <w:highlight w:val="none"/>
                <w:lang w:val="en-US" w:eastAsia="zh-CN" w:bidi="ar-SA"/>
              </w:rPr>
              <w:t>42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申威</w:t>
            </w:r>
          </w:p>
        </w:tc>
        <w:tc>
          <w:tcPr>
            <w:tcW w:w="412"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≥12个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支持SAS、SATA接口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w:t>
            </w:r>
            <w:r>
              <w:rPr>
                <w:rFonts w:hint="eastAsia"/>
                <w:color w:val="auto"/>
                <w:sz w:val="24"/>
                <w:szCs w:val="20"/>
                <w:highlight w:val="none"/>
                <w:lang w:val="en-US" w:eastAsia="zh-CN"/>
              </w:rPr>
              <w:t>2</w:t>
            </w:r>
            <w:r>
              <w:rPr>
                <w:rFonts w:hint="eastAsia"/>
                <w:color w:val="auto"/>
                <w:sz w:val="24"/>
                <w:szCs w:val="20"/>
                <w:highlight w:val="none"/>
              </w:rPr>
              <w:t>个</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25000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Calibri" w:hAnsi="Calibri" w:eastAsia="宋体" w:cs="Times New Roman"/>
                <w:color w:val="auto"/>
                <w:kern w:val="2"/>
                <w:sz w:val="24"/>
                <w:szCs w:val="20"/>
                <w:highlight w:val="none"/>
                <w:lang w:val="en-US" w:eastAsia="zh-CN" w:bidi="ar-SA"/>
              </w:rPr>
            </w:pPr>
            <w:r>
              <w:rPr>
                <w:rFonts w:hint="eastAsia" w:cs="Times New Roman"/>
                <w:color w:val="auto"/>
                <w:kern w:val="2"/>
                <w:sz w:val="24"/>
                <w:szCs w:val="20"/>
                <w:highlight w:val="none"/>
                <w:lang w:val="en-US" w:eastAsia="zh-CN" w:bidi="ar-SA"/>
              </w:rPr>
              <w:t>43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申威</w:t>
            </w:r>
          </w:p>
        </w:tc>
        <w:tc>
          <w:tcPr>
            <w:tcW w:w="412"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≥12个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w:t>
            </w:r>
            <w:r>
              <w:rPr>
                <w:rFonts w:hint="eastAsia"/>
                <w:color w:val="auto"/>
                <w:sz w:val="24"/>
                <w:szCs w:val="20"/>
                <w:highlight w:val="none"/>
                <w:lang w:val="en-US" w:eastAsia="zh-CN"/>
              </w:rPr>
              <w:t>2</w:t>
            </w:r>
            <w:r>
              <w:rPr>
                <w:rFonts w:hint="eastAsia"/>
                <w:color w:val="auto"/>
                <w:sz w:val="24"/>
                <w:szCs w:val="20"/>
                <w:highlight w:val="none"/>
              </w:rPr>
              <w:t>个</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35000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Calibri" w:hAnsi="Calibri" w:eastAsia="宋体" w:cs="Times New Roman"/>
                <w:color w:val="auto"/>
                <w:kern w:val="2"/>
                <w:sz w:val="24"/>
                <w:szCs w:val="20"/>
                <w:highlight w:val="none"/>
                <w:lang w:val="en-US" w:eastAsia="zh-CN" w:bidi="ar-SA"/>
              </w:rPr>
            </w:pPr>
            <w:r>
              <w:rPr>
                <w:rFonts w:hint="eastAsia" w:cs="Times New Roman"/>
                <w:color w:val="auto"/>
                <w:kern w:val="2"/>
                <w:sz w:val="24"/>
                <w:szCs w:val="20"/>
                <w:highlight w:val="none"/>
                <w:lang w:val="en-US" w:eastAsia="zh-CN" w:bidi="ar-SA"/>
              </w:rPr>
              <w:t>44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申威</w:t>
            </w:r>
          </w:p>
        </w:tc>
        <w:tc>
          <w:tcPr>
            <w:tcW w:w="412"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≥25个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w:t>
            </w:r>
            <w:r>
              <w:rPr>
                <w:rFonts w:hint="eastAsia"/>
                <w:color w:val="auto"/>
                <w:sz w:val="24"/>
                <w:szCs w:val="20"/>
                <w:highlight w:val="none"/>
                <w:lang w:val="en-US" w:eastAsia="zh-CN"/>
              </w:rPr>
              <w:t>2</w:t>
            </w:r>
            <w:r>
              <w:rPr>
                <w:rFonts w:hint="eastAsia"/>
                <w:color w:val="auto"/>
                <w:sz w:val="24"/>
                <w:szCs w:val="20"/>
                <w:highlight w:val="none"/>
              </w:rPr>
              <w:t>个</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0"/>
                <w:highlight w:val="none"/>
                <w:lang w:val="en-US" w:eastAsia="zh-CN" w:bidi="ar-SA"/>
              </w:rPr>
            </w:pPr>
            <w:r>
              <w:rPr>
                <w:rFonts w:hint="eastAsia"/>
                <w:color w:val="auto"/>
                <w:sz w:val="24"/>
                <w:szCs w:val="20"/>
                <w:highlight w:val="none"/>
              </w:rPr>
              <w:t>40000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eastAsia="宋体"/>
                <w:sz w:val="24"/>
                <w:szCs w:val="20"/>
                <w:lang w:val="en-US" w:eastAsia="zh-CN"/>
              </w:rPr>
            </w:pPr>
            <w:r>
              <w:rPr>
                <w:rFonts w:hint="eastAsia"/>
                <w:sz w:val="24"/>
                <w:szCs w:val="20"/>
                <w:lang w:val="en-US" w:eastAsia="zh-CN"/>
              </w:rPr>
              <w:t>45</w:t>
            </w:r>
          </w:p>
        </w:tc>
        <w:tc>
          <w:tcPr>
            <w:tcW w:w="59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X86架构</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刀片服务器</w:t>
            </w:r>
          </w:p>
        </w:tc>
        <w:tc>
          <w:tcPr>
            <w:tcW w:w="344"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eastAsia="仿宋"/>
                <w:sz w:val="24"/>
                <w:szCs w:val="20"/>
                <w:lang w:eastAsia="zh-CN"/>
              </w:rPr>
              <w:t>≥3个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eastAsia="宋体"/>
                <w:sz w:val="24"/>
                <w:szCs w:val="20"/>
                <w:lang w:val="en-US" w:eastAsia="zh-CN"/>
              </w:rPr>
            </w:pPr>
            <w:r>
              <w:rPr>
                <w:rFonts w:hint="eastAsia"/>
                <w:sz w:val="24"/>
                <w:szCs w:val="20"/>
              </w:rPr>
              <w:t>支持冗余电源、2个千兆网口、支持RAID（0，1，5，6）、硬盘热插拔、支持远程管理模块、阵列卡支持带保护的高速缓存，含导轨</w:t>
            </w:r>
            <w:r>
              <w:rPr>
                <w:rFonts w:hint="eastAsia"/>
                <w:sz w:val="24"/>
                <w:szCs w:val="20"/>
                <w:lang w:eastAsia="zh-CN"/>
              </w:rPr>
              <w:t>、</w:t>
            </w:r>
            <w:r>
              <w:rPr>
                <w:rFonts w:hint="eastAsia"/>
                <w:sz w:val="24"/>
                <w:szCs w:val="20"/>
                <w:lang w:val="en-US" w:eastAsia="zh-CN"/>
              </w:rPr>
              <w:t>刀片</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eastAsia="宋体"/>
                <w:sz w:val="24"/>
                <w:szCs w:val="20"/>
                <w:lang w:val="en-US" w:eastAsia="zh-CN"/>
              </w:rPr>
            </w:pPr>
            <w:r>
              <w:rPr>
                <w:rFonts w:hint="eastAsia"/>
                <w:sz w:val="24"/>
                <w:szCs w:val="20"/>
                <w:lang w:val="en-US" w:eastAsia="zh-CN"/>
              </w:rPr>
              <w:t>46</w:t>
            </w:r>
          </w:p>
        </w:tc>
        <w:tc>
          <w:tcPr>
            <w:tcW w:w="59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X86架构</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刀片服务器</w:t>
            </w:r>
          </w:p>
        </w:tc>
        <w:tc>
          <w:tcPr>
            <w:tcW w:w="344"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4路CPU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eastAsia="仿宋"/>
                <w:sz w:val="24"/>
                <w:szCs w:val="20"/>
                <w:lang w:eastAsia="zh-CN"/>
              </w:rPr>
              <w:t>≥5个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eastAsia="宋体"/>
                <w:sz w:val="24"/>
                <w:szCs w:val="20"/>
                <w:lang w:val="en-US" w:eastAsia="zh-CN"/>
              </w:rPr>
            </w:pPr>
            <w:r>
              <w:rPr>
                <w:rFonts w:hint="eastAsia"/>
                <w:sz w:val="24"/>
                <w:szCs w:val="20"/>
              </w:rPr>
              <w:t>支持冗余电源、2个千兆网口、支持RAID（0，1，5，6）、硬盘热插拔、支持远程管理模块、阵列卡支持带保护的高速缓存，含导轨</w:t>
            </w:r>
            <w:r>
              <w:rPr>
                <w:rFonts w:hint="eastAsia"/>
                <w:sz w:val="24"/>
                <w:szCs w:val="20"/>
                <w:lang w:eastAsia="zh-CN"/>
              </w:rPr>
              <w:t>、</w:t>
            </w:r>
            <w:r>
              <w:rPr>
                <w:rFonts w:hint="eastAsia"/>
                <w:sz w:val="24"/>
                <w:szCs w:val="20"/>
                <w:lang w:val="en-US" w:eastAsia="zh-CN"/>
              </w:rPr>
              <w:t>刀片</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40000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eastAsia="宋体"/>
                <w:sz w:val="24"/>
                <w:szCs w:val="20"/>
                <w:lang w:val="en-US" w:eastAsia="zh-CN"/>
              </w:rPr>
            </w:pPr>
            <w:r>
              <w:rPr>
                <w:rFonts w:hint="eastAsia"/>
                <w:sz w:val="24"/>
                <w:szCs w:val="20"/>
                <w:lang w:val="en-US" w:eastAsia="zh-CN"/>
              </w:rPr>
              <w:t>47</w:t>
            </w:r>
          </w:p>
        </w:tc>
        <w:tc>
          <w:tcPr>
            <w:tcW w:w="59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X86架构</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高密</w:t>
            </w:r>
          </w:p>
        </w:tc>
        <w:tc>
          <w:tcPr>
            <w:tcW w:w="344"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eastAsia="仿宋"/>
                <w:sz w:val="24"/>
                <w:szCs w:val="20"/>
                <w:lang w:eastAsia="zh-CN"/>
              </w:rPr>
              <w:t>≥2个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eastAsia="宋体"/>
                <w:sz w:val="24"/>
                <w:szCs w:val="20"/>
                <w:lang w:val="en-US" w:eastAsia="zh-CN"/>
              </w:rPr>
            </w:pPr>
            <w:r>
              <w:rPr>
                <w:rFonts w:hint="eastAsia"/>
                <w:sz w:val="24"/>
                <w:szCs w:val="20"/>
              </w:rPr>
              <w:t>支持冗余电源、2个千兆网口、支持RAID（0，1，5，6）、硬盘热插拔、支持远程管理模块、阵列卡支持带保护的高速缓存，含导轨</w:t>
            </w:r>
            <w:r>
              <w:rPr>
                <w:rFonts w:hint="eastAsia"/>
                <w:sz w:val="24"/>
                <w:szCs w:val="20"/>
                <w:lang w:eastAsia="zh-CN"/>
              </w:rPr>
              <w:t>、</w:t>
            </w:r>
            <w:r>
              <w:rPr>
                <w:rFonts w:hint="eastAsia"/>
                <w:sz w:val="24"/>
                <w:szCs w:val="20"/>
                <w:lang w:val="en-US" w:eastAsia="zh-CN"/>
              </w:rPr>
              <w:t>高密机框</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40000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eastAsia="宋体"/>
                <w:sz w:val="24"/>
                <w:szCs w:val="20"/>
                <w:lang w:val="en-US" w:eastAsia="zh-CN"/>
              </w:rPr>
            </w:pPr>
            <w:r>
              <w:rPr>
                <w:rFonts w:hint="eastAsia"/>
                <w:sz w:val="24"/>
                <w:szCs w:val="20"/>
                <w:lang w:val="en-US" w:eastAsia="zh-CN"/>
              </w:rPr>
              <w:t>48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X86架构</w:t>
            </w:r>
          </w:p>
        </w:tc>
        <w:tc>
          <w:tcPr>
            <w:tcW w:w="412"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机架式1U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插槽≥4个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eastAsia="仿宋"/>
                <w:sz w:val="24"/>
                <w:szCs w:val="20"/>
                <w:lang w:eastAsia="zh-CN"/>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eastAsia="宋体"/>
                <w:sz w:val="24"/>
                <w:szCs w:val="20"/>
                <w:lang w:val="en-US" w:eastAsia="zh-CN"/>
              </w:rPr>
            </w:pPr>
            <w:r>
              <w:rPr>
                <w:rFonts w:hint="eastAsia"/>
                <w:sz w:val="24"/>
                <w:szCs w:val="20"/>
                <w:lang w:val="en-US" w:eastAsia="zh-CN"/>
              </w:rPr>
              <w:t>49</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X86架构</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机架式1U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插槽≥16个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eastAsia="仿宋"/>
                <w:sz w:val="24"/>
                <w:szCs w:val="20"/>
                <w:lang w:eastAsia="zh-CN"/>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eastAsia="宋体"/>
                <w:sz w:val="24"/>
                <w:szCs w:val="20"/>
                <w:lang w:val="en-US" w:eastAsia="zh-CN"/>
              </w:rPr>
            </w:pPr>
            <w:r>
              <w:rPr>
                <w:rFonts w:hint="eastAsia"/>
                <w:sz w:val="24"/>
                <w:szCs w:val="20"/>
                <w:lang w:val="en-US" w:eastAsia="zh-CN"/>
              </w:rPr>
              <w:t>50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X86架构</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机架式1U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插槽≥24个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eastAsia="仿宋"/>
                <w:sz w:val="24"/>
                <w:szCs w:val="20"/>
                <w:lang w:eastAsia="zh-CN"/>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eastAsia="宋体"/>
                <w:sz w:val="24"/>
                <w:szCs w:val="20"/>
                <w:lang w:val="en-US" w:eastAsia="zh-CN"/>
              </w:rPr>
            </w:pPr>
            <w:r>
              <w:rPr>
                <w:rFonts w:hint="eastAsia"/>
                <w:sz w:val="24"/>
                <w:szCs w:val="20"/>
                <w:lang w:val="en-US" w:eastAsia="zh-CN"/>
              </w:rPr>
              <w:t>51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X86架构</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插槽≥12个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eastAsia="仿宋"/>
                <w:sz w:val="24"/>
                <w:szCs w:val="20"/>
                <w:lang w:eastAsia="zh-CN"/>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≥4个</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eastAsia="宋体"/>
                <w:sz w:val="24"/>
                <w:szCs w:val="20"/>
                <w:lang w:val="en-US" w:eastAsia="zh-CN"/>
              </w:rPr>
            </w:pPr>
            <w:r>
              <w:rPr>
                <w:rFonts w:hint="eastAsia"/>
                <w:sz w:val="24"/>
                <w:szCs w:val="20"/>
                <w:lang w:val="en-US" w:eastAsia="zh-CN"/>
              </w:rPr>
              <w:t>52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X86架构</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插槽≥12个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eastAsia="仿宋"/>
                <w:sz w:val="24"/>
                <w:szCs w:val="20"/>
                <w:lang w:eastAsia="zh-CN"/>
              </w:rPr>
              <w:t>≥3个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eastAsia="宋体"/>
                <w:sz w:val="24"/>
                <w:szCs w:val="20"/>
                <w:lang w:val="en-US" w:eastAsia="zh-CN"/>
              </w:rPr>
            </w:pPr>
            <w:r>
              <w:rPr>
                <w:rFonts w:hint="eastAsia"/>
                <w:sz w:val="24"/>
                <w:szCs w:val="20"/>
                <w:lang w:val="en-US" w:eastAsia="zh-CN"/>
              </w:rPr>
              <w:t>53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X86架构</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机架式2U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插槽≥24个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eastAsia="仿宋"/>
                <w:sz w:val="24"/>
                <w:szCs w:val="20"/>
                <w:lang w:eastAsia="zh-CN"/>
              </w:rPr>
              <w:t>≥5个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≥4个</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eastAsia="宋体"/>
                <w:sz w:val="24"/>
                <w:szCs w:val="20"/>
                <w:lang w:val="en-US" w:eastAsia="zh-CN"/>
              </w:rPr>
            </w:pPr>
            <w:r>
              <w:rPr>
                <w:rFonts w:hint="eastAsia"/>
                <w:sz w:val="24"/>
                <w:szCs w:val="20"/>
                <w:lang w:val="en-US" w:eastAsia="zh-CN"/>
              </w:rPr>
              <w:t>54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X86架构</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机架式4U</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插槽≥32个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eastAsia="仿宋"/>
                <w:sz w:val="24"/>
                <w:szCs w:val="20"/>
                <w:lang w:eastAsia="zh-CN"/>
              </w:rPr>
              <w:t>≥2个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≥4个</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50000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eastAsia="宋体"/>
                <w:sz w:val="24"/>
                <w:szCs w:val="20"/>
                <w:lang w:val="en-US" w:eastAsia="zh-CN"/>
              </w:rPr>
            </w:pPr>
            <w:r>
              <w:rPr>
                <w:rFonts w:hint="eastAsia"/>
                <w:sz w:val="24"/>
                <w:szCs w:val="20"/>
                <w:lang w:val="en-US" w:eastAsia="zh-CN"/>
              </w:rPr>
              <w:t>55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X86架构</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GPU服务器</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插槽≥24个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eastAsia="仿宋"/>
                <w:sz w:val="24"/>
                <w:szCs w:val="20"/>
                <w:lang w:eastAsia="zh-CN"/>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≥4个</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40000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eastAsia="宋体"/>
                <w:sz w:val="24"/>
                <w:szCs w:val="20"/>
                <w:lang w:val="en-US" w:eastAsia="zh-CN"/>
              </w:rPr>
            </w:pPr>
            <w:r>
              <w:rPr>
                <w:rFonts w:hint="eastAsia"/>
                <w:sz w:val="24"/>
                <w:szCs w:val="20"/>
              </w:rPr>
              <w:t>5</w:t>
            </w:r>
            <w:r>
              <w:rPr>
                <w:rFonts w:hint="eastAsia"/>
                <w:sz w:val="24"/>
                <w:szCs w:val="20"/>
                <w:lang w:val="en-US" w:eastAsia="zh-CN"/>
              </w:rPr>
              <w:t>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X86架构</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GPU服务器</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插槽≥24个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eastAsia="仿宋"/>
                <w:sz w:val="24"/>
                <w:szCs w:val="20"/>
                <w:lang w:eastAsia="zh-CN"/>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≥8个</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40000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eastAsia="宋体"/>
                <w:sz w:val="24"/>
                <w:szCs w:val="20"/>
                <w:lang w:val="en-US" w:eastAsia="zh-CN"/>
              </w:rPr>
            </w:pPr>
            <w:r>
              <w:rPr>
                <w:rFonts w:hint="eastAsia"/>
                <w:sz w:val="24"/>
                <w:szCs w:val="20"/>
              </w:rPr>
              <w:t>5</w:t>
            </w:r>
            <w:r>
              <w:rPr>
                <w:rFonts w:hint="eastAsia"/>
                <w:sz w:val="24"/>
                <w:szCs w:val="20"/>
                <w:lang w:val="en-US" w:eastAsia="zh-CN"/>
              </w:rPr>
              <w:t>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X86架构</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塔式</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插槽≥4个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eastAsia="仿宋"/>
                <w:sz w:val="24"/>
                <w:szCs w:val="20"/>
                <w:lang w:eastAsia="zh-CN"/>
              </w:rPr>
              <w:t>≥8个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10000</w:t>
            </w:r>
          </w:p>
        </w:tc>
      </w:tr>
      <w:tr>
        <w:tblPrEx>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eastAsia="宋体"/>
                <w:sz w:val="24"/>
                <w:szCs w:val="20"/>
                <w:lang w:val="en-US" w:eastAsia="zh-CN"/>
              </w:rPr>
            </w:pPr>
            <w:r>
              <w:rPr>
                <w:rFonts w:hint="eastAsia"/>
                <w:sz w:val="24"/>
                <w:szCs w:val="20"/>
              </w:rPr>
              <w:t>5</w:t>
            </w:r>
            <w:r>
              <w:rPr>
                <w:rFonts w:hint="eastAsia"/>
                <w:sz w:val="24"/>
                <w:szCs w:val="20"/>
                <w:lang w:val="en-US" w:eastAsia="zh-CN"/>
              </w:rPr>
              <w:t>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X86架构</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塔式</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插槽≥6个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eastAsia="仿宋"/>
                <w:sz w:val="24"/>
                <w:szCs w:val="20"/>
                <w:lang w:eastAsia="zh-CN"/>
              </w:rPr>
              <w:t>≥3个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≥4个</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20000</w:t>
            </w:r>
          </w:p>
        </w:tc>
      </w:tr>
      <w:tr>
        <w:tblPrEx>
          <w:tblCellMar>
            <w:top w:w="0" w:type="dxa"/>
            <w:left w:w="108" w:type="dxa"/>
            <w:bottom w:w="0" w:type="dxa"/>
            <w:right w:w="108" w:type="dxa"/>
          </w:tblCellMar>
        </w:tblPrEx>
        <w:trPr>
          <w:trHeight w:val="56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eastAsia="宋体"/>
                <w:sz w:val="24"/>
                <w:szCs w:val="20"/>
                <w:lang w:val="en-US" w:eastAsia="zh-CN"/>
              </w:rPr>
            </w:pPr>
            <w:r>
              <w:rPr>
                <w:rFonts w:hint="eastAsia"/>
                <w:sz w:val="24"/>
                <w:szCs w:val="20"/>
                <w:lang w:val="en-US" w:eastAsia="zh-CN"/>
              </w:rPr>
              <w:t>59</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X86架构</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塔式</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2路CPU</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插槽≥8个</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eastAsia="仿宋"/>
                <w:sz w:val="24"/>
                <w:szCs w:val="20"/>
                <w:lang w:eastAsia="zh-CN"/>
              </w:rPr>
              <w:t>≥5个</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支持SAS、SATA、Nvme接口</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≥4个</w:t>
            </w:r>
          </w:p>
        </w:tc>
        <w:tc>
          <w:tcPr>
            <w:tcW w:w="1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支持冗余电源、2个千兆网口、支持RAID（0，1，5，6）、硬盘热插拔、支持远程管理模块、阵列卡支持带保护的高速缓存，含导轨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20000</w:t>
            </w:r>
          </w:p>
        </w:tc>
      </w:tr>
      <w:tr>
        <w:tblPrEx>
          <w:tblCellMar>
            <w:top w:w="0" w:type="dxa"/>
            <w:left w:w="108" w:type="dxa"/>
            <w:bottom w:w="0" w:type="dxa"/>
            <w:right w:w="108" w:type="dxa"/>
          </w:tblCellMar>
        </w:tblPrEx>
        <w:trPr>
          <w:trHeight w:val="573"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其他要求</w:t>
            </w:r>
          </w:p>
        </w:tc>
        <w:tc>
          <w:tcPr>
            <w:tcW w:w="466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sz w:val="24"/>
                <w:szCs w:val="20"/>
              </w:rPr>
            </w:pPr>
            <w:r>
              <w:rPr>
                <w:rFonts w:hint="eastAsia"/>
                <w:sz w:val="24"/>
                <w:szCs w:val="20"/>
              </w:rPr>
              <w:t>包件中未涉及到的指标要求应当满足财库〔2023〕33号财政部工业和信息化部关于印发《通用服务器政府采购需求标准(2023年版)》中规定的其他*内容。</w:t>
            </w:r>
          </w:p>
        </w:tc>
      </w:tr>
    </w:tbl>
    <w:p>
      <w:pPr>
        <w:snapToGrid w:val="0"/>
        <w:spacing w:after="120" w:afterLines="50" w:line="460" w:lineRule="exact"/>
        <w:rPr>
          <w:rFonts w:hint="eastAsia" w:ascii="宋体" w:hAnsi="宋体"/>
          <w:b/>
          <w:color w:val="auto"/>
          <w:sz w:val="30"/>
          <w:szCs w:val="30"/>
        </w:rPr>
      </w:pPr>
    </w:p>
    <w:p>
      <w:pPr>
        <w:snapToGrid w:val="0"/>
        <w:spacing w:after="120" w:afterLines="50" w:line="460" w:lineRule="exact"/>
        <w:ind w:firstLine="602" w:firstLineChars="200"/>
        <w:rPr>
          <w:rFonts w:hint="eastAsia" w:ascii="宋体" w:hAnsi="宋体"/>
          <w:b/>
          <w:color w:val="auto"/>
          <w:sz w:val="30"/>
          <w:szCs w:val="30"/>
        </w:rPr>
      </w:pPr>
    </w:p>
    <w:p>
      <w:pPr>
        <w:snapToGrid w:val="0"/>
        <w:spacing w:after="120" w:afterLines="50" w:line="460" w:lineRule="exact"/>
        <w:ind w:firstLine="602" w:firstLineChars="200"/>
        <w:rPr>
          <w:rFonts w:hint="eastAsia" w:ascii="宋体" w:hAnsi="宋体"/>
          <w:b/>
          <w:color w:val="auto"/>
          <w:sz w:val="30"/>
          <w:szCs w:val="30"/>
        </w:rPr>
        <w:sectPr>
          <w:pgSz w:w="16838" w:h="11906" w:orient="landscape"/>
          <w:pgMar w:top="1531" w:right="1558" w:bottom="1531" w:left="468" w:header="851" w:footer="851" w:gutter="0"/>
          <w:pgNumType w:fmt="decimal" w:chapStyle="1" w:chapSep="colon"/>
          <w:cols w:space="720" w:num="1"/>
        </w:sectPr>
      </w:pPr>
    </w:p>
    <w:p>
      <w:pPr>
        <w:pStyle w:val="3"/>
        <w:pageBreakBefore w:val="0"/>
        <w:widowControl w:val="0"/>
        <w:kinsoku/>
        <w:wordWrap/>
        <w:overflowPunct/>
        <w:topLinePunct w:val="0"/>
        <w:autoSpaceDE/>
        <w:autoSpaceDN/>
        <w:bidi w:val="0"/>
        <w:adjustRightInd/>
        <w:snapToGrid/>
        <w:ind w:firstLine="643" w:firstLineChars="200"/>
        <w:textAlignment w:val="auto"/>
        <w:rPr>
          <w:color w:val="auto"/>
          <w:sz w:val="32"/>
          <w:szCs w:val="28"/>
        </w:rPr>
      </w:pPr>
      <w:r>
        <w:rPr>
          <w:rFonts w:hint="eastAsia"/>
          <w:color w:val="auto"/>
          <w:sz w:val="32"/>
          <w:szCs w:val="28"/>
          <w:lang w:eastAsia="zh-CN"/>
        </w:rPr>
        <w:t>二</w:t>
      </w:r>
      <w:r>
        <w:rPr>
          <w:rFonts w:hint="eastAsia"/>
          <w:color w:val="auto"/>
          <w:sz w:val="32"/>
          <w:szCs w:val="28"/>
        </w:rPr>
        <w:t>、采购内容：</w:t>
      </w:r>
    </w:p>
    <w:p>
      <w:pPr>
        <w:pStyle w:val="4"/>
        <w:pageBreakBefore w:val="0"/>
        <w:widowControl w:val="0"/>
        <w:kinsoku/>
        <w:wordWrap/>
        <w:overflowPunct/>
        <w:topLinePunct w:val="0"/>
        <w:autoSpaceDE/>
        <w:autoSpaceDN/>
        <w:bidi w:val="0"/>
        <w:adjustRightInd/>
        <w:snapToGrid/>
        <w:ind w:firstLine="643" w:firstLineChars="200"/>
        <w:textAlignment w:val="auto"/>
        <w:rPr>
          <w:rFonts w:hint="eastAsia"/>
          <w:color w:val="auto"/>
          <w:sz w:val="32"/>
          <w:szCs w:val="28"/>
        </w:rPr>
      </w:pPr>
      <w:r>
        <w:rPr>
          <w:rFonts w:hint="eastAsia"/>
          <w:color w:val="auto"/>
          <w:sz w:val="32"/>
          <w:szCs w:val="28"/>
          <w:lang w:eastAsia="zh-CN"/>
        </w:rPr>
        <w:t>（</w:t>
      </w:r>
      <w:r>
        <w:rPr>
          <w:rFonts w:hint="eastAsia"/>
          <w:color w:val="auto"/>
          <w:sz w:val="32"/>
          <w:szCs w:val="28"/>
          <w:lang w:val="en-US" w:eastAsia="zh-CN"/>
        </w:rPr>
        <w:t>一</w:t>
      </w:r>
      <w:r>
        <w:rPr>
          <w:rFonts w:hint="eastAsia"/>
          <w:color w:val="auto"/>
          <w:sz w:val="32"/>
          <w:szCs w:val="28"/>
          <w:lang w:eastAsia="zh-CN"/>
        </w:rPr>
        <w:t>）</w:t>
      </w:r>
      <w:r>
        <w:rPr>
          <w:rFonts w:hint="eastAsia"/>
          <w:color w:val="auto"/>
          <w:sz w:val="32"/>
          <w:szCs w:val="28"/>
        </w:rPr>
        <w:t>产品要求：</w:t>
      </w:r>
    </w:p>
    <w:p>
      <w:pPr>
        <w:pageBreakBefore w:val="0"/>
        <w:widowControl w:val="0"/>
        <w:kinsoku/>
        <w:wordWrap/>
        <w:overflowPunct/>
        <w:topLinePunct w:val="0"/>
        <w:autoSpaceDE/>
        <w:autoSpaceDN/>
        <w:bidi w:val="0"/>
        <w:adjustRightInd/>
        <w:snapToGrid/>
        <w:ind w:firstLine="640" w:firstLineChars="200"/>
        <w:textAlignment w:val="auto"/>
        <w:rPr>
          <w:rFonts w:hint="eastAsia"/>
          <w:b/>
          <w:bCs/>
          <w:color w:val="auto"/>
          <w:sz w:val="32"/>
          <w:szCs w:val="28"/>
          <w:lang w:eastAsia="zh-CN"/>
        </w:rPr>
      </w:pPr>
      <w:r>
        <w:rPr>
          <w:rFonts w:hint="eastAsia"/>
          <w:color w:val="auto"/>
          <w:sz w:val="32"/>
          <w:szCs w:val="28"/>
        </w:rPr>
        <w:t>▲</w:t>
      </w:r>
      <w:r>
        <w:rPr>
          <w:rFonts w:hint="eastAsia"/>
          <w:b/>
          <w:bCs/>
          <w:color w:val="auto"/>
          <w:sz w:val="32"/>
          <w:szCs w:val="28"/>
        </w:rPr>
        <w:t>1.所投货物若涉及国家强制认证的（3C 强制认证等），供应商提供的产品必须符合国家有关规定。若涉及 3C 认证的，供应商应对所供货物符合 3C 认证进行承诺，否则视为非实质性响应，符合性审查不予通过。</w:t>
      </w:r>
    </w:p>
    <w:p>
      <w:pPr>
        <w:pageBreakBefore w:val="0"/>
        <w:widowControl w:val="0"/>
        <w:kinsoku/>
        <w:wordWrap/>
        <w:overflowPunct/>
        <w:topLinePunct w:val="0"/>
        <w:autoSpaceDE/>
        <w:autoSpaceDN/>
        <w:bidi w:val="0"/>
        <w:adjustRightInd/>
        <w:snapToGrid/>
        <w:ind w:firstLine="640" w:firstLineChars="200"/>
        <w:textAlignment w:val="auto"/>
        <w:rPr>
          <w:rFonts w:hint="eastAsia"/>
          <w:b/>
          <w:bCs/>
          <w:color w:val="auto"/>
          <w:sz w:val="32"/>
          <w:szCs w:val="28"/>
        </w:rPr>
      </w:pPr>
      <w:r>
        <w:rPr>
          <w:rFonts w:hint="eastAsia"/>
          <w:color w:val="auto"/>
          <w:sz w:val="32"/>
          <w:szCs w:val="28"/>
        </w:rPr>
        <w:t>▲</w:t>
      </w:r>
      <w:r>
        <w:rPr>
          <w:rFonts w:hint="eastAsia"/>
          <w:b/>
          <w:bCs/>
          <w:color w:val="auto"/>
          <w:sz w:val="32"/>
          <w:szCs w:val="28"/>
          <w:lang w:val="en-US" w:eastAsia="zh-CN"/>
        </w:rPr>
        <w:t>2</w:t>
      </w:r>
      <w:r>
        <w:rPr>
          <w:rFonts w:hint="eastAsia"/>
          <w:b/>
          <w:bCs/>
          <w:color w:val="auto"/>
          <w:sz w:val="32"/>
          <w:szCs w:val="28"/>
        </w:rPr>
        <w:t>.每个</w:t>
      </w:r>
      <w:r>
        <w:rPr>
          <w:rFonts w:hint="eastAsia"/>
          <w:b/>
          <w:bCs/>
          <w:color w:val="auto"/>
          <w:sz w:val="32"/>
          <w:szCs w:val="28"/>
          <w:lang w:eastAsia="zh-CN"/>
        </w:rPr>
        <w:t>采购包</w:t>
      </w:r>
      <w:r>
        <w:rPr>
          <w:rFonts w:hint="eastAsia"/>
          <w:b/>
          <w:bCs/>
          <w:color w:val="auto"/>
          <w:sz w:val="32"/>
          <w:szCs w:val="28"/>
        </w:rPr>
        <w:t>只能用一个</w:t>
      </w:r>
      <w:r>
        <w:rPr>
          <w:rFonts w:hint="eastAsia"/>
          <w:b/>
          <w:bCs/>
          <w:color w:val="auto"/>
          <w:sz w:val="32"/>
          <w:szCs w:val="28"/>
          <w:lang w:eastAsia="zh-CN"/>
        </w:rPr>
        <w:t>产品</w:t>
      </w:r>
      <w:r>
        <w:rPr>
          <w:rFonts w:hint="eastAsia"/>
          <w:b/>
          <w:bCs/>
          <w:color w:val="auto"/>
          <w:sz w:val="32"/>
          <w:szCs w:val="28"/>
        </w:rPr>
        <w:t>进行响应，且应当是市场上已有销售的规格型号</w:t>
      </w:r>
      <w:r>
        <w:rPr>
          <w:rFonts w:hint="eastAsia"/>
          <w:b/>
          <w:bCs/>
          <w:color w:val="auto"/>
          <w:sz w:val="32"/>
          <w:szCs w:val="28"/>
          <w:lang w:eastAsia="zh-CN"/>
        </w:rPr>
        <w:t>，</w:t>
      </w:r>
      <w:r>
        <w:rPr>
          <w:rFonts w:hint="eastAsia"/>
          <w:b/>
          <w:bCs/>
          <w:color w:val="auto"/>
          <w:sz w:val="32"/>
          <w:szCs w:val="28"/>
        </w:rPr>
        <w:t>征集文件有要求的，应当同时对产品的选配件、耗材进行报价。</w:t>
      </w:r>
    </w:p>
    <w:p>
      <w:pPr>
        <w:pageBreakBefore w:val="0"/>
        <w:widowControl w:val="0"/>
        <w:kinsoku/>
        <w:wordWrap/>
        <w:overflowPunct/>
        <w:topLinePunct w:val="0"/>
        <w:autoSpaceDE/>
        <w:autoSpaceDN/>
        <w:bidi w:val="0"/>
        <w:adjustRightInd/>
        <w:snapToGrid/>
        <w:ind w:firstLine="640" w:firstLineChars="200"/>
        <w:textAlignment w:val="auto"/>
        <w:rPr>
          <w:rFonts w:hint="eastAsia"/>
          <w:b/>
          <w:bCs/>
          <w:color w:val="auto"/>
          <w:sz w:val="32"/>
          <w:szCs w:val="28"/>
        </w:rPr>
      </w:pPr>
      <w:r>
        <w:rPr>
          <w:rFonts w:hint="eastAsia"/>
          <w:color w:val="auto"/>
          <w:sz w:val="32"/>
          <w:szCs w:val="28"/>
        </w:rPr>
        <w:t>▲</w:t>
      </w:r>
      <w:r>
        <w:rPr>
          <w:rFonts w:hint="eastAsia"/>
          <w:b/>
          <w:bCs/>
          <w:color w:val="auto"/>
          <w:sz w:val="32"/>
          <w:szCs w:val="28"/>
          <w:lang w:val="en-US" w:eastAsia="zh-CN"/>
        </w:rPr>
        <w:t>3.</w:t>
      </w:r>
      <w:r>
        <w:rPr>
          <w:rFonts w:hint="eastAsia"/>
          <w:b/>
          <w:bCs/>
          <w:color w:val="auto"/>
          <w:sz w:val="32"/>
          <w:szCs w:val="28"/>
        </w:rPr>
        <w:t>同一</w:t>
      </w:r>
      <w:r>
        <w:rPr>
          <w:rFonts w:hint="eastAsia"/>
          <w:b/>
          <w:bCs/>
          <w:color w:val="auto"/>
          <w:sz w:val="32"/>
          <w:szCs w:val="28"/>
          <w:lang w:eastAsia="zh-CN"/>
        </w:rPr>
        <w:t>产品</w:t>
      </w:r>
      <w:r>
        <w:rPr>
          <w:rFonts w:hint="eastAsia"/>
          <w:b/>
          <w:bCs/>
          <w:color w:val="auto"/>
          <w:sz w:val="32"/>
          <w:szCs w:val="28"/>
        </w:rPr>
        <w:t>不能同时响应两个及以上</w:t>
      </w:r>
      <w:r>
        <w:rPr>
          <w:rFonts w:hint="eastAsia"/>
          <w:b/>
          <w:bCs/>
          <w:color w:val="auto"/>
          <w:sz w:val="32"/>
          <w:szCs w:val="28"/>
          <w:lang w:eastAsia="zh-CN"/>
        </w:rPr>
        <w:t>采购包</w:t>
      </w:r>
      <w:r>
        <w:rPr>
          <w:rFonts w:hint="eastAsia"/>
          <w:b/>
          <w:bCs/>
          <w:color w:val="auto"/>
          <w:sz w:val="32"/>
          <w:szCs w:val="28"/>
        </w:rPr>
        <w:t>，否则按为无效响应处理。</w:t>
      </w:r>
    </w:p>
    <w:p>
      <w:pPr>
        <w:pageBreakBefore w:val="0"/>
        <w:widowControl w:val="0"/>
        <w:kinsoku/>
        <w:wordWrap/>
        <w:overflowPunct/>
        <w:topLinePunct w:val="0"/>
        <w:autoSpaceDE/>
        <w:autoSpaceDN/>
        <w:bidi w:val="0"/>
        <w:adjustRightInd/>
        <w:snapToGrid/>
        <w:ind w:firstLine="640" w:firstLineChars="200"/>
        <w:textAlignment w:val="auto"/>
        <w:rPr>
          <w:rFonts w:hint="eastAsia"/>
          <w:b/>
          <w:bCs/>
          <w:color w:val="auto"/>
          <w:sz w:val="32"/>
          <w:szCs w:val="28"/>
          <w:lang w:eastAsia="zh-CN"/>
        </w:rPr>
      </w:pPr>
      <w:r>
        <w:rPr>
          <w:rFonts w:hint="eastAsia"/>
          <w:color w:val="auto"/>
          <w:sz w:val="32"/>
          <w:szCs w:val="28"/>
        </w:rPr>
        <w:t>▲</w:t>
      </w:r>
      <w:r>
        <w:rPr>
          <w:rFonts w:hint="eastAsia"/>
          <w:b/>
          <w:bCs/>
          <w:color w:val="auto"/>
          <w:sz w:val="32"/>
          <w:szCs w:val="28"/>
          <w:lang w:val="en-US" w:eastAsia="zh-CN"/>
        </w:rPr>
        <w:t>4.</w:t>
      </w:r>
      <w:r>
        <w:rPr>
          <w:rFonts w:hint="eastAsia"/>
          <w:b/>
          <w:bCs/>
          <w:color w:val="auto"/>
          <w:sz w:val="32"/>
          <w:szCs w:val="28"/>
          <w:lang w:eastAsia="zh-CN"/>
        </w:rPr>
        <w:t>供应商所</w:t>
      </w:r>
      <w:r>
        <w:rPr>
          <w:rFonts w:hint="eastAsia"/>
          <w:b/>
          <w:bCs/>
          <w:color w:val="auto"/>
          <w:sz w:val="32"/>
          <w:szCs w:val="28"/>
          <w:lang w:val="en-US" w:eastAsia="zh-CN"/>
        </w:rPr>
        <w:t>响应</w:t>
      </w:r>
      <w:r>
        <w:rPr>
          <w:rFonts w:hint="eastAsia"/>
          <w:b/>
          <w:bCs/>
          <w:color w:val="auto"/>
          <w:sz w:val="32"/>
          <w:szCs w:val="28"/>
          <w:lang w:eastAsia="zh-CN"/>
        </w:rPr>
        <w:t>的产品</w:t>
      </w:r>
      <w:r>
        <w:rPr>
          <w:rFonts w:hint="eastAsia"/>
          <w:b/>
          <w:bCs/>
          <w:color w:val="auto"/>
          <w:sz w:val="32"/>
          <w:szCs w:val="28"/>
          <w:lang w:val="en-US" w:eastAsia="zh-CN"/>
        </w:rPr>
        <w:t>不能低于</w:t>
      </w:r>
      <w:r>
        <w:rPr>
          <w:rFonts w:hint="eastAsia"/>
          <w:b/>
          <w:bCs/>
          <w:color w:val="auto"/>
          <w:sz w:val="32"/>
          <w:szCs w:val="28"/>
          <w:lang w:eastAsia="zh-CN"/>
        </w:rPr>
        <w:t>采购需求</w:t>
      </w:r>
      <w:r>
        <w:rPr>
          <w:rFonts w:hint="eastAsia"/>
          <w:b/>
          <w:bCs/>
          <w:color w:val="auto"/>
          <w:sz w:val="32"/>
          <w:szCs w:val="28"/>
          <w:lang w:val="en-US" w:eastAsia="zh-CN"/>
        </w:rPr>
        <w:t>且</w:t>
      </w:r>
      <w:r>
        <w:rPr>
          <w:rFonts w:hint="eastAsia"/>
          <w:b/>
          <w:bCs/>
          <w:color w:val="auto"/>
          <w:sz w:val="32"/>
          <w:szCs w:val="28"/>
          <w:lang w:eastAsia="zh-CN"/>
        </w:rPr>
        <w:t>所提供的货物应为市场上已有的标准型号，不得为仅限政府采购的专供品。此外，该货物应保证在未来一段时间内具备稳定的市场流通性，不得为即将被淘汰或停产的产品。</w:t>
      </w:r>
    </w:p>
    <w:p>
      <w:pPr>
        <w:pageBreakBefore w:val="0"/>
        <w:widowControl w:val="0"/>
        <w:kinsoku/>
        <w:wordWrap/>
        <w:overflowPunct/>
        <w:topLinePunct w:val="0"/>
        <w:autoSpaceDE/>
        <w:autoSpaceDN/>
        <w:bidi w:val="0"/>
        <w:adjustRightInd/>
        <w:snapToGrid/>
        <w:ind w:firstLine="640" w:firstLineChars="200"/>
        <w:textAlignment w:val="auto"/>
        <w:rPr>
          <w:rFonts w:hint="eastAsia"/>
          <w:b/>
          <w:bCs/>
          <w:color w:val="auto"/>
          <w:sz w:val="32"/>
          <w:szCs w:val="28"/>
          <w:lang w:val="en-US" w:eastAsia="zh-CN"/>
        </w:rPr>
      </w:pPr>
      <w:r>
        <w:rPr>
          <w:rFonts w:hint="eastAsia"/>
          <w:color w:val="auto"/>
          <w:sz w:val="32"/>
          <w:szCs w:val="28"/>
        </w:rPr>
        <w:t>▲</w:t>
      </w:r>
      <w:r>
        <w:rPr>
          <w:rFonts w:hint="eastAsia"/>
          <w:b/>
          <w:bCs/>
          <w:color w:val="auto"/>
          <w:sz w:val="32"/>
          <w:szCs w:val="28"/>
          <w:lang w:val="en-US" w:eastAsia="zh-CN"/>
        </w:rPr>
        <w:t>5.供应商响应的标配产品应满足使用功能需求，不得强制搭售配件或耗材。</w:t>
      </w:r>
    </w:p>
    <w:p>
      <w:pPr>
        <w:pageBreakBefore w:val="0"/>
        <w:widowControl w:val="0"/>
        <w:kinsoku/>
        <w:wordWrap/>
        <w:overflowPunct/>
        <w:topLinePunct w:val="0"/>
        <w:autoSpaceDE/>
        <w:autoSpaceDN/>
        <w:bidi w:val="0"/>
        <w:adjustRightInd/>
        <w:snapToGrid/>
        <w:ind w:firstLine="643" w:firstLineChars="200"/>
        <w:textAlignment w:val="auto"/>
        <w:rPr>
          <w:rFonts w:hint="eastAsia"/>
          <w:b/>
          <w:bCs/>
          <w:color w:val="auto"/>
          <w:sz w:val="32"/>
          <w:szCs w:val="28"/>
          <w:lang w:val="en-US" w:eastAsia="zh-CN"/>
        </w:rPr>
      </w:pPr>
      <w:r>
        <w:rPr>
          <w:rFonts w:hint="eastAsia"/>
          <w:b/>
          <w:bCs/>
          <w:color w:val="auto"/>
          <w:sz w:val="32"/>
          <w:szCs w:val="28"/>
          <w:lang w:val="en-US" w:eastAsia="zh-CN"/>
        </w:rPr>
        <w:t>6.如供应商参与响应两个及以上采购包的，所有响应采购包的资格文件统一在响应的第一个采购包（以采购包号排序计）中上传的，其余采购包的资格文件也视为已提供。若出现不同采购包下资格文件内容前后不一致的情况，以第一份资格文件为准。</w:t>
      </w:r>
    </w:p>
    <w:p>
      <w:pPr>
        <w:pStyle w:val="4"/>
        <w:pageBreakBefore w:val="0"/>
        <w:widowControl w:val="0"/>
        <w:kinsoku/>
        <w:wordWrap/>
        <w:overflowPunct/>
        <w:topLinePunct w:val="0"/>
        <w:autoSpaceDE/>
        <w:autoSpaceDN/>
        <w:bidi w:val="0"/>
        <w:adjustRightInd/>
        <w:snapToGrid/>
        <w:ind w:firstLine="643" w:firstLineChars="200"/>
        <w:textAlignment w:val="auto"/>
        <w:rPr>
          <w:rFonts w:hint="eastAsia"/>
          <w:color w:val="auto"/>
          <w:sz w:val="32"/>
          <w:szCs w:val="28"/>
        </w:rPr>
      </w:pPr>
      <w:r>
        <w:rPr>
          <w:rFonts w:hint="eastAsia"/>
          <w:color w:val="auto"/>
          <w:sz w:val="32"/>
          <w:szCs w:val="28"/>
          <w:lang w:eastAsia="zh-CN"/>
        </w:rPr>
        <w:t>（</w:t>
      </w:r>
      <w:r>
        <w:rPr>
          <w:rFonts w:hint="eastAsia"/>
          <w:color w:val="auto"/>
          <w:sz w:val="32"/>
          <w:szCs w:val="28"/>
          <w:lang w:val="en-US" w:eastAsia="zh-CN"/>
        </w:rPr>
        <w:t>二</w:t>
      </w:r>
      <w:r>
        <w:rPr>
          <w:rFonts w:hint="eastAsia"/>
          <w:color w:val="auto"/>
          <w:sz w:val="32"/>
          <w:szCs w:val="28"/>
          <w:lang w:eastAsia="zh-CN"/>
        </w:rPr>
        <w:t>）</w:t>
      </w:r>
      <w:r>
        <w:rPr>
          <w:rFonts w:hint="eastAsia"/>
          <w:color w:val="auto"/>
          <w:sz w:val="32"/>
          <w:szCs w:val="28"/>
        </w:rPr>
        <w:t>相关管理条例与技术标准、行业规范</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lang w:val="en-US" w:eastAsia="zh-CN"/>
        </w:rPr>
        <w:t>1</w:t>
      </w:r>
      <w:r>
        <w:rPr>
          <w:rFonts w:hint="eastAsia"/>
          <w:color w:val="auto"/>
          <w:sz w:val="32"/>
          <w:szCs w:val="28"/>
        </w:rPr>
        <w:t>.产品质量按ISO9001等国际质量管理体系标准执行。</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lang w:val="en-US" w:eastAsia="zh-CN"/>
        </w:rPr>
        <w:t>2</w:t>
      </w:r>
      <w:r>
        <w:rPr>
          <w:rFonts w:hint="eastAsia"/>
          <w:color w:val="auto"/>
          <w:sz w:val="32"/>
          <w:szCs w:val="28"/>
        </w:rPr>
        <w:t>.国家规定的行业标准和规范，有新标准按新标准执行。</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lang w:val="en-US" w:eastAsia="zh-CN"/>
        </w:rPr>
        <w:t>3</w:t>
      </w:r>
      <w:r>
        <w:rPr>
          <w:rFonts w:hint="eastAsia"/>
          <w:color w:val="auto"/>
          <w:sz w:val="32"/>
          <w:szCs w:val="28"/>
        </w:rPr>
        <w:t>.其它相关国家、行业标准及规范，按最新版执行。</w:t>
      </w:r>
    </w:p>
    <w:p>
      <w:pPr>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6"/>
          <w:lang w:val="en-US" w:eastAsia="zh-CN"/>
        </w:rPr>
      </w:pPr>
      <w:r>
        <w:rPr>
          <w:rFonts w:hint="eastAsia"/>
          <w:color w:val="auto"/>
          <w:sz w:val="32"/>
          <w:szCs w:val="28"/>
        </w:rPr>
        <w:t>▲</w:t>
      </w:r>
      <w:r>
        <w:rPr>
          <w:rFonts w:hint="eastAsia"/>
          <w:color w:val="auto"/>
          <w:sz w:val="32"/>
          <w:szCs w:val="28"/>
          <w:lang w:val="en-US" w:eastAsia="zh-CN"/>
        </w:rPr>
        <w:t>4.按财库〔2023〕29号文件要求执行。第二阶段采购合同授权时，乡镇以上党政机关，以及乡镇以上党委和政府直属事业单位及部门所属为机关提供支持保障的事业单位，应当将CPU、操作系统符合安全可靠测评要求纳入采购需求，其他单位可不在采购需求中提出此项要求。</w:t>
      </w:r>
    </w:p>
    <w:p>
      <w:pPr>
        <w:pStyle w:val="4"/>
        <w:pageBreakBefore w:val="0"/>
        <w:widowControl w:val="0"/>
        <w:kinsoku/>
        <w:wordWrap/>
        <w:overflowPunct/>
        <w:topLinePunct w:val="0"/>
        <w:autoSpaceDE/>
        <w:autoSpaceDN/>
        <w:bidi w:val="0"/>
        <w:adjustRightInd/>
        <w:snapToGrid/>
        <w:ind w:firstLine="643" w:firstLineChars="200"/>
        <w:textAlignment w:val="auto"/>
        <w:rPr>
          <w:color w:val="auto"/>
          <w:sz w:val="32"/>
          <w:szCs w:val="28"/>
        </w:rPr>
      </w:pPr>
      <w:r>
        <w:rPr>
          <w:rFonts w:hint="eastAsia"/>
          <w:color w:val="auto"/>
          <w:sz w:val="32"/>
          <w:szCs w:val="28"/>
        </w:rPr>
        <w:t>▲</w:t>
      </w:r>
      <w:r>
        <w:rPr>
          <w:rFonts w:hint="eastAsia"/>
          <w:color w:val="auto"/>
          <w:sz w:val="32"/>
          <w:szCs w:val="28"/>
          <w:lang w:eastAsia="zh-CN"/>
        </w:rPr>
        <w:t>（</w:t>
      </w:r>
      <w:r>
        <w:rPr>
          <w:rFonts w:hint="eastAsia"/>
          <w:color w:val="auto"/>
          <w:sz w:val="32"/>
          <w:szCs w:val="28"/>
          <w:lang w:val="en-US" w:eastAsia="zh-CN"/>
        </w:rPr>
        <w:t>三</w:t>
      </w:r>
      <w:r>
        <w:rPr>
          <w:rFonts w:hint="eastAsia"/>
          <w:color w:val="auto"/>
          <w:sz w:val="32"/>
          <w:szCs w:val="28"/>
          <w:lang w:eastAsia="zh-CN"/>
        </w:rPr>
        <w:t>）</w:t>
      </w:r>
      <w:r>
        <w:rPr>
          <w:rFonts w:hint="eastAsia"/>
          <w:color w:val="auto"/>
          <w:sz w:val="32"/>
          <w:szCs w:val="28"/>
        </w:rPr>
        <w:t>服务要求</w:t>
      </w:r>
    </w:p>
    <w:p>
      <w:pPr>
        <w:pageBreakBefore w:val="0"/>
        <w:widowControl w:val="0"/>
        <w:kinsoku/>
        <w:wordWrap/>
        <w:overflowPunct/>
        <w:topLinePunct w:val="0"/>
        <w:autoSpaceDE/>
        <w:autoSpaceDN/>
        <w:bidi w:val="0"/>
        <w:adjustRightInd/>
        <w:snapToGrid/>
        <w:ind w:firstLine="643" w:firstLineChars="200"/>
        <w:textAlignment w:val="auto"/>
        <w:rPr>
          <w:rFonts w:hint="eastAsia"/>
          <w:b/>
          <w:bCs/>
          <w:color w:val="auto"/>
          <w:sz w:val="32"/>
          <w:szCs w:val="28"/>
        </w:rPr>
      </w:pPr>
      <w:r>
        <w:rPr>
          <w:rFonts w:hint="eastAsia"/>
          <w:b/>
          <w:bCs/>
          <w:color w:val="auto"/>
          <w:sz w:val="32"/>
          <w:szCs w:val="28"/>
        </w:rPr>
        <w:t>1.标准与验收要求</w:t>
      </w:r>
      <w:r>
        <w:rPr>
          <w:rFonts w:hint="eastAsia"/>
          <w:b/>
          <w:bCs/>
          <w:color w:val="auto"/>
          <w:sz w:val="32"/>
          <w:szCs w:val="28"/>
          <w:lang w:eastAsia="zh-CN"/>
        </w:rPr>
        <w:t>：</w:t>
      </w:r>
      <w:r>
        <w:rPr>
          <w:rFonts w:hint="eastAsia"/>
          <w:b/>
          <w:bCs/>
          <w:color w:val="auto"/>
          <w:sz w:val="32"/>
          <w:szCs w:val="28"/>
        </w:rPr>
        <w:t>供应商提供的产品应符合国家和本项目有关的各项质量和安全标准、规范和验收要求以及相关政府管理部门和行业有关规定，上述标准、规范等不一致的，以要求严的为准。</w:t>
      </w:r>
    </w:p>
    <w:p>
      <w:pPr>
        <w:pageBreakBefore w:val="0"/>
        <w:widowControl w:val="0"/>
        <w:kinsoku/>
        <w:wordWrap/>
        <w:overflowPunct/>
        <w:topLinePunct w:val="0"/>
        <w:autoSpaceDE/>
        <w:autoSpaceDN/>
        <w:bidi w:val="0"/>
        <w:adjustRightInd/>
        <w:snapToGrid/>
        <w:ind w:firstLine="643" w:firstLineChars="200"/>
        <w:textAlignment w:val="auto"/>
        <w:rPr>
          <w:rFonts w:hint="eastAsia"/>
          <w:b/>
          <w:bCs/>
          <w:color w:val="auto"/>
          <w:sz w:val="32"/>
          <w:szCs w:val="28"/>
        </w:rPr>
      </w:pPr>
      <w:r>
        <w:rPr>
          <w:rFonts w:hint="eastAsia"/>
          <w:b/>
          <w:bCs/>
          <w:color w:val="auto"/>
          <w:sz w:val="32"/>
          <w:szCs w:val="28"/>
        </w:rPr>
        <w:t>2.售后服务要求：供应商需具有完善的售后服务体系及机构</w:t>
      </w:r>
      <w:r>
        <w:rPr>
          <w:rFonts w:hint="eastAsia"/>
          <w:b/>
          <w:bCs/>
          <w:color w:val="auto"/>
          <w:sz w:val="32"/>
          <w:szCs w:val="28"/>
          <w:lang w:eastAsia="zh-CN"/>
        </w:rPr>
        <w:t>并承诺提供三年免费质保服务</w:t>
      </w:r>
      <w:r>
        <w:rPr>
          <w:rFonts w:hint="eastAsia"/>
          <w:b/>
          <w:bCs/>
          <w:color w:val="auto"/>
          <w:sz w:val="32"/>
          <w:szCs w:val="28"/>
        </w:rPr>
        <w:t>，该售后服务机构应确保为响应产品提供的质量保证期符合征集要求。供应商如有其他售后服务承诺请在响应文件中列明。</w:t>
      </w:r>
    </w:p>
    <w:p>
      <w:pPr>
        <w:pageBreakBefore w:val="0"/>
        <w:widowControl w:val="0"/>
        <w:kinsoku/>
        <w:wordWrap/>
        <w:overflowPunct/>
        <w:topLinePunct w:val="0"/>
        <w:autoSpaceDE/>
        <w:autoSpaceDN/>
        <w:bidi w:val="0"/>
        <w:adjustRightInd/>
        <w:snapToGrid/>
        <w:ind w:firstLine="643" w:firstLineChars="200"/>
        <w:textAlignment w:val="auto"/>
        <w:rPr>
          <w:rFonts w:hint="eastAsia"/>
          <w:b/>
          <w:bCs/>
          <w:color w:val="auto"/>
          <w:sz w:val="32"/>
          <w:szCs w:val="28"/>
          <w:lang w:val="en-US" w:eastAsia="zh-CN"/>
        </w:rPr>
      </w:pPr>
      <w:r>
        <w:rPr>
          <w:rFonts w:hint="eastAsia"/>
          <w:b/>
          <w:bCs/>
          <w:color w:val="auto"/>
          <w:sz w:val="32"/>
          <w:szCs w:val="28"/>
          <w:lang w:val="en-US" w:eastAsia="zh-CN"/>
        </w:rPr>
        <w:t>3.在产品保修期内提供免费上门安装、调试、维修等服务。</w:t>
      </w:r>
    </w:p>
    <w:p>
      <w:pPr>
        <w:pageBreakBefore w:val="0"/>
        <w:widowControl w:val="0"/>
        <w:kinsoku/>
        <w:wordWrap/>
        <w:overflowPunct/>
        <w:topLinePunct w:val="0"/>
        <w:autoSpaceDE/>
        <w:autoSpaceDN/>
        <w:bidi w:val="0"/>
        <w:adjustRightInd/>
        <w:snapToGrid/>
        <w:ind w:firstLine="643" w:firstLineChars="200"/>
        <w:textAlignment w:val="auto"/>
        <w:rPr>
          <w:rFonts w:hint="default"/>
          <w:b/>
          <w:bCs/>
          <w:color w:val="auto"/>
          <w:sz w:val="32"/>
          <w:szCs w:val="28"/>
          <w:lang w:val="en-US" w:eastAsia="zh-CN"/>
        </w:rPr>
      </w:pPr>
      <w:r>
        <w:rPr>
          <w:rFonts w:hint="eastAsia"/>
          <w:b/>
          <w:bCs/>
          <w:color w:val="auto"/>
          <w:sz w:val="32"/>
          <w:szCs w:val="28"/>
          <w:lang w:val="en-US" w:eastAsia="zh-CN"/>
        </w:rPr>
        <w:t>4.承诺在合同规定时间内供货及产品质保期内5*12小时现场服务工作制，7*24小时电话支持，4小时到达现场，8小时解决问题。</w:t>
      </w:r>
    </w:p>
    <w:p>
      <w:pPr>
        <w:pStyle w:val="4"/>
        <w:pageBreakBefore w:val="0"/>
        <w:widowControl w:val="0"/>
        <w:kinsoku/>
        <w:wordWrap/>
        <w:overflowPunct/>
        <w:topLinePunct w:val="0"/>
        <w:autoSpaceDE/>
        <w:autoSpaceDN/>
        <w:bidi w:val="0"/>
        <w:adjustRightInd/>
        <w:snapToGrid/>
        <w:ind w:firstLine="643" w:firstLineChars="200"/>
        <w:textAlignment w:val="auto"/>
        <w:rPr>
          <w:color w:val="auto"/>
          <w:sz w:val="32"/>
          <w:szCs w:val="28"/>
        </w:rPr>
      </w:pPr>
      <w:r>
        <w:rPr>
          <w:rFonts w:hint="eastAsia"/>
          <w:color w:val="auto"/>
          <w:sz w:val="32"/>
          <w:szCs w:val="28"/>
        </w:rPr>
        <w:t>（</w:t>
      </w:r>
      <w:r>
        <w:rPr>
          <w:rFonts w:hint="eastAsia"/>
          <w:color w:val="auto"/>
          <w:sz w:val="32"/>
          <w:szCs w:val="28"/>
          <w:lang w:val="en-US" w:eastAsia="zh-CN"/>
        </w:rPr>
        <w:t>四</w:t>
      </w:r>
      <w:r>
        <w:rPr>
          <w:rFonts w:hint="eastAsia"/>
          <w:color w:val="auto"/>
          <w:sz w:val="32"/>
          <w:szCs w:val="28"/>
        </w:rPr>
        <w:t>）履约方式及程序</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1.协议签订：浙江省政府采购中心与入围供应商签订框架协议。各级财政部门、集中采购机构另有约定的，与入围供应商另行协商确定。</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2.成交供应商的确定：本次框架协议第二阶段成交供应商的确定方式为直接选定。采购人依据入围产品价格、质量及服务便利性、用户评价等因素，从入围供应商或其委托的代理商中直接选定，并授予合同。入围供应商或其委托的代理商应在两个工作日内接受合同授予，无正当理由不得拒绝。</w:t>
      </w:r>
    </w:p>
    <w:p>
      <w:pPr>
        <w:pageBreakBefore w:val="0"/>
        <w:widowControl w:val="0"/>
        <w:kinsoku/>
        <w:wordWrap/>
        <w:overflowPunct/>
        <w:topLinePunct w:val="0"/>
        <w:autoSpaceDE/>
        <w:autoSpaceDN/>
        <w:bidi w:val="0"/>
        <w:adjustRightInd/>
        <w:snapToGrid/>
        <w:ind w:firstLine="640" w:firstLineChars="200"/>
        <w:textAlignment w:val="auto"/>
        <w:rPr>
          <w:rFonts w:hint="default"/>
          <w:color w:val="auto"/>
          <w:sz w:val="32"/>
          <w:szCs w:val="28"/>
          <w:lang w:val="en-US" w:eastAsia="zh-CN"/>
        </w:rPr>
      </w:pPr>
      <w:r>
        <w:rPr>
          <w:rFonts w:hint="eastAsia"/>
          <w:color w:val="auto"/>
          <w:sz w:val="32"/>
          <w:szCs w:val="28"/>
        </w:rPr>
        <w:t>3.成交价格：入围供应商的响应报价是采购人确定第二阶段成交供应商的最高限价，采购人可以与成交供应商在限价范围内协商确定最终成交价格。</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4.合同授予：入围供应商可以直接接受采购人合同授予，也可以委托一家或多家代理商接受采购人合同授予并履行采购合同。入围供应商及其代理商应当根据框架协议的约定，向各采购人提供入围产品和服务。入围供应商可设定自身及代理商的具体履约范围，但必须确保自身及代理商的履约范围合并后覆盖本次框架协议全部适用范围和地域范围。</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入围供应商应当在框架协议中提供委托协议和委托的代理商名单，并在框架协议模块中完成委托、申请等事项，经征集人审核通过后将其纳入代理商。框架协议有效期内，委托代理商发生变动的，入围供应商应及时向征集人申请委托代理商变更。</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（1）代理商条件</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入围供应商选择代理商时，应确保其在对应供货范围内有较好履行采购合同的能力，并符合以下基本条件：</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①符合《中华人民共和国政府采购法》第二十二条规定；</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②未被“信用中国”（www.creditchina.gov.cn）、中国政府采购网（www.ccgp.gov.cn）列入失信被执行人、重大税收违法案件当事人名单、政府采购严重违法失信行为记录名单；</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③未发生过本次框架协议有效期内被终止委托协议的。</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（2）委托代理商程序</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①代理商完成浙江政府采购网供应商登记手续。</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②入围供应商选择代理商发起委托，代理商同意后在线签订委托协议。</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③入围供应商向征集人申请增加委托代理商，由征集人在3个工作日内进行审核。审核通过后即可生效，如审核不通过的，由征集人驳回申请并说明理由。</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（3）代理商管理</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入围供应商负责其委托的代理商管理，并在框架协议范围内承担连带责任。代理商根据与入围供应商签订的委托协议开展活动，其行为的法律后果由入围供应商承担。</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框架协议有效期内，入围供应商委托的代理商存在无正当理由据不接受合同授予，或者不履行合同义务或履行合同义务不符合规定的，经采购人请求履行后仍不履行或仍未按约定履行，或者存在因违法行为被禁止或限制参加政府采购活动的情形的，入围供应商应当终止与其签订的委托协议，并按照框架协议约定，积极协调其委托的其他代理商接受合同授予，履行合同义务，确保采购活动顺利完成。</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5.产品管理：入围供应商负责入围产品的日常维护。</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（1）产品上架</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供应商响应时在系统录入的产品，将在入围并签订框架协议后自动转为入围产品，在框架协议模块中对外展示。</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（2）产品更新</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协议有效期内，如产品及价格发生变更、产品升级换代或替代的，入围供应商应当通过系统向征集人发起变更申请，经征集人审核通过后生效。</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①申请产品信息变更、升级换代或用新产品替代的，变更后的产品配置参数、服务内容等不得低于原入围产品。</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lang w:val="en-US" w:eastAsia="zh-CN"/>
        </w:rPr>
      </w:pPr>
      <w:r>
        <w:rPr>
          <w:rFonts w:hint="eastAsia"/>
          <w:color w:val="auto"/>
          <w:sz w:val="32"/>
          <w:szCs w:val="28"/>
        </w:rPr>
        <w:t>②申请价格变更的，变更后的价格不得高于原入围价格</w:t>
      </w:r>
      <w:r>
        <w:rPr>
          <w:rFonts w:hint="eastAsia"/>
          <w:color w:val="auto"/>
          <w:sz w:val="32"/>
          <w:szCs w:val="28"/>
          <w:lang w:val="en-US" w:eastAsia="zh-CN"/>
        </w:rPr>
        <w:t>。</w:t>
      </w:r>
    </w:p>
    <w:p>
      <w:pPr>
        <w:pStyle w:val="3"/>
        <w:pageBreakBefore w:val="0"/>
        <w:widowControl w:val="0"/>
        <w:kinsoku/>
        <w:wordWrap/>
        <w:overflowPunct/>
        <w:topLinePunct w:val="0"/>
        <w:autoSpaceDE/>
        <w:autoSpaceDN/>
        <w:bidi w:val="0"/>
        <w:adjustRightInd/>
        <w:snapToGrid/>
        <w:ind w:firstLine="643" w:firstLineChars="200"/>
        <w:textAlignment w:val="auto"/>
        <w:rPr>
          <w:color w:val="auto"/>
          <w:sz w:val="32"/>
          <w:szCs w:val="28"/>
        </w:rPr>
      </w:pPr>
      <w:r>
        <w:rPr>
          <w:rFonts w:hint="eastAsia"/>
          <w:color w:val="auto"/>
          <w:sz w:val="32"/>
          <w:szCs w:val="28"/>
          <w:lang w:val="en-US" w:eastAsia="zh-CN"/>
        </w:rPr>
        <w:t>三</w:t>
      </w:r>
      <w:r>
        <w:rPr>
          <w:rFonts w:hint="eastAsia"/>
          <w:color w:val="auto"/>
          <w:sz w:val="32"/>
          <w:szCs w:val="28"/>
        </w:rPr>
        <w:t>、履约监督</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征集人对入围供应商及其代理商履约情况进行管理，形式包括但不限于专项检查、随机抽查、交易纠纷申诉，检查及处理情况在政采云平台框架协议模块中公布。</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（一）入围供应商或者其代理商有下列情形之一的，征集人依照《政府采购框架协议采购方式管理暂行办法》（财政部令110号），本项目征集文件、框架协议、</w:t>
      </w:r>
      <w:r>
        <w:rPr>
          <w:rFonts w:hint="eastAsia"/>
          <w:b/>
          <w:bCs/>
          <w:color w:val="auto"/>
          <w:sz w:val="32"/>
          <w:szCs w:val="28"/>
          <w:lang w:val="en-US" w:eastAsia="zh-CN"/>
        </w:rPr>
        <w:t>承诺书</w:t>
      </w:r>
      <w:r>
        <w:rPr>
          <w:rFonts w:hint="eastAsia"/>
          <w:color w:val="auto"/>
          <w:sz w:val="32"/>
          <w:szCs w:val="28"/>
          <w:lang w:val="en-US" w:eastAsia="zh-CN"/>
        </w:rPr>
        <w:t>、</w:t>
      </w:r>
      <w:r>
        <w:rPr>
          <w:rFonts w:hint="eastAsia"/>
          <w:color w:val="auto"/>
          <w:sz w:val="32"/>
          <w:szCs w:val="28"/>
        </w:rPr>
        <w:t>采购合同等相关规定或者约定，视情形对其作出约谈整改、暂停或者取消采购合同授予资格、暂停框架协议资格。</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1.未按照框架协议约定规则签订合同，或者与采购人订立背离框架协议实质性内容的采购合同的；</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2.未按照采购合同的约定供货或提供其他服务的；</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3.实际供货产品与上架产品信息不符，与国家规定或者响应文件承诺标准不一致，或者产品有质量瑕疵的；</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4.无故不提供框架协议供货范围内部分产品的；</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5.未及时更新维护产品及代理商信息，影响采购人采购的；</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6.证明能够以更低价格向非入围供应商采购相同货物，不同意将价格降至非入围供应商以下的；</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7.有违反框架协议</w:t>
      </w:r>
      <w:r>
        <w:rPr>
          <w:rFonts w:hint="eastAsia"/>
          <w:color w:val="auto"/>
          <w:sz w:val="32"/>
          <w:szCs w:val="28"/>
          <w:lang w:eastAsia="zh-CN"/>
        </w:rPr>
        <w:t>、</w:t>
      </w:r>
      <w:r>
        <w:rPr>
          <w:rFonts w:hint="eastAsia"/>
          <w:b/>
          <w:bCs/>
          <w:color w:val="auto"/>
          <w:sz w:val="32"/>
          <w:szCs w:val="28"/>
          <w:lang w:val="en-US" w:eastAsia="zh-CN"/>
        </w:rPr>
        <w:t>承诺书</w:t>
      </w:r>
      <w:r>
        <w:rPr>
          <w:rFonts w:hint="eastAsia"/>
          <w:color w:val="auto"/>
          <w:sz w:val="32"/>
          <w:szCs w:val="28"/>
        </w:rPr>
        <w:t>或者采购合同约定其他情形的。</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（二）入围供应商有下列情形之一，尚未签订框架协议的，取消其入围资格；已经签订框架协议的，解除与其签订的框架协议：</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1.恶意串通谋取入围或者合同成交的；</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2.提供虚假材料谋取入围或者合同成交的；</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3.无正当理由拒不接受合同授予的；</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4.提供假冒伪劣产品的；</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5.不履行合同义务或者履行合同义务不符合约定，经采购人请求履行后仍不履行或者仍未按约定履行的；</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6.框架协议有效期内，因违法行为被禁止或限制参加政府采购活动的；</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7.委托的代理商中有3家及以上因违规违约被暂停采购合同授予资格的；</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8.委托的代理商中有被取消采购合同授予资格的；</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9.入围产品因停产等原因无法供货，且超过2周无法更新产品的；</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10.入围供应商或者其代理商超过2周无法按照框架协议约定的全部供货范围或者特定供货范围供货的；</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11.入围供应商发生实质性变更，不再符合本框架协议采购资格条件的，包括但不限于企业注销或者应当注销、丧失履行本框架协议资质或者能力等；</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12.框架协议约定的其他情形。</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（三）入围供应商无正当理由拒不签订框架协议的，由征集人取消其入围资格。</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被取消入围资格或者被解除框架协议的供应商不得参加本框架协议的补充征集。</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入围供应商有上述（一）、（二）、（三）情形之一，以及无正当理由放弃本框架协议入围资格或者退出本框架协议的，由征集人移送省财政厅依照政府采购法等有关法律、行政法规追究法律责任。</w:t>
      </w:r>
    </w:p>
    <w:p>
      <w:pPr>
        <w:pStyle w:val="3"/>
        <w:pageBreakBefore w:val="0"/>
        <w:widowControl w:val="0"/>
        <w:kinsoku/>
        <w:wordWrap/>
        <w:overflowPunct/>
        <w:topLinePunct w:val="0"/>
        <w:autoSpaceDE/>
        <w:autoSpaceDN/>
        <w:bidi w:val="0"/>
        <w:adjustRightInd/>
        <w:snapToGrid/>
        <w:ind w:firstLine="643" w:firstLineChars="200"/>
        <w:textAlignment w:val="auto"/>
        <w:rPr>
          <w:rFonts w:hint="eastAsia"/>
          <w:color w:val="auto"/>
          <w:sz w:val="32"/>
          <w:szCs w:val="28"/>
        </w:rPr>
      </w:pPr>
      <w:r>
        <w:rPr>
          <w:rFonts w:hint="eastAsia"/>
          <w:color w:val="auto"/>
          <w:sz w:val="32"/>
          <w:szCs w:val="28"/>
          <w:lang w:val="en-US" w:eastAsia="zh-CN"/>
        </w:rPr>
        <w:t>四</w:t>
      </w:r>
      <w:r>
        <w:rPr>
          <w:rFonts w:hint="eastAsia"/>
          <w:color w:val="auto"/>
          <w:sz w:val="32"/>
          <w:szCs w:val="28"/>
        </w:rPr>
        <w:t>、其他事项</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（一）供应商通过框架协议模块参与框架协议，相关系统操作详见浙江政府采购网（</w:t>
      </w:r>
      <w:r>
        <w:rPr>
          <w:rFonts w:hint="eastAsia"/>
          <w:color w:val="auto"/>
          <w:sz w:val="32"/>
          <w:szCs w:val="28"/>
        </w:rPr>
        <w:fldChar w:fldCharType="begin"/>
      </w:r>
      <w:r>
        <w:rPr>
          <w:rFonts w:hint="eastAsia"/>
          <w:color w:val="auto"/>
          <w:sz w:val="32"/>
          <w:szCs w:val="28"/>
        </w:rPr>
        <w:instrText xml:space="preserve"> HYPERLINK "http://zfcg.czt.zj.gov.cn/" </w:instrText>
      </w:r>
      <w:r>
        <w:rPr>
          <w:rFonts w:hint="eastAsia"/>
          <w:color w:val="auto"/>
          <w:sz w:val="32"/>
          <w:szCs w:val="28"/>
        </w:rPr>
        <w:fldChar w:fldCharType="separate"/>
      </w:r>
      <w:r>
        <w:rPr>
          <w:rStyle w:val="21"/>
          <w:rFonts w:hint="eastAsia" w:ascii="仿宋" w:hAnsi="仿宋" w:eastAsia="仿宋" w:cs="仿宋"/>
          <w:color w:val="auto"/>
          <w:sz w:val="32"/>
          <w:szCs w:val="36"/>
        </w:rPr>
        <w:t>http://zfcg.czt.zj.gov.cn/</w:t>
      </w:r>
      <w:r>
        <w:rPr>
          <w:rFonts w:hint="eastAsia"/>
          <w:color w:val="auto"/>
          <w:sz w:val="32"/>
          <w:szCs w:val="28"/>
        </w:rPr>
        <w:fldChar w:fldCharType="end"/>
      </w:r>
      <w:r>
        <w:rPr>
          <w:rFonts w:hint="eastAsia"/>
          <w:color w:val="auto"/>
          <w:sz w:val="32"/>
          <w:szCs w:val="28"/>
        </w:rPr>
        <w:t>）“网上办事指南”模块下载操作手册。</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（二）采购人证明能够以更低价格向非入围供应商采购相同货物，且入围供应商不同意将价格降至非入围供应商以下的，可以将合同授予非入围供应商。</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采购人拟将合同授予非入围供应商的，须以意向价格向该产品入围供应商及其所有代理商授予合同，入围供应商及其代理商均不同意时，采购人方可将合同授予非入围供应商。采购人应当在确定成交供应商后1个工作日内，将成交结果抄送征集人，由征集人按照单笔公告要求发布成交结果公告。采购人应当将相关证明材料和采购合同一并存档备查。</w:t>
      </w:r>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三）征集人将通过框架协议模块建立用户反馈和评价机制，接受采购人和服务对象对入围供应商履行框架协议和采购合同情况的反馈与评价，并将用户反馈和评价情况向采购人和服务对象公开，作为第二阶段直接选定成交供应商的参考。</w:t>
      </w:r>
    </w:p>
    <w:p>
      <w:pPr>
        <w:pStyle w:val="11"/>
        <w:snapToGrid w:val="0"/>
        <w:spacing w:beforeLines="0" w:afterLines="0" w:line="360" w:lineRule="auto"/>
        <w:ind w:left="0" w:leftChars="0" w:firstLine="0" w:firstLineChars="0"/>
        <w:jc w:val="center"/>
        <w:outlineLvl w:val="0"/>
        <w:rPr>
          <w:rStyle w:val="27"/>
          <w:color w:val="auto"/>
        </w:rPr>
      </w:pPr>
      <w:r>
        <w:rPr>
          <w:rFonts w:hAnsi="宋体"/>
          <w:b/>
          <w:color w:val="auto"/>
          <w:sz w:val="36"/>
          <w:szCs w:val="36"/>
        </w:rPr>
        <w:br w:type="page"/>
      </w:r>
      <w:bookmarkStart w:id="19" w:name="_Toc20296"/>
      <w:bookmarkStart w:id="20" w:name="_Toc29182"/>
      <w:r>
        <w:rPr>
          <w:rStyle w:val="27"/>
          <w:rFonts w:hint="eastAsia"/>
          <w:color w:val="auto"/>
        </w:rPr>
        <w:t xml:space="preserve">第五章 </w:t>
      </w:r>
      <w:r>
        <w:rPr>
          <w:rStyle w:val="27"/>
          <w:rFonts w:hint="eastAsia"/>
          <w:color w:val="auto"/>
          <w:lang w:eastAsia="zh-CN"/>
        </w:rPr>
        <w:t>2025年度浙江省预算单位服务器封闭式框架协议</w:t>
      </w:r>
      <w:r>
        <w:rPr>
          <w:rStyle w:val="27"/>
          <w:rFonts w:hint="eastAsia"/>
          <w:color w:val="auto"/>
        </w:rPr>
        <w:t>（封闭式）</w:t>
      </w:r>
      <w:bookmarkEnd w:id="19"/>
      <w:bookmarkEnd w:id="20"/>
    </w:p>
    <w:p>
      <w:pPr>
        <w:snapToGrid w:val="0"/>
        <w:rPr>
          <w:rFonts w:ascii="宋体" w:hAnsi="宋体"/>
          <w:color w:val="auto"/>
        </w:rPr>
      </w:pPr>
    </w:p>
    <w:p>
      <w:pPr>
        <w:pStyle w:val="11"/>
        <w:wordWrap w:val="0"/>
        <w:snapToGrid w:val="0"/>
        <w:spacing w:beforeLines="0" w:afterLines="0" w:line="240" w:lineRule="auto"/>
        <w:jc w:val="right"/>
        <w:rPr>
          <w:rFonts w:hAnsi="宋体"/>
          <w:color w:val="auto"/>
          <w:sz w:val="28"/>
          <w:szCs w:val="28"/>
        </w:rPr>
      </w:pPr>
      <w:r>
        <w:rPr>
          <w:rFonts w:hint="eastAsia" w:hAnsi="宋体"/>
          <w:color w:val="auto"/>
          <w:sz w:val="28"/>
          <w:szCs w:val="28"/>
        </w:rPr>
        <w:t xml:space="preserve"> 协议编号：            </w:t>
      </w:r>
    </w:p>
    <w:p>
      <w:pPr>
        <w:pStyle w:val="11"/>
        <w:snapToGrid w:val="0"/>
        <w:spacing w:beforeLines="0" w:afterLines="0" w:line="240" w:lineRule="auto"/>
        <w:jc w:val="left"/>
        <w:rPr>
          <w:rFonts w:hAnsi="宋体"/>
          <w:color w:val="auto"/>
          <w:sz w:val="30"/>
          <w:szCs w:val="30"/>
        </w:rPr>
      </w:pPr>
    </w:p>
    <w:p>
      <w:pPr>
        <w:snapToGrid w:val="0"/>
        <w:spacing w:line="460" w:lineRule="exact"/>
        <w:ind w:firstLine="301" w:firstLineChars="100"/>
        <w:rPr>
          <w:rFonts w:ascii="宋体" w:hAnsi="宋体"/>
          <w:b/>
          <w:color w:val="auto"/>
          <w:sz w:val="30"/>
          <w:szCs w:val="30"/>
        </w:rPr>
      </w:pPr>
      <w:r>
        <w:rPr>
          <w:rFonts w:hint="eastAsia" w:ascii="宋体" w:hAnsi="宋体"/>
          <w:b/>
          <w:bCs/>
          <w:color w:val="auto"/>
          <w:sz w:val="30"/>
          <w:szCs w:val="30"/>
        </w:rPr>
        <w:t>甲方（征集人）</w:t>
      </w:r>
      <w:r>
        <w:rPr>
          <w:rFonts w:hint="eastAsia" w:ascii="宋体" w:hAnsi="宋体"/>
          <w:color w:val="auto"/>
          <w:sz w:val="30"/>
          <w:szCs w:val="30"/>
        </w:rPr>
        <w:t>：</w:t>
      </w:r>
      <w:r>
        <w:rPr>
          <w:rFonts w:hint="eastAsia" w:ascii="宋体" w:hAnsi="宋体"/>
          <w:b/>
          <w:color w:val="auto"/>
          <w:sz w:val="30"/>
          <w:szCs w:val="30"/>
        </w:rPr>
        <w:t>浙江省政府采购中心</w:t>
      </w:r>
    </w:p>
    <w:p>
      <w:pPr>
        <w:snapToGrid w:val="0"/>
        <w:spacing w:line="460" w:lineRule="exact"/>
        <w:ind w:firstLine="300" w:firstLineChars="100"/>
        <w:rPr>
          <w:rFonts w:ascii="宋体" w:hAnsi="宋体"/>
          <w:color w:val="auto"/>
          <w:sz w:val="30"/>
          <w:szCs w:val="30"/>
        </w:rPr>
      </w:pPr>
    </w:p>
    <w:p>
      <w:pPr>
        <w:snapToGrid w:val="0"/>
        <w:spacing w:line="460" w:lineRule="exact"/>
        <w:ind w:firstLine="301" w:firstLineChars="100"/>
        <w:rPr>
          <w:rFonts w:ascii="宋体" w:hAnsi="宋体"/>
          <w:color w:val="auto"/>
          <w:sz w:val="30"/>
          <w:szCs w:val="30"/>
        </w:rPr>
      </w:pPr>
      <w:r>
        <w:rPr>
          <w:rFonts w:hint="eastAsia" w:ascii="宋体" w:hAnsi="宋体"/>
          <w:b/>
          <w:bCs/>
          <w:color w:val="auto"/>
          <w:sz w:val="30"/>
          <w:szCs w:val="30"/>
        </w:rPr>
        <w:t>乙方（入围供应商）</w:t>
      </w:r>
      <w:r>
        <w:rPr>
          <w:rFonts w:hint="eastAsia" w:ascii="宋体" w:hAnsi="宋体"/>
          <w:color w:val="auto"/>
          <w:sz w:val="30"/>
          <w:szCs w:val="30"/>
        </w:rPr>
        <w:t xml:space="preserve">： </w:t>
      </w:r>
    </w:p>
    <w:p>
      <w:pPr>
        <w:pStyle w:val="11"/>
        <w:adjustRightInd w:val="0"/>
        <w:snapToGrid w:val="0"/>
        <w:spacing w:beforeLines="0" w:afterLines="0" w:line="460" w:lineRule="exact"/>
        <w:ind w:firstLine="594" w:firstLineChars="198"/>
        <w:rPr>
          <w:rFonts w:hAnsi="宋体"/>
          <w:snapToGrid w:val="0"/>
          <w:color w:val="auto"/>
          <w:sz w:val="30"/>
          <w:szCs w:val="30"/>
        </w:rPr>
      </w:pPr>
    </w:p>
    <w:p>
      <w:pPr>
        <w:pStyle w:val="11"/>
        <w:adjustRightInd w:val="0"/>
        <w:snapToGrid w:val="0"/>
        <w:spacing w:beforeLines="0" w:afterLines="0" w:line="360" w:lineRule="auto"/>
        <w:ind w:firstLine="633" w:firstLineChars="198"/>
        <w:rPr>
          <w:rFonts w:hint="eastAsia" w:ascii="仿宋" w:hAnsi="仿宋" w:eastAsia="仿宋" w:cs="仿宋"/>
          <w:b/>
          <w:snapToGrid w:val="0"/>
          <w:color w:val="auto"/>
          <w:sz w:val="32"/>
          <w:szCs w:val="32"/>
        </w:rPr>
      </w:pPr>
      <w:r>
        <w:rPr>
          <w:rFonts w:hint="eastAsia" w:ascii="仿宋" w:hAnsi="仿宋" w:eastAsia="仿宋" w:cs="仿宋"/>
          <w:snapToGrid w:val="0"/>
          <w:color w:val="auto"/>
          <w:sz w:val="32"/>
          <w:szCs w:val="32"/>
        </w:rPr>
        <w:t>甲、乙双方根据</w:t>
      </w:r>
      <w:r>
        <w:rPr>
          <w:rFonts w:hint="eastAsia" w:ascii="仿宋" w:hAnsi="仿宋" w:eastAsia="仿宋" w:cs="仿宋"/>
          <w:snapToGrid w:val="0"/>
          <w:color w:val="auto"/>
          <w:sz w:val="32"/>
          <w:szCs w:val="32"/>
          <w:lang w:eastAsia="zh-CN"/>
        </w:rPr>
        <w:t>2025年度浙江省预算单位服务器封闭式框架协议项目</w:t>
      </w:r>
      <w:r>
        <w:rPr>
          <w:rFonts w:hint="eastAsia" w:ascii="仿宋" w:hAnsi="仿宋" w:eastAsia="仿宋" w:cs="仿宋"/>
          <w:snapToGrid w:val="0"/>
          <w:color w:val="auto"/>
          <w:sz w:val="32"/>
          <w:szCs w:val="32"/>
        </w:rPr>
        <w:t>采购（项目编号ZZCG202</w:t>
      </w:r>
      <w:r>
        <w:rPr>
          <w:rFonts w:hint="eastAsia" w:ascii="仿宋" w:hAnsi="仿宋" w:eastAsia="仿宋" w:cs="仿宋"/>
          <w:snapToGrid w:val="0"/>
          <w:color w:val="auto"/>
          <w:sz w:val="32"/>
          <w:szCs w:val="32"/>
          <w:lang w:val="en-US" w:eastAsia="zh-CN"/>
        </w:rPr>
        <w:t>4J</w:t>
      </w:r>
      <w:r>
        <w:rPr>
          <w:rFonts w:hint="eastAsia" w:ascii="仿宋" w:hAnsi="仿宋" w:eastAsia="仿宋" w:cs="仿宋"/>
          <w:snapToGrid w:val="0"/>
          <w:color w:val="auto"/>
          <w:sz w:val="32"/>
          <w:szCs w:val="32"/>
        </w:rPr>
        <w:t>-</w:t>
      </w:r>
      <w:r>
        <w:rPr>
          <w:rFonts w:hint="eastAsia" w:ascii="仿宋" w:hAnsi="仿宋" w:eastAsia="仿宋" w:cs="仿宋"/>
          <w:snapToGrid w:val="0"/>
          <w:color w:val="auto"/>
          <w:sz w:val="32"/>
          <w:szCs w:val="32"/>
          <w:lang w:val="en-US" w:eastAsia="zh-CN"/>
        </w:rPr>
        <w:t>ZJ</w:t>
      </w:r>
      <w:r>
        <w:rPr>
          <w:rFonts w:hint="eastAsia" w:ascii="仿宋" w:hAnsi="仿宋" w:eastAsia="仿宋" w:cs="仿宋"/>
          <w:snapToGrid w:val="0"/>
          <w:color w:val="auto"/>
          <w:sz w:val="32"/>
          <w:szCs w:val="32"/>
        </w:rPr>
        <w:t>-00</w:t>
      </w:r>
      <w:r>
        <w:rPr>
          <w:rFonts w:hint="eastAsia" w:ascii="仿宋" w:hAnsi="仿宋" w:eastAsia="仿宋" w:cs="仿宋"/>
          <w:snapToGrid w:val="0"/>
          <w:color w:val="auto"/>
          <w:sz w:val="32"/>
          <w:szCs w:val="32"/>
          <w:lang w:val="en-US" w:eastAsia="zh-CN"/>
        </w:rPr>
        <w:t>4</w:t>
      </w:r>
      <w:r>
        <w:rPr>
          <w:rFonts w:hint="eastAsia" w:ascii="仿宋" w:hAnsi="仿宋" w:eastAsia="仿宋" w:cs="仿宋"/>
          <w:snapToGrid w:val="0"/>
          <w:color w:val="auto"/>
          <w:sz w:val="32"/>
          <w:szCs w:val="32"/>
        </w:rPr>
        <w:t>）</w:t>
      </w:r>
      <w:r>
        <w:rPr>
          <w:rFonts w:hint="eastAsia" w:ascii="仿宋" w:hAnsi="仿宋" w:eastAsia="仿宋" w:cs="仿宋"/>
          <w:color w:val="auto"/>
          <w:sz w:val="32"/>
          <w:szCs w:val="32"/>
        </w:rPr>
        <w:t>的</w:t>
      </w:r>
      <w:r>
        <w:rPr>
          <w:rFonts w:hint="eastAsia" w:ascii="仿宋" w:hAnsi="仿宋" w:eastAsia="仿宋" w:cs="仿宋"/>
          <w:snapToGrid w:val="0"/>
          <w:color w:val="auto"/>
          <w:sz w:val="32"/>
          <w:szCs w:val="32"/>
        </w:rPr>
        <w:t>征集的结果，签署本协议</w:t>
      </w:r>
      <w:r>
        <w:rPr>
          <w:rFonts w:hint="eastAsia" w:ascii="仿宋" w:hAnsi="仿宋" w:eastAsia="仿宋" w:cs="仿宋"/>
          <w:snapToGrid w:val="0"/>
          <w:color w:val="auto"/>
          <w:kern w:val="0"/>
          <w:sz w:val="32"/>
          <w:szCs w:val="32"/>
        </w:rPr>
        <w:t>（以下简称“协议”）</w:t>
      </w:r>
      <w:r>
        <w:rPr>
          <w:rFonts w:hint="eastAsia" w:ascii="仿宋" w:hAnsi="仿宋" w:eastAsia="仿宋" w:cs="仿宋"/>
          <w:snapToGrid w:val="0"/>
          <w:color w:val="auto"/>
          <w:sz w:val="32"/>
          <w:szCs w:val="32"/>
        </w:rPr>
        <w:t>。协议期内，</w:t>
      </w:r>
      <w:r>
        <w:rPr>
          <w:rFonts w:hint="eastAsia" w:ascii="仿宋" w:hAnsi="仿宋" w:eastAsia="仿宋" w:cs="仿宋"/>
          <w:snapToGrid w:val="0"/>
          <w:color w:val="auto"/>
          <w:kern w:val="0"/>
          <w:sz w:val="32"/>
          <w:szCs w:val="32"/>
        </w:rPr>
        <w:t>乙方、采购人</w:t>
      </w:r>
      <w:r>
        <w:rPr>
          <w:rFonts w:hint="eastAsia" w:ascii="仿宋" w:hAnsi="仿宋" w:eastAsia="仿宋" w:cs="仿宋"/>
          <w:snapToGrid w:val="0"/>
          <w:color w:val="auto"/>
          <w:sz w:val="32"/>
          <w:szCs w:val="32"/>
        </w:rPr>
        <w:t>双方</w:t>
      </w:r>
      <w:r>
        <w:rPr>
          <w:rFonts w:hint="eastAsia" w:ascii="仿宋" w:hAnsi="仿宋" w:eastAsia="仿宋" w:cs="仿宋"/>
          <w:snapToGrid w:val="0"/>
          <w:color w:val="auto"/>
          <w:kern w:val="0"/>
          <w:sz w:val="32"/>
          <w:szCs w:val="32"/>
        </w:rPr>
        <w:t>签署《政府采购合同》（以下简称“合同”）。</w:t>
      </w:r>
    </w:p>
    <w:p>
      <w:pPr>
        <w:pStyle w:val="11"/>
        <w:snapToGrid w:val="0"/>
        <w:spacing w:beforeLines="0" w:afterLines="0" w:line="360" w:lineRule="auto"/>
        <w:ind w:firstLine="643" w:firstLineChars="200"/>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rPr>
        <w:t>一、定义</w:t>
      </w:r>
    </w:p>
    <w:p>
      <w:pPr>
        <w:snapToGrid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本协议中的下列术语应解释为：</w:t>
      </w:r>
    </w:p>
    <w:p>
      <w:pPr>
        <w:snapToGrid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1.“协议”系指甲方与乙方签署的、载明甲方与乙方协利义务的协议，包括所有的附件、附录和其他构成协议的所有文件。</w:t>
      </w:r>
    </w:p>
    <w:p>
      <w:pPr>
        <w:snapToGrid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2.“甲方”系指浙江省政府采购中心。甲方不作为协议一方具体参加合同的实际履行。在实际履行中由采购人与乙方另行签订具体合同。</w:t>
      </w:r>
    </w:p>
    <w:p>
      <w:pPr>
        <w:snapToGrid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3.“乙方”系指本次入围供应商，乙方及其委托的代理商为</w:t>
      </w:r>
      <w:r>
        <w:rPr>
          <w:rFonts w:hint="eastAsia" w:ascii="仿宋" w:hAnsi="仿宋" w:eastAsia="仿宋" w:cs="仿宋"/>
          <w:color w:val="auto"/>
          <w:sz w:val="32"/>
          <w:szCs w:val="32"/>
          <w:lang w:eastAsia="zh-CN"/>
        </w:rPr>
        <w:t>浙江省各级</w:t>
      </w:r>
      <w:r>
        <w:rPr>
          <w:rFonts w:hint="eastAsia" w:ascii="仿宋" w:hAnsi="仿宋" w:eastAsia="仿宋" w:cs="仿宋"/>
          <w:color w:val="auto"/>
          <w:sz w:val="32"/>
          <w:szCs w:val="32"/>
        </w:rPr>
        <w:t>预算单位提供</w:t>
      </w:r>
      <w:r>
        <w:rPr>
          <w:rFonts w:hint="eastAsia" w:ascii="仿宋" w:hAnsi="仿宋" w:eastAsia="仿宋" w:cs="仿宋"/>
          <w:color w:val="auto"/>
          <w:sz w:val="32"/>
          <w:szCs w:val="32"/>
          <w:lang w:val="en-US" w:eastAsia="zh-CN"/>
        </w:rPr>
        <w:t>服务器</w:t>
      </w:r>
      <w:r>
        <w:rPr>
          <w:rFonts w:hint="eastAsia" w:ascii="仿宋" w:hAnsi="仿宋" w:eastAsia="仿宋" w:cs="仿宋"/>
          <w:color w:val="auto"/>
          <w:sz w:val="32"/>
          <w:szCs w:val="32"/>
        </w:rPr>
        <w:t>及</w:t>
      </w:r>
      <w:r>
        <w:rPr>
          <w:rFonts w:hint="eastAsia" w:ascii="仿宋" w:hAnsi="仿宋" w:eastAsia="仿宋" w:cs="仿宋"/>
          <w:color w:val="auto"/>
          <w:sz w:val="32"/>
          <w:szCs w:val="32"/>
          <w:lang w:eastAsia="zh-CN"/>
        </w:rPr>
        <w:t>配套</w:t>
      </w:r>
      <w:r>
        <w:rPr>
          <w:rFonts w:hint="eastAsia" w:ascii="仿宋" w:hAnsi="仿宋" w:eastAsia="仿宋" w:cs="仿宋"/>
          <w:color w:val="auto"/>
          <w:sz w:val="32"/>
          <w:szCs w:val="32"/>
        </w:rPr>
        <w:t>服务。</w:t>
      </w:r>
    </w:p>
    <w:p>
      <w:pPr>
        <w:snapToGrid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4.“采购人”系指浙江省各级预算单位，与甲方享有同等权力。本协议下述各处所指甲方同时包含采购人。</w:t>
      </w:r>
    </w:p>
    <w:p>
      <w:pPr>
        <w:snapToGrid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5.“征集文件”是指“</w:t>
      </w:r>
      <w:r>
        <w:rPr>
          <w:rFonts w:hint="eastAsia" w:ascii="仿宋" w:hAnsi="仿宋" w:eastAsia="仿宋" w:cs="仿宋"/>
          <w:color w:val="auto"/>
          <w:sz w:val="32"/>
          <w:szCs w:val="32"/>
          <w:lang w:eastAsia="zh-CN"/>
        </w:rPr>
        <w:t>2025年度浙江省预算单位服务器封闭式框架协议采购项目</w:t>
      </w:r>
      <w:r>
        <w:rPr>
          <w:rFonts w:hint="eastAsia" w:ascii="仿宋" w:hAnsi="仿宋" w:eastAsia="仿宋" w:cs="仿宋"/>
          <w:color w:val="auto"/>
          <w:sz w:val="32"/>
          <w:szCs w:val="32"/>
        </w:rPr>
        <w:t>”征集文件。</w:t>
      </w:r>
    </w:p>
    <w:p>
      <w:pPr>
        <w:snapToGrid w:val="0"/>
        <w:spacing w:line="360" w:lineRule="auto"/>
        <w:ind w:firstLine="643" w:firstLineChars="200"/>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rPr>
        <w:t>二、有效期限</w:t>
      </w:r>
    </w:p>
    <w:p>
      <w:pPr>
        <w:snapToGrid w:val="0"/>
        <w:spacing w:line="360" w:lineRule="auto"/>
        <w:ind w:firstLine="640" w:firstLineChars="200"/>
        <w:rPr>
          <w:rFonts w:hint="eastAsia" w:ascii="仿宋" w:hAnsi="仿宋" w:eastAsia="仿宋" w:cs="仿宋"/>
          <w:color w:val="auto"/>
          <w:sz w:val="32"/>
          <w:szCs w:val="32"/>
        </w:rPr>
      </w:pPr>
      <w:r>
        <w:rPr>
          <w:rFonts w:hint="eastAsia" w:ascii="仿宋" w:hAnsi="仿宋" w:cs="仿宋"/>
          <w:color w:val="auto"/>
          <w:sz w:val="32"/>
          <w:szCs w:val="32"/>
          <w:lang w:val="en-US" w:eastAsia="zh-CN"/>
        </w:rPr>
        <w:t>协议生效之日起</w:t>
      </w:r>
      <w:r>
        <w:rPr>
          <w:rFonts w:hint="eastAsia" w:ascii="仿宋" w:hAnsi="仿宋" w:eastAsia="仿宋" w:cs="仿宋"/>
          <w:color w:val="auto"/>
          <w:sz w:val="32"/>
          <w:szCs w:val="32"/>
        </w:rPr>
        <w:t>至202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年12月31日。</w:t>
      </w:r>
    </w:p>
    <w:p>
      <w:pPr>
        <w:snapToGrid w:val="0"/>
        <w:spacing w:line="36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三、适用框架协议的采购人：</w:t>
      </w:r>
      <w:r>
        <w:rPr>
          <w:rFonts w:hint="eastAsia" w:ascii="仿宋" w:hAnsi="仿宋" w:eastAsia="仿宋" w:cs="仿宋"/>
          <w:b/>
          <w:bCs/>
          <w:color w:val="auto"/>
          <w:sz w:val="32"/>
          <w:szCs w:val="32"/>
          <w:lang w:eastAsia="zh-CN"/>
        </w:rPr>
        <w:t>浙江省各级预算</w:t>
      </w:r>
      <w:r>
        <w:rPr>
          <w:rFonts w:hint="eastAsia" w:ascii="仿宋" w:hAnsi="仿宋" w:eastAsia="仿宋" w:cs="仿宋"/>
          <w:b/>
          <w:bCs/>
          <w:color w:val="auto"/>
          <w:sz w:val="32"/>
          <w:szCs w:val="32"/>
        </w:rPr>
        <w:t>单位。</w:t>
      </w:r>
    </w:p>
    <w:p>
      <w:pPr>
        <w:snapToGrid w:val="0"/>
        <w:spacing w:line="36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四、履行合同的地域范围：浙江省内。</w:t>
      </w:r>
    </w:p>
    <w:p>
      <w:pPr>
        <w:snapToGrid w:val="0"/>
        <w:spacing w:line="36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五、采购需求</w:t>
      </w:r>
    </w:p>
    <w:p>
      <w:pPr>
        <w:snapToGrid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详见征集文件。</w:t>
      </w:r>
    </w:p>
    <w:p>
      <w:pPr>
        <w:snapToGrid w:val="0"/>
        <w:spacing w:line="36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六、最高限制单价</w:t>
      </w:r>
    </w:p>
    <w:p>
      <w:pPr>
        <w:snapToGrid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详见征集文件。</w:t>
      </w:r>
    </w:p>
    <w:p>
      <w:pPr>
        <w:snapToGrid w:val="0"/>
        <w:spacing w:line="36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七、</w:t>
      </w:r>
      <w:r>
        <w:rPr>
          <w:rFonts w:hint="eastAsia" w:ascii="仿宋" w:hAnsi="仿宋" w:eastAsia="仿宋" w:cs="仿宋"/>
          <w:b/>
          <w:bCs/>
          <w:snapToGrid w:val="0"/>
          <w:color w:val="auto"/>
          <w:sz w:val="32"/>
          <w:szCs w:val="32"/>
        </w:rPr>
        <w:t>入围产品</w:t>
      </w:r>
      <w:r>
        <w:rPr>
          <w:rFonts w:hint="eastAsia" w:ascii="仿宋" w:hAnsi="仿宋" w:eastAsia="仿宋" w:cs="仿宋"/>
          <w:b/>
          <w:bCs/>
          <w:color w:val="auto"/>
          <w:sz w:val="32"/>
          <w:szCs w:val="32"/>
        </w:rPr>
        <w:t>及协议价格</w:t>
      </w:r>
    </w:p>
    <w:p>
      <w:pPr>
        <w:pStyle w:val="11"/>
        <w:adjustRightInd w:val="0"/>
        <w:snapToGrid w:val="0"/>
        <w:spacing w:beforeLines="0" w:afterLines="0" w:line="360" w:lineRule="auto"/>
        <w:ind w:firstLine="681" w:firstLineChars="213"/>
        <w:jc w:val="center"/>
        <w:rPr>
          <w:rFonts w:hint="eastAsia" w:ascii="仿宋" w:hAnsi="仿宋" w:eastAsia="仿宋" w:cs="仿宋"/>
          <w:color w:val="auto"/>
          <w:sz w:val="32"/>
          <w:szCs w:val="32"/>
        </w:rPr>
      </w:pPr>
      <w:r>
        <w:rPr>
          <w:rFonts w:hint="eastAsia" w:ascii="仿宋" w:hAnsi="仿宋" w:cs="仿宋"/>
          <w:color w:val="auto"/>
          <w:sz w:val="32"/>
          <w:szCs w:val="32"/>
          <w:lang w:val="en-US" w:eastAsia="zh-CN"/>
        </w:rPr>
        <w:t xml:space="preserve">                            </w:t>
      </w:r>
      <w:r>
        <w:rPr>
          <w:rFonts w:hint="eastAsia" w:ascii="仿宋" w:hAnsi="仿宋" w:eastAsia="仿宋" w:cs="仿宋"/>
          <w:color w:val="auto"/>
          <w:sz w:val="32"/>
          <w:szCs w:val="32"/>
        </w:rPr>
        <w:t xml:space="preserve">金额单位：元 </w:t>
      </w:r>
    </w:p>
    <w:tbl>
      <w:tblPr>
        <w:tblStyle w:val="18"/>
        <w:tblW w:w="7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58"/>
        <w:gridCol w:w="1858"/>
        <w:gridCol w:w="1858"/>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1858" w:type="dxa"/>
            <w:noWrap w:val="0"/>
            <w:vAlign w:val="center"/>
          </w:tcPr>
          <w:p>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品牌</w:t>
            </w:r>
          </w:p>
        </w:tc>
        <w:tc>
          <w:tcPr>
            <w:tcW w:w="1858" w:type="dxa"/>
            <w:noWrap w:val="0"/>
            <w:vAlign w:val="center"/>
          </w:tcPr>
          <w:p>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b/>
                <w:color w:val="auto"/>
                <w:kern w:val="0"/>
                <w:sz w:val="32"/>
                <w:szCs w:val="32"/>
                <w:lang w:val="en-US" w:eastAsia="zh-CN"/>
              </w:rPr>
            </w:pPr>
            <w:r>
              <w:rPr>
                <w:rFonts w:hint="eastAsia" w:ascii="仿宋" w:hAnsi="仿宋" w:eastAsia="仿宋" w:cs="仿宋"/>
                <w:b/>
                <w:color w:val="auto"/>
                <w:kern w:val="0"/>
                <w:sz w:val="32"/>
                <w:szCs w:val="32"/>
                <w:lang w:val="en-US" w:eastAsia="zh-CN"/>
              </w:rPr>
              <w:t>型号</w:t>
            </w:r>
          </w:p>
        </w:tc>
        <w:tc>
          <w:tcPr>
            <w:tcW w:w="1858"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b/>
                <w:color w:val="auto"/>
                <w:kern w:val="0"/>
                <w:sz w:val="32"/>
                <w:szCs w:val="32"/>
                <w:highlight w:val="yellow"/>
              </w:rPr>
            </w:pPr>
            <w:r>
              <w:rPr>
                <w:rFonts w:hint="eastAsia" w:ascii="仿宋" w:hAnsi="仿宋" w:eastAsia="仿宋" w:cs="仿宋"/>
                <w:b/>
                <w:color w:val="auto"/>
                <w:kern w:val="0"/>
                <w:sz w:val="32"/>
                <w:szCs w:val="32"/>
              </w:rPr>
              <w:t>厂家指导价</w:t>
            </w:r>
          </w:p>
        </w:tc>
        <w:tc>
          <w:tcPr>
            <w:tcW w:w="1859"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响应价格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1858" w:type="dxa"/>
            <w:noWrap w:val="0"/>
            <w:vAlign w:val="center"/>
          </w:tcPr>
          <w:p>
            <w:pPr>
              <w:keepNext w:val="0"/>
              <w:keepLines w:val="0"/>
              <w:pageBreakBefore w:val="0"/>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auto"/>
                <w:sz w:val="32"/>
                <w:szCs w:val="32"/>
              </w:rPr>
            </w:pPr>
          </w:p>
        </w:tc>
        <w:tc>
          <w:tcPr>
            <w:tcW w:w="1858" w:type="dxa"/>
            <w:noWrap w:val="0"/>
            <w:vAlign w:val="center"/>
          </w:tcPr>
          <w:p>
            <w:pPr>
              <w:keepNext w:val="0"/>
              <w:keepLines w:val="0"/>
              <w:pageBreakBefore w:val="0"/>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auto"/>
                <w:sz w:val="32"/>
                <w:szCs w:val="32"/>
              </w:rPr>
            </w:pPr>
          </w:p>
        </w:tc>
        <w:tc>
          <w:tcPr>
            <w:tcW w:w="1858" w:type="dxa"/>
            <w:noWrap w:val="0"/>
            <w:vAlign w:val="center"/>
          </w:tcPr>
          <w:p>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32"/>
                <w:szCs w:val="32"/>
              </w:rPr>
            </w:pPr>
          </w:p>
        </w:tc>
        <w:tc>
          <w:tcPr>
            <w:tcW w:w="1859" w:type="dxa"/>
            <w:noWrap w:val="0"/>
            <w:vAlign w:val="center"/>
          </w:tcPr>
          <w:p>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1858" w:type="dxa"/>
            <w:noWrap w:val="0"/>
            <w:vAlign w:val="center"/>
          </w:tcPr>
          <w:p>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p>
        </w:tc>
        <w:tc>
          <w:tcPr>
            <w:tcW w:w="1858" w:type="dxa"/>
            <w:noWrap w:val="0"/>
            <w:vAlign w:val="center"/>
          </w:tcPr>
          <w:p>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32"/>
                <w:szCs w:val="32"/>
              </w:rPr>
            </w:pPr>
          </w:p>
        </w:tc>
        <w:tc>
          <w:tcPr>
            <w:tcW w:w="1858" w:type="dxa"/>
            <w:noWrap w:val="0"/>
            <w:vAlign w:val="center"/>
          </w:tcPr>
          <w:p>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32"/>
                <w:szCs w:val="32"/>
              </w:rPr>
            </w:pPr>
          </w:p>
        </w:tc>
        <w:tc>
          <w:tcPr>
            <w:tcW w:w="1859" w:type="dxa"/>
            <w:noWrap w:val="0"/>
            <w:vAlign w:val="center"/>
          </w:tcPr>
          <w:p>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32"/>
                <w:szCs w:val="32"/>
              </w:rPr>
            </w:pPr>
          </w:p>
        </w:tc>
      </w:tr>
    </w:tbl>
    <w:p>
      <w:pPr>
        <w:pStyle w:val="11"/>
        <w:adjustRightInd w:val="0"/>
        <w:snapToGrid w:val="0"/>
        <w:spacing w:beforeLines="0" w:afterLines="0" w:line="360" w:lineRule="auto"/>
        <w:ind w:right="60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注：1.以上</w:t>
      </w:r>
      <w:r>
        <w:rPr>
          <w:rFonts w:hint="eastAsia" w:ascii="仿宋" w:hAnsi="仿宋" w:cs="仿宋"/>
          <w:color w:val="auto"/>
          <w:sz w:val="32"/>
          <w:szCs w:val="32"/>
          <w:lang w:eastAsia="zh-CN"/>
        </w:rPr>
        <w:t>入围</w:t>
      </w:r>
      <w:r>
        <w:rPr>
          <w:rFonts w:hint="eastAsia" w:ascii="仿宋" w:hAnsi="仿宋" w:eastAsia="仿宋" w:cs="仿宋"/>
          <w:color w:val="auto"/>
          <w:sz w:val="32"/>
          <w:szCs w:val="32"/>
        </w:rPr>
        <w:t>价格包含项目达到预期使用效果所需的一切费用。</w:t>
      </w:r>
      <w:r>
        <w:rPr>
          <w:rFonts w:hint="eastAsia" w:ascii="仿宋" w:hAnsi="仿宋" w:eastAsia="仿宋" w:cs="仿宋"/>
          <w:color w:val="auto"/>
          <w:sz w:val="32"/>
          <w:szCs w:val="32"/>
        </w:rPr>
        <w:tab/>
      </w:r>
      <w:r>
        <w:rPr>
          <w:rFonts w:hint="eastAsia" w:ascii="仿宋" w:hAnsi="仿宋" w:eastAsia="仿宋" w:cs="仿宋"/>
          <w:color w:val="auto"/>
          <w:sz w:val="32"/>
          <w:szCs w:val="32"/>
        </w:rPr>
        <w:tab/>
      </w:r>
      <w:r>
        <w:rPr>
          <w:rFonts w:hint="eastAsia" w:ascii="仿宋" w:hAnsi="仿宋" w:eastAsia="仿宋" w:cs="仿宋"/>
          <w:color w:val="auto"/>
          <w:sz w:val="32"/>
          <w:szCs w:val="32"/>
        </w:rPr>
        <w:tab/>
      </w:r>
      <w:r>
        <w:rPr>
          <w:rFonts w:hint="eastAsia" w:ascii="仿宋" w:hAnsi="仿宋" w:eastAsia="仿宋" w:cs="仿宋"/>
          <w:color w:val="auto"/>
          <w:sz w:val="32"/>
          <w:szCs w:val="32"/>
        </w:rPr>
        <w:tab/>
      </w:r>
      <w:r>
        <w:rPr>
          <w:rFonts w:hint="eastAsia" w:ascii="仿宋" w:hAnsi="仿宋" w:eastAsia="仿宋" w:cs="仿宋"/>
          <w:color w:val="auto"/>
          <w:sz w:val="32"/>
          <w:szCs w:val="32"/>
        </w:rPr>
        <w:tab/>
      </w:r>
      <w:r>
        <w:rPr>
          <w:rFonts w:hint="eastAsia" w:ascii="仿宋" w:hAnsi="仿宋" w:eastAsia="仿宋" w:cs="仿宋"/>
          <w:color w:val="auto"/>
          <w:sz w:val="32"/>
          <w:szCs w:val="32"/>
        </w:rPr>
        <w:tab/>
      </w:r>
      <w:r>
        <w:rPr>
          <w:rFonts w:hint="eastAsia" w:ascii="仿宋" w:hAnsi="仿宋" w:eastAsia="仿宋" w:cs="仿宋"/>
          <w:color w:val="auto"/>
          <w:sz w:val="32"/>
          <w:szCs w:val="32"/>
        </w:rPr>
        <w:tab/>
      </w:r>
      <w:r>
        <w:rPr>
          <w:rFonts w:hint="eastAsia" w:ascii="仿宋" w:hAnsi="仿宋" w:eastAsia="仿宋" w:cs="仿宋"/>
          <w:color w:val="auto"/>
          <w:sz w:val="32"/>
          <w:szCs w:val="32"/>
        </w:rPr>
        <w:tab/>
      </w:r>
      <w:r>
        <w:rPr>
          <w:rFonts w:hint="eastAsia" w:ascii="仿宋" w:hAnsi="仿宋" w:eastAsia="仿宋" w:cs="仿宋"/>
          <w:color w:val="auto"/>
          <w:sz w:val="32"/>
          <w:szCs w:val="32"/>
        </w:rPr>
        <w:tab/>
      </w:r>
      <w:r>
        <w:rPr>
          <w:rFonts w:hint="eastAsia" w:ascii="仿宋" w:hAnsi="仿宋" w:eastAsia="仿宋" w:cs="仿宋"/>
          <w:color w:val="auto"/>
          <w:sz w:val="32"/>
          <w:szCs w:val="32"/>
        </w:rPr>
        <w:tab/>
      </w:r>
      <w:r>
        <w:rPr>
          <w:rFonts w:hint="eastAsia" w:ascii="仿宋" w:hAnsi="仿宋" w:eastAsia="仿宋" w:cs="仿宋"/>
          <w:color w:val="auto"/>
          <w:sz w:val="32"/>
          <w:szCs w:val="32"/>
        </w:rPr>
        <w:tab/>
      </w:r>
      <w:r>
        <w:rPr>
          <w:rFonts w:hint="eastAsia" w:ascii="仿宋" w:hAnsi="仿宋" w:eastAsia="仿宋" w:cs="仿宋"/>
          <w:color w:val="auto"/>
          <w:sz w:val="32"/>
          <w:szCs w:val="32"/>
        </w:rPr>
        <w:tab/>
      </w:r>
    </w:p>
    <w:p>
      <w:pPr>
        <w:pStyle w:val="11"/>
        <w:adjustRightInd w:val="0"/>
        <w:snapToGrid w:val="0"/>
        <w:spacing w:beforeLines="0" w:afterLines="0" w:line="360" w:lineRule="auto"/>
        <w:ind w:firstLine="684" w:firstLineChars="213"/>
        <w:rPr>
          <w:rFonts w:hint="eastAsia" w:ascii="仿宋" w:hAnsi="仿宋" w:eastAsia="仿宋" w:cs="仿宋"/>
          <w:b/>
          <w:snapToGrid w:val="0"/>
          <w:color w:val="auto"/>
          <w:sz w:val="32"/>
          <w:szCs w:val="32"/>
        </w:rPr>
      </w:pPr>
      <w:r>
        <w:rPr>
          <w:rFonts w:hint="eastAsia" w:ascii="仿宋" w:hAnsi="仿宋" w:eastAsia="仿宋" w:cs="仿宋"/>
          <w:b/>
          <w:snapToGrid w:val="0"/>
          <w:color w:val="auto"/>
          <w:sz w:val="32"/>
          <w:szCs w:val="32"/>
        </w:rPr>
        <w:t>八、知识产权</w:t>
      </w:r>
    </w:p>
    <w:p>
      <w:pPr>
        <w:pStyle w:val="11"/>
        <w:adjustRightInd w:val="0"/>
        <w:snapToGrid w:val="0"/>
        <w:spacing w:beforeLines="0" w:afterLines="0" w:line="360" w:lineRule="auto"/>
        <w:ind w:right="60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乙方或供货商应保证所提供的产品或其任何一部分均不会侵犯任何第三方的知识产权。</w:t>
      </w:r>
    </w:p>
    <w:p>
      <w:pPr>
        <w:pStyle w:val="11"/>
        <w:adjustRightInd w:val="0"/>
        <w:snapToGrid w:val="0"/>
        <w:spacing w:beforeLines="0" w:afterLines="0" w:line="360" w:lineRule="auto"/>
        <w:ind w:firstLine="636" w:firstLineChars="198"/>
        <w:rPr>
          <w:rFonts w:hint="eastAsia" w:ascii="仿宋" w:hAnsi="仿宋" w:eastAsia="仿宋" w:cs="仿宋"/>
          <w:snapToGrid w:val="0"/>
          <w:color w:val="auto"/>
          <w:sz w:val="32"/>
          <w:szCs w:val="32"/>
          <w:u w:val="single"/>
        </w:rPr>
      </w:pPr>
      <w:r>
        <w:rPr>
          <w:rFonts w:hint="eastAsia" w:ascii="仿宋" w:hAnsi="仿宋" w:eastAsia="仿宋" w:cs="仿宋"/>
          <w:b/>
          <w:snapToGrid w:val="0"/>
          <w:color w:val="auto"/>
          <w:sz w:val="32"/>
          <w:szCs w:val="32"/>
        </w:rPr>
        <w:t>九、产权担保</w:t>
      </w:r>
    </w:p>
    <w:p>
      <w:pPr>
        <w:pStyle w:val="11"/>
        <w:adjustRightInd w:val="0"/>
        <w:snapToGrid w:val="0"/>
        <w:spacing w:beforeLines="0" w:afterLines="0" w:line="360" w:lineRule="auto"/>
        <w:ind w:right="60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乙方或供货商保证所交付的产物的所有权完全属于乙方或供货商且无任何抵押、查封等产权瑕疵。</w:t>
      </w:r>
    </w:p>
    <w:p>
      <w:pPr>
        <w:pStyle w:val="11"/>
        <w:adjustRightInd w:val="0"/>
        <w:snapToGrid w:val="0"/>
        <w:spacing w:beforeLines="0" w:afterLines="0" w:line="360" w:lineRule="auto"/>
        <w:ind w:firstLine="636" w:firstLineChars="198"/>
        <w:rPr>
          <w:rFonts w:hint="eastAsia" w:ascii="仿宋" w:hAnsi="仿宋" w:eastAsia="仿宋" w:cs="仿宋"/>
          <w:b/>
          <w:snapToGrid w:val="0"/>
          <w:color w:val="auto"/>
          <w:sz w:val="32"/>
          <w:szCs w:val="32"/>
        </w:rPr>
      </w:pPr>
      <w:r>
        <w:rPr>
          <w:rFonts w:hint="eastAsia" w:ascii="仿宋" w:hAnsi="仿宋" w:eastAsia="仿宋" w:cs="仿宋"/>
          <w:b/>
          <w:snapToGrid w:val="0"/>
          <w:color w:val="auto"/>
          <w:sz w:val="32"/>
          <w:szCs w:val="32"/>
        </w:rPr>
        <w:t>十、转包或分包</w:t>
      </w:r>
    </w:p>
    <w:p>
      <w:pPr>
        <w:pStyle w:val="11"/>
        <w:adjustRightInd w:val="0"/>
        <w:snapToGrid w:val="0"/>
        <w:spacing w:beforeLines="0" w:afterLines="0" w:line="360" w:lineRule="auto"/>
        <w:ind w:right="60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不允许转包和分包。如乙方将项目转包或分包，甲方有权解除合同，追究乙方的违约责任。</w:t>
      </w:r>
    </w:p>
    <w:p>
      <w:pPr>
        <w:adjustRightInd w:val="0"/>
        <w:snapToGrid w:val="0"/>
        <w:spacing w:line="360" w:lineRule="auto"/>
        <w:ind w:firstLine="684" w:firstLineChars="213"/>
        <w:rPr>
          <w:rFonts w:hint="eastAsia" w:ascii="仿宋" w:hAnsi="仿宋" w:eastAsia="仿宋" w:cs="仿宋"/>
          <w:b/>
          <w:snapToGrid w:val="0"/>
          <w:color w:val="auto"/>
          <w:kern w:val="0"/>
          <w:sz w:val="32"/>
          <w:szCs w:val="32"/>
        </w:rPr>
      </w:pPr>
      <w:r>
        <w:rPr>
          <w:rFonts w:hint="eastAsia" w:ascii="仿宋" w:hAnsi="仿宋" w:eastAsia="仿宋" w:cs="仿宋"/>
          <w:b/>
          <w:snapToGrid w:val="0"/>
          <w:color w:val="auto"/>
          <w:kern w:val="0"/>
          <w:sz w:val="32"/>
          <w:szCs w:val="32"/>
        </w:rPr>
        <w:t>十一、供货方式</w:t>
      </w:r>
    </w:p>
    <w:p>
      <w:pPr>
        <w:pStyle w:val="11"/>
        <w:adjustRightInd w:val="0"/>
        <w:snapToGrid w:val="0"/>
        <w:spacing w:beforeLines="0" w:afterLines="0" w:line="360" w:lineRule="auto"/>
        <w:ind w:right="600" w:firstLine="640" w:firstLineChars="200"/>
        <w:rPr>
          <w:rFonts w:hint="eastAsia" w:ascii="仿宋" w:hAnsi="仿宋" w:eastAsia="仿宋" w:cs="仿宋"/>
          <w:snapToGrid w:val="0"/>
          <w:color w:val="auto"/>
          <w:kern w:val="0"/>
          <w:sz w:val="32"/>
          <w:szCs w:val="32"/>
        </w:rPr>
      </w:pPr>
      <w:r>
        <w:rPr>
          <w:rFonts w:hint="eastAsia" w:ascii="仿宋" w:hAnsi="仿宋" w:eastAsia="仿宋" w:cs="仿宋"/>
          <w:color w:val="auto"/>
          <w:sz w:val="32"/>
          <w:szCs w:val="32"/>
        </w:rPr>
        <w:t>乙方或供货商七个工作日内派人将</w:t>
      </w:r>
      <w:r>
        <w:rPr>
          <w:rFonts w:hint="eastAsia" w:ascii="仿宋" w:hAnsi="仿宋" w:eastAsia="仿宋" w:cs="仿宋"/>
          <w:color w:val="auto"/>
          <w:sz w:val="32"/>
          <w:szCs w:val="32"/>
          <w:lang w:eastAsia="zh-CN"/>
        </w:rPr>
        <w:t>产品</w:t>
      </w:r>
      <w:r>
        <w:rPr>
          <w:rFonts w:hint="eastAsia" w:ascii="仿宋" w:hAnsi="仿宋" w:eastAsia="仿宋" w:cs="仿宋"/>
          <w:color w:val="auto"/>
          <w:sz w:val="32"/>
          <w:szCs w:val="32"/>
        </w:rPr>
        <w:t>送货至采购人指定地点。交付时</w:t>
      </w:r>
      <w:r>
        <w:rPr>
          <w:rFonts w:hint="eastAsia" w:ascii="仿宋" w:hAnsi="仿宋" w:cs="仿宋"/>
          <w:color w:val="auto"/>
          <w:sz w:val="32"/>
          <w:szCs w:val="32"/>
          <w:lang w:eastAsia="zh-CN"/>
        </w:rPr>
        <w:t>，</w:t>
      </w:r>
      <w:r>
        <w:rPr>
          <w:rFonts w:hint="eastAsia" w:ascii="仿宋" w:hAnsi="仿宋" w:eastAsia="仿宋" w:cs="仿宋"/>
          <w:color w:val="auto"/>
          <w:sz w:val="32"/>
          <w:szCs w:val="32"/>
        </w:rPr>
        <w:t>乙方或供货商必须向采购人</w:t>
      </w:r>
      <w:r>
        <w:rPr>
          <w:rFonts w:hint="eastAsia" w:ascii="仿宋" w:hAnsi="仿宋" w:eastAsia="仿宋" w:cs="仿宋"/>
          <w:color w:val="auto"/>
          <w:sz w:val="32"/>
          <w:szCs w:val="32"/>
          <w:lang w:eastAsia="zh-CN"/>
        </w:rPr>
        <w:t>提供</w:t>
      </w:r>
      <w:r>
        <w:rPr>
          <w:rFonts w:hint="eastAsia" w:ascii="仿宋" w:hAnsi="仿宋" w:eastAsia="仿宋" w:cs="仿宋"/>
          <w:color w:val="auto"/>
          <w:sz w:val="32"/>
          <w:szCs w:val="32"/>
        </w:rPr>
        <w:t>所需的一切</w:t>
      </w:r>
      <w:r>
        <w:rPr>
          <w:rFonts w:hint="eastAsia" w:ascii="仿宋" w:hAnsi="仿宋" w:eastAsia="仿宋" w:cs="仿宋"/>
          <w:color w:val="auto"/>
          <w:sz w:val="32"/>
          <w:szCs w:val="32"/>
          <w:lang w:eastAsia="zh-CN"/>
        </w:rPr>
        <w:t>产品及</w:t>
      </w:r>
      <w:r>
        <w:rPr>
          <w:rFonts w:hint="eastAsia" w:ascii="仿宋" w:hAnsi="仿宋" w:eastAsia="仿宋" w:cs="仿宋"/>
          <w:color w:val="auto"/>
          <w:sz w:val="32"/>
          <w:szCs w:val="32"/>
        </w:rPr>
        <w:t>相关资料（费用均由乙方承担）。</w:t>
      </w:r>
    </w:p>
    <w:p>
      <w:pPr>
        <w:adjustRightInd w:val="0"/>
        <w:snapToGrid w:val="0"/>
        <w:spacing w:line="360" w:lineRule="auto"/>
        <w:ind w:firstLine="684" w:firstLineChars="213"/>
        <w:rPr>
          <w:rFonts w:hint="eastAsia" w:ascii="仿宋" w:hAnsi="仿宋" w:eastAsia="仿宋" w:cs="仿宋"/>
          <w:b/>
          <w:snapToGrid w:val="0"/>
          <w:color w:val="auto"/>
          <w:kern w:val="0"/>
          <w:sz w:val="32"/>
          <w:szCs w:val="32"/>
        </w:rPr>
      </w:pPr>
      <w:r>
        <w:rPr>
          <w:rFonts w:hint="eastAsia" w:ascii="仿宋" w:hAnsi="仿宋" w:eastAsia="仿宋" w:cs="仿宋"/>
          <w:b/>
          <w:snapToGrid w:val="0"/>
          <w:color w:val="auto"/>
          <w:kern w:val="0"/>
          <w:sz w:val="32"/>
          <w:szCs w:val="32"/>
        </w:rPr>
        <w:t>十二、资金支付方式、时间和条件</w:t>
      </w:r>
    </w:p>
    <w:p>
      <w:pPr>
        <w:snapToGrid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采购资金涉及国库集中支付的，</w:t>
      </w:r>
      <w:r>
        <w:rPr>
          <w:rFonts w:hint="eastAsia" w:ascii="仿宋" w:hAnsi="仿宋" w:eastAsia="仿宋" w:cs="仿宋"/>
          <w:snapToGrid w:val="0"/>
          <w:color w:val="auto"/>
          <w:sz w:val="32"/>
          <w:szCs w:val="32"/>
        </w:rPr>
        <w:t>乙方或</w:t>
      </w:r>
      <w:r>
        <w:rPr>
          <w:rFonts w:hint="eastAsia" w:ascii="仿宋" w:hAnsi="仿宋" w:eastAsia="仿宋" w:cs="仿宋"/>
          <w:bCs/>
          <w:color w:val="auto"/>
          <w:kern w:val="0"/>
          <w:sz w:val="32"/>
          <w:szCs w:val="32"/>
        </w:rPr>
        <w:t>供货商</w:t>
      </w:r>
      <w:r>
        <w:rPr>
          <w:rFonts w:hint="eastAsia" w:ascii="仿宋" w:hAnsi="仿宋" w:eastAsia="仿宋" w:cs="仿宋"/>
          <w:color w:val="auto"/>
          <w:sz w:val="32"/>
          <w:szCs w:val="32"/>
        </w:rPr>
        <w:t>同意按照财政国库支付相关规定执行。</w:t>
      </w:r>
    </w:p>
    <w:p>
      <w:pPr>
        <w:pStyle w:val="11"/>
        <w:adjustRightInd w:val="0"/>
        <w:snapToGrid w:val="0"/>
        <w:spacing w:beforeLines="0" w:afterLines="0" w:line="360" w:lineRule="auto"/>
        <w:ind w:firstLine="684" w:firstLineChars="213"/>
        <w:rPr>
          <w:rFonts w:hint="eastAsia" w:ascii="仿宋" w:hAnsi="仿宋" w:eastAsia="仿宋" w:cs="仿宋"/>
          <w:snapToGrid w:val="0"/>
          <w:color w:val="auto"/>
          <w:kern w:val="0"/>
          <w:sz w:val="32"/>
          <w:szCs w:val="32"/>
        </w:rPr>
      </w:pPr>
      <w:r>
        <w:rPr>
          <w:rFonts w:hint="eastAsia" w:ascii="仿宋" w:hAnsi="仿宋" w:eastAsia="仿宋" w:cs="仿宋"/>
          <w:b/>
          <w:snapToGrid w:val="0"/>
          <w:color w:val="auto"/>
          <w:sz w:val="32"/>
          <w:szCs w:val="32"/>
        </w:rPr>
        <w:t>十三、质量保证及售后服务</w:t>
      </w:r>
    </w:p>
    <w:p>
      <w:pPr>
        <w:pStyle w:val="11"/>
        <w:adjustRightInd w:val="0"/>
        <w:snapToGrid w:val="0"/>
        <w:spacing w:beforeLines="0" w:afterLines="0" w:line="360" w:lineRule="auto"/>
        <w:ind w:firstLine="640" w:firstLineChars="200"/>
        <w:jc w:val="left"/>
        <w:rPr>
          <w:rFonts w:hint="eastAsia" w:ascii="仿宋" w:hAnsi="仿宋" w:eastAsia="仿宋" w:cs="仿宋"/>
          <w:snapToGrid w:val="0"/>
          <w:color w:val="auto"/>
          <w:sz w:val="32"/>
          <w:szCs w:val="32"/>
        </w:rPr>
      </w:pPr>
      <w:r>
        <w:rPr>
          <w:rFonts w:hint="eastAsia" w:ascii="仿宋" w:hAnsi="仿宋" w:eastAsia="仿宋" w:cs="仿宋"/>
          <w:snapToGrid w:val="0"/>
          <w:color w:val="auto"/>
          <w:sz w:val="32"/>
          <w:szCs w:val="32"/>
        </w:rPr>
        <w:t>1.质保期  年（自项目验收合格交付使用之日起计）。在质量保证期内，如果质量或规格与合同不符的，包括潜在的缺陷或使用不符合要求的材料等，采购人可以根据本协议“补救措施和索赔”以书面形式向乙方或</w:t>
      </w:r>
      <w:r>
        <w:rPr>
          <w:rFonts w:hint="eastAsia" w:ascii="仿宋" w:hAnsi="仿宋" w:eastAsia="仿宋" w:cs="仿宋"/>
          <w:bCs/>
          <w:color w:val="auto"/>
          <w:kern w:val="0"/>
          <w:sz w:val="32"/>
          <w:szCs w:val="32"/>
        </w:rPr>
        <w:t>供货商</w:t>
      </w:r>
      <w:r>
        <w:rPr>
          <w:rFonts w:hint="eastAsia" w:ascii="仿宋" w:hAnsi="仿宋" w:eastAsia="仿宋" w:cs="仿宋"/>
          <w:snapToGrid w:val="0"/>
          <w:color w:val="auto"/>
          <w:sz w:val="32"/>
          <w:szCs w:val="32"/>
        </w:rPr>
        <w:t>提出补救措施或索赔。乙方或</w:t>
      </w:r>
      <w:r>
        <w:rPr>
          <w:rFonts w:hint="eastAsia" w:ascii="仿宋" w:hAnsi="仿宋" w:eastAsia="仿宋" w:cs="仿宋"/>
          <w:bCs/>
          <w:color w:val="auto"/>
          <w:kern w:val="0"/>
          <w:sz w:val="32"/>
          <w:szCs w:val="32"/>
        </w:rPr>
        <w:t>供货商</w:t>
      </w:r>
      <w:r>
        <w:rPr>
          <w:rFonts w:hint="eastAsia" w:ascii="仿宋" w:hAnsi="仿宋" w:eastAsia="仿宋" w:cs="仿宋"/>
          <w:snapToGrid w:val="0"/>
          <w:color w:val="auto"/>
          <w:sz w:val="32"/>
          <w:szCs w:val="32"/>
        </w:rPr>
        <w:t>在约定的时间内未能弥补缺陷，采购人可采取必要的补救措施，但其风险和费用将由乙方或</w:t>
      </w:r>
      <w:r>
        <w:rPr>
          <w:rFonts w:hint="eastAsia" w:ascii="仿宋" w:hAnsi="仿宋" w:eastAsia="仿宋" w:cs="仿宋"/>
          <w:bCs/>
          <w:color w:val="auto"/>
          <w:kern w:val="0"/>
          <w:sz w:val="32"/>
          <w:szCs w:val="32"/>
        </w:rPr>
        <w:t>供货商</w:t>
      </w:r>
      <w:r>
        <w:rPr>
          <w:rFonts w:hint="eastAsia" w:ascii="仿宋" w:hAnsi="仿宋" w:eastAsia="仿宋" w:cs="仿宋"/>
          <w:snapToGrid w:val="0"/>
          <w:color w:val="auto"/>
          <w:sz w:val="32"/>
          <w:szCs w:val="32"/>
        </w:rPr>
        <w:t>承担，采购人根据协议规定对乙方或</w:t>
      </w:r>
      <w:r>
        <w:rPr>
          <w:rFonts w:hint="eastAsia" w:ascii="仿宋" w:hAnsi="仿宋" w:eastAsia="仿宋" w:cs="仿宋"/>
          <w:bCs/>
          <w:color w:val="auto"/>
          <w:kern w:val="0"/>
          <w:sz w:val="32"/>
          <w:szCs w:val="32"/>
        </w:rPr>
        <w:t>供货商</w:t>
      </w:r>
      <w:r>
        <w:rPr>
          <w:rFonts w:hint="eastAsia" w:ascii="仿宋" w:hAnsi="仿宋" w:eastAsia="仿宋" w:cs="仿宋"/>
          <w:snapToGrid w:val="0"/>
          <w:color w:val="auto"/>
          <w:sz w:val="32"/>
          <w:szCs w:val="32"/>
        </w:rPr>
        <w:t>行使的其他权利不受影响。</w:t>
      </w:r>
    </w:p>
    <w:p>
      <w:pPr>
        <w:pStyle w:val="11"/>
        <w:adjustRightInd w:val="0"/>
        <w:snapToGrid w:val="0"/>
        <w:spacing w:beforeLines="0" w:afterLines="0" w:line="360" w:lineRule="auto"/>
        <w:ind w:firstLine="681" w:firstLineChars="213"/>
        <w:rPr>
          <w:rFonts w:hint="eastAsia" w:ascii="仿宋" w:hAnsi="仿宋" w:eastAsia="仿宋" w:cs="仿宋"/>
          <w:snapToGrid w:val="0"/>
          <w:color w:val="auto"/>
          <w:sz w:val="32"/>
          <w:szCs w:val="32"/>
        </w:rPr>
      </w:pPr>
      <w:r>
        <w:rPr>
          <w:rFonts w:hint="eastAsia" w:ascii="仿宋" w:hAnsi="仿宋" w:eastAsia="仿宋" w:cs="仿宋"/>
          <w:snapToGrid w:val="0"/>
          <w:color w:val="auto"/>
          <w:sz w:val="32"/>
          <w:szCs w:val="32"/>
        </w:rPr>
        <w:t>2.乙方或</w:t>
      </w:r>
      <w:r>
        <w:rPr>
          <w:rFonts w:hint="eastAsia" w:ascii="仿宋" w:hAnsi="仿宋" w:eastAsia="仿宋" w:cs="仿宋"/>
          <w:bCs/>
          <w:color w:val="auto"/>
          <w:kern w:val="0"/>
          <w:sz w:val="32"/>
          <w:szCs w:val="32"/>
        </w:rPr>
        <w:t>供货商</w:t>
      </w:r>
      <w:r>
        <w:rPr>
          <w:rFonts w:hint="eastAsia" w:ascii="仿宋" w:hAnsi="仿宋" w:eastAsia="仿宋" w:cs="仿宋"/>
          <w:snapToGrid w:val="0"/>
          <w:color w:val="auto"/>
          <w:sz w:val="32"/>
          <w:szCs w:val="32"/>
        </w:rPr>
        <w:t>保证本协议中所供</w:t>
      </w:r>
      <w:r>
        <w:rPr>
          <w:rFonts w:hint="eastAsia" w:ascii="仿宋" w:hAnsi="仿宋" w:eastAsia="仿宋" w:cs="仿宋"/>
          <w:color w:val="auto"/>
          <w:kern w:val="0"/>
          <w:sz w:val="32"/>
          <w:szCs w:val="32"/>
          <w:lang w:eastAsia="zh-CN"/>
        </w:rPr>
        <w:t>产品</w:t>
      </w:r>
      <w:r>
        <w:rPr>
          <w:rFonts w:hint="eastAsia" w:ascii="仿宋" w:hAnsi="仿宋" w:eastAsia="仿宋" w:cs="仿宋"/>
          <w:snapToGrid w:val="0"/>
          <w:color w:val="auto"/>
          <w:sz w:val="32"/>
          <w:szCs w:val="32"/>
        </w:rPr>
        <w:t>质量具有ISO9001等国际质量管理体系认证。</w:t>
      </w:r>
    </w:p>
    <w:p>
      <w:pPr>
        <w:pStyle w:val="11"/>
        <w:adjustRightInd w:val="0"/>
        <w:snapToGrid w:val="0"/>
        <w:spacing w:beforeLines="0" w:afterLines="0" w:line="360" w:lineRule="auto"/>
        <w:ind w:firstLine="681" w:firstLineChars="213"/>
        <w:rPr>
          <w:rFonts w:hint="eastAsia" w:ascii="仿宋" w:hAnsi="仿宋" w:eastAsia="仿宋" w:cs="仿宋"/>
          <w:snapToGrid w:val="0"/>
          <w:color w:val="auto"/>
          <w:sz w:val="32"/>
          <w:szCs w:val="32"/>
        </w:rPr>
      </w:pPr>
      <w:r>
        <w:rPr>
          <w:rFonts w:hint="eastAsia" w:ascii="仿宋" w:hAnsi="仿宋" w:eastAsia="仿宋" w:cs="仿宋"/>
          <w:snapToGrid w:val="0"/>
          <w:color w:val="auto"/>
          <w:sz w:val="32"/>
          <w:szCs w:val="32"/>
        </w:rPr>
        <w:t>3.乙方或</w:t>
      </w:r>
      <w:r>
        <w:rPr>
          <w:rFonts w:hint="eastAsia" w:ascii="仿宋" w:hAnsi="仿宋" w:eastAsia="仿宋" w:cs="仿宋"/>
          <w:bCs/>
          <w:color w:val="auto"/>
          <w:kern w:val="0"/>
          <w:sz w:val="32"/>
          <w:szCs w:val="32"/>
        </w:rPr>
        <w:t>供货商</w:t>
      </w:r>
      <w:r>
        <w:rPr>
          <w:rFonts w:hint="eastAsia" w:ascii="仿宋" w:hAnsi="仿宋" w:eastAsia="仿宋" w:cs="仿宋"/>
          <w:snapToGrid w:val="0"/>
          <w:color w:val="auto"/>
          <w:sz w:val="32"/>
          <w:szCs w:val="32"/>
        </w:rPr>
        <w:t>按征集文件、响应文件售后服务要求执行。</w:t>
      </w:r>
    </w:p>
    <w:p>
      <w:pPr>
        <w:pStyle w:val="11"/>
        <w:adjustRightInd w:val="0"/>
        <w:snapToGrid w:val="0"/>
        <w:spacing w:beforeLines="0" w:afterLines="0" w:line="360" w:lineRule="auto"/>
        <w:ind w:firstLine="681" w:firstLineChars="213"/>
        <w:rPr>
          <w:rFonts w:hint="eastAsia" w:ascii="仿宋" w:hAnsi="仿宋" w:eastAsia="仿宋" w:cs="仿宋"/>
          <w:snapToGrid w:val="0"/>
          <w:color w:val="auto"/>
          <w:sz w:val="32"/>
          <w:szCs w:val="32"/>
        </w:rPr>
      </w:pPr>
      <w:r>
        <w:rPr>
          <w:rFonts w:hint="eastAsia" w:ascii="仿宋" w:hAnsi="仿宋" w:eastAsia="仿宋" w:cs="仿宋"/>
          <w:snapToGrid w:val="0"/>
          <w:color w:val="auto"/>
          <w:sz w:val="32"/>
          <w:szCs w:val="32"/>
          <w:lang w:val="en-US" w:eastAsia="zh-CN"/>
        </w:rPr>
        <w:t>4</w:t>
      </w:r>
      <w:r>
        <w:rPr>
          <w:rFonts w:hint="eastAsia" w:ascii="仿宋" w:hAnsi="仿宋" w:eastAsia="仿宋" w:cs="仿宋"/>
          <w:snapToGrid w:val="0"/>
          <w:color w:val="auto"/>
          <w:sz w:val="32"/>
          <w:szCs w:val="32"/>
        </w:rPr>
        <w:t>.乙方或</w:t>
      </w:r>
      <w:r>
        <w:rPr>
          <w:rFonts w:hint="eastAsia" w:ascii="仿宋" w:hAnsi="仿宋" w:eastAsia="仿宋" w:cs="仿宋"/>
          <w:bCs/>
          <w:color w:val="auto"/>
          <w:kern w:val="0"/>
          <w:sz w:val="32"/>
          <w:szCs w:val="32"/>
        </w:rPr>
        <w:t>供货商</w:t>
      </w:r>
      <w:r>
        <w:rPr>
          <w:rFonts w:hint="eastAsia" w:ascii="仿宋" w:hAnsi="仿宋" w:eastAsia="仿宋" w:cs="仿宋"/>
          <w:snapToGrid w:val="0"/>
          <w:color w:val="auto"/>
          <w:sz w:val="32"/>
          <w:szCs w:val="32"/>
        </w:rPr>
        <w:t>质量保证、售后服务在合同中未予以明确的内容，按国家标准执行。</w:t>
      </w:r>
    </w:p>
    <w:p>
      <w:pPr>
        <w:pStyle w:val="11"/>
        <w:adjustRightInd w:val="0"/>
        <w:snapToGrid w:val="0"/>
        <w:spacing w:before="120" w:after="120" w:line="360" w:lineRule="auto"/>
        <w:ind w:firstLine="681" w:firstLineChars="213"/>
        <w:rPr>
          <w:rFonts w:hint="eastAsia" w:ascii="仿宋" w:hAnsi="仿宋" w:eastAsia="仿宋" w:cs="仿宋"/>
          <w:snapToGrid w:val="0"/>
          <w:color w:val="auto"/>
          <w:sz w:val="32"/>
          <w:szCs w:val="32"/>
        </w:rPr>
      </w:pPr>
      <w:r>
        <w:rPr>
          <w:rFonts w:hint="eastAsia" w:ascii="仿宋" w:hAnsi="仿宋" w:eastAsia="仿宋" w:cs="仿宋"/>
          <w:snapToGrid w:val="0"/>
          <w:color w:val="auto"/>
          <w:sz w:val="32"/>
          <w:szCs w:val="32"/>
          <w:lang w:val="en-US" w:eastAsia="zh-CN"/>
        </w:rPr>
        <w:t>5</w:t>
      </w:r>
      <w:r>
        <w:rPr>
          <w:rFonts w:hint="eastAsia" w:ascii="仿宋" w:hAnsi="仿宋" w:eastAsia="仿宋" w:cs="仿宋"/>
          <w:snapToGrid w:val="0"/>
          <w:color w:val="auto"/>
          <w:sz w:val="32"/>
          <w:szCs w:val="32"/>
        </w:rPr>
        <w:t>.乙方总协调人姓名</w:t>
      </w:r>
      <w:r>
        <w:rPr>
          <w:rFonts w:hint="eastAsia" w:ascii="仿宋" w:hAnsi="仿宋" w:eastAsia="仿宋" w:cs="仿宋"/>
          <w:snapToGrid w:val="0"/>
          <w:color w:val="auto"/>
          <w:sz w:val="32"/>
          <w:szCs w:val="32"/>
          <w:u w:val="single"/>
        </w:rPr>
        <w:t xml:space="preserve">：      </w:t>
      </w:r>
      <w:r>
        <w:rPr>
          <w:rFonts w:hint="eastAsia" w:ascii="仿宋" w:hAnsi="仿宋" w:eastAsia="仿宋" w:cs="仿宋"/>
          <w:snapToGrid w:val="0"/>
          <w:color w:val="auto"/>
          <w:sz w:val="32"/>
          <w:szCs w:val="32"/>
        </w:rPr>
        <w:t xml:space="preserve"> ，联系电话：</w:t>
      </w:r>
      <w:r>
        <w:rPr>
          <w:rFonts w:hint="eastAsia" w:ascii="仿宋" w:hAnsi="仿宋" w:eastAsia="仿宋" w:cs="仿宋"/>
          <w:snapToGrid w:val="0"/>
          <w:color w:val="auto"/>
          <w:sz w:val="32"/>
          <w:szCs w:val="32"/>
          <w:u w:val="single"/>
        </w:rPr>
        <w:t xml:space="preserve">          </w:t>
      </w:r>
      <w:r>
        <w:rPr>
          <w:rFonts w:hint="eastAsia" w:ascii="仿宋" w:hAnsi="仿宋" w:eastAsia="仿宋" w:cs="仿宋"/>
          <w:snapToGrid w:val="0"/>
          <w:color w:val="auto"/>
          <w:sz w:val="32"/>
          <w:szCs w:val="32"/>
        </w:rPr>
        <w:t>。</w:t>
      </w:r>
    </w:p>
    <w:p>
      <w:pPr>
        <w:pStyle w:val="11"/>
        <w:adjustRightInd w:val="0"/>
        <w:snapToGrid w:val="0"/>
        <w:spacing w:beforeLines="0" w:afterLines="0" w:line="360" w:lineRule="auto"/>
        <w:ind w:firstLine="681" w:firstLineChars="213"/>
        <w:rPr>
          <w:rFonts w:hint="eastAsia" w:ascii="仿宋" w:hAnsi="仿宋" w:eastAsia="仿宋" w:cs="仿宋"/>
          <w:snapToGrid w:val="0"/>
          <w:color w:val="auto"/>
          <w:sz w:val="32"/>
          <w:szCs w:val="32"/>
        </w:rPr>
      </w:pPr>
      <w:r>
        <w:rPr>
          <w:rFonts w:hint="eastAsia" w:ascii="仿宋" w:hAnsi="仿宋" w:eastAsia="仿宋" w:cs="仿宋"/>
          <w:snapToGrid w:val="0"/>
          <w:color w:val="auto"/>
          <w:sz w:val="32"/>
          <w:szCs w:val="32"/>
          <w:lang w:val="en-US" w:eastAsia="zh-CN"/>
        </w:rPr>
        <w:t>6</w:t>
      </w:r>
      <w:r>
        <w:rPr>
          <w:rFonts w:hint="eastAsia" w:ascii="仿宋" w:hAnsi="仿宋" w:eastAsia="仿宋" w:cs="仿宋"/>
          <w:snapToGrid w:val="0"/>
          <w:color w:val="auto"/>
          <w:sz w:val="32"/>
          <w:szCs w:val="32"/>
        </w:rPr>
        <w:t>.乙方委托的代理商名单：</w:t>
      </w:r>
    </w:p>
    <w:tbl>
      <w:tblPr>
        <w:tblStyle w:val="18"/>
        <w:tblW w:w="9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2282"/>
        <w:gridCol w:w="2880"/>
        <w:gridCol w:w="126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4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序号</w:t>
            </w:r>
          </w:p>
        </w:tc>
        <w:tc>
          <w:tcPr>
            <w:tcW w:w="22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代理商名称</w:t>
            </w:r>
          </w:p>
        </w:tc>
        <w:tc>
          <w:tcPr>
            <w:tcW w:w="28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详细地址</w:t>
            </w:r>
          </w:p>
        </w:tc>
        <w:tc>
          <w:tcPr>
            <w:tcW w:w="378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32"/>
                <w:szCs w:val="32"/>
              </w:rPr>
            </w:pPr>
          </w:p>
        </w:tc>
        <w:tc>
          <w:tcPr>
            <w:tcW w:w="22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32"/>
                <w:szCs w:val="32"/>
              </w:rPr>
            </w:pPr>
          </w:p>
        </w:tc>
        <w:tc>
          <w:tcPr>
            <w:tcW w:w="28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32"/>
                <w:szCs w:val="32"/>
              </w:rPr>
            </w:pP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pacing w:val="-10"/>
                <w:sz w:val="32"/>
                <w:szCs w:val="32"/>
              </w:rPr>
            </w:pPr>
            <w:r>
              <w:rPr>
                <w:rFonts w:hint="eastAsia" w:ascii="仿宋" w:hAnsi="仿宋" w:eastAsia="仿宋" w:cs="仿宋"/>
                <w:color w:val="auto"/>
                <w:spacing w:val="-10"/>
                <w:sz w:val="32"/>
                <w:szCs w:val="32"/>
              </w:rPr>
              <w:t>联系人</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pacing w:val="-10"/>
                <w:sz w:val="32"/>
                <w:szCs w:val="32"/>
              </w:rPr>
            </w:pPr>
            <w:r>
              <w:rPr>
                <w:rFonts w:hint="eastAsia" w:ascii="仿宋" w:hAnsi="仿宋" w:eastAsia="仿宋" w:cs="仿宋"/>
                <w:color w:val="auto"/>
                <w:spacing w:val="-10"/>
                <w:sz w:val="32"/>
                <w:szCs w:val="32"/>
              </w:rPr>
              <w:t>固定电话</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pacing w:val="-10"/>
                <w:sz w:val="32"/>
                <w:szCs w:val="32"/>
              </w:rPr>
            </w:pPr>
            <w:r>
              <w:rPr>
                <w:rFonts w:hint="eastAsia" w:ascii="仿宋" w:hAnsi="仿宋" w:eastAsia="仿宋" w:cs="仿宋"/>
                <w:color w:val="auto"/>
                <w:spacing w:val="-10"/>
                <w:sz w:val="32"/>
                <w:szCs w:val="32"/>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32"/>
                <w:szCs w:val="32"/>
              </w:rPr>
            </w:pPr>
          </w:p>
        </w:tc>
        <w:tc>
          <w:tcPr>
            <w:tcW w:w="22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32"/>
                <w:szCs w:val="32"/>
              </w:rPr>
            </w:pPr>
          </w:p>
        </w:tc>
        <w:tc>
          <w:tcPr>
            <w:tcW w:w="28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32"/>
                <w:szCs w:val="32"/>
              </w:rPr>
            </w:pP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pacing w:val="-10"/>
                <w:sz w:val="32"/>
                <w:szCs w:val="32"/>
              </w:rPr>
            </w:pP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pacing w:val="-10"/>
                <w:sz w:val="32"/>
                <w:szCs w:val="32"/>
              </w:rPr>
            </w:pP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pacing w:val="-1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32"/>
                <w:szCs w:val="32"/>
              </w:rPr>
            </w:pPr>
          </w:p>
        </w:tc>
        <w:tc>
          <w:tcPr>
            <w:tcW w:w="22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32"/>
                <w:szCs w:val="32"/>
              </w:rPr>
            </w:pPr>
          </w:p>
        </w:tc>
        <w:tc>
          <w:tcPr>
            <w:tcW w:w="28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32"/>
                <w:szCs w:val="32"/>
              </w:rPr>
            </w:pP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pacing w:val="-10"/>
                <w:sz w:val="32"/>
                <w:szCs w:val="32"/>
              </w:rPr>
            </w:pP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pacing w:val="-10"/>
                <w:sz w:val="32"/>
                <w:szCs w:val="32"/>
              </w:rPr>
            </w:pP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pacing w:val="-1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32"/>
                <w:szCs w:val="32"/>
              </w:rPr>
            </w:pPr>
          </w:p>
        </w:tc>
        <w:tc>
          <w:tcPr>
            <w:tcW w:w="22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32"/>
                <w:szCs w:val="32"/>
              </w:rPr>
            </w:pPr>
          </w:p>
        </w:tc>
        <w:tc>
          <w:tcPr>
            <w:tcW w:w="2880" w:type="dxa"/>
            <w:noWrap w:val="0"/>
            <w:vAlign w:val="center"/>
          </w:tcPr>
          <w:p>
            <w:pPr>
              <w:pStyle w:val="1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32"/>
                <w:szCs w:val="32"/>
              </w:rPr>
            </w:pP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pacing w:val="-10"/>
                <w:sz w:val="32"/>
                <w:szCs w:val="32"/>
              </w:rPr>
            </w:pP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pacing w:val="-10"/>
                <w:sz w:val="32"/>
                <w:szCs w:val="32"/>
              </w:rPr>
            </w:pP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pacing w:val="-10"/>
                <w:sz w:val="32"/>
                <w:szCs w:val="32"/>
              </w:rPr>
            </w:pPr>
          </w:p>
        </w:tc>
      </w:tr>
    </w:tbl>
    <w:p>
      <w:pPr>
        <w:snapToGrid w:val="0"/>
        <w:spacing w:line="360" w:lineRule="auto"/>
        <w:ind w:firstLine="643" w:firstLineChars="200"/>
        <w:rPr>
          <w:rFonts w:hint="eastAsia" w:ascii="仿宋" w:hAnsi="仿宋" w:eastAsia="仿宋" w:cs="仿宋"/>
          <w:snapToGrid w:val="0"/>
          <w:color w:val="auto"/>
          <w:kern w:val="2"/>
          <w:sz w:val="32"/>
          <w:szCs w:val="32"/>
          <w:lang w:val="en-US" w:eastAsia="zh-CN" w:bidi="ar-SA"/>
        </w:rPr>
      </w:pPr>
      <w:r>
        <w:rPr>
          <w:rFonts w:hint="eastAsia" w:ascii="仿宋" w:hAnsi="仿宋" w:eastAsia="仿宋" w:cs="仿宋"/>
          <w:b/>
          <w:bCs/>
          <w:color w:val="auto"/>
          <w:sz w:val="32"/>
          <w:szCs w:val="32"/>
          <w:lang w:val="en-US" w:eastAsia="zh-CN"/>
        </w:rPr>
        <w:t>*</w:t>
      </w:r>
      <w:r>
        <w:rPr>
          <w:rFonts w:hint="eastAsia" w:ascii="仿宋" w:hAnsi="仿宋" w:eastAsia="仿宋" w:cs="仿宋"/>
          <w:snapToGrid w:val="0"/>
          <w:color w:val="auto"/>
          <w:kern w:val="2"/>
          <w:sz w:val="32"/>
          <w:szCs w:val="32"/>
          <w:lang w:val="en-US" w:eastAsia="zh-CN" w:bidi="ar-SA"/>
        </w:rPr>
        <w:t>代理商名单以附件形式上传至协议中</w:t>
      </w:r>
    </w:p>
    <w:p>
      <w:pPr>
        <w:snapToGrid w:val="0"/>
        <w:spacing w:line="36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十四、补救措施和索赔</w:t>
      </w:r>
    </w:p>
    <w:p>
      <w:pPr>
        <w:snapToGrid w:val="0"/>
        <w:spacing w:line="360" w:lineRule="auto"/>
        <w:ind w:right="17" w:firstLine="640" w:firstLineChars="200"/>
        <w:rPr>
          <w:rFonts w:hint="eastAsia" w:ascii="仿宋" w:hAnsi="仿宋" w:eastAsia="仿宋" w:cs="仿宋"/>
          <w:snapToGrid w:val="0"/>
          <w:color w:val="auto"/>
          <w:kern w:val="2"/>
          <w:sz w:val="32"/>
          <w:szCs w:val="32"/>
          <w:lang w:val="en-US" w:eastAsia="zh-CN" w:bidi="ar-SA"/>
        </w:rPr>
      </w:pPr>
      <w:r>
        <w:rPr>
          <w:rFonts w:hint="eastAsia" w:ascii="仿宋" w:hAnsi="仿宋" w:eastAsia="仿宋" w:cs="仿宋"/>
          <w:snapToGrid w:val="0"/>
          <w:color w:val="auto"/>
          <w:kern w:val="2"/>
          <w:sz w:val="32"/>
          <w:szCs w:val="32"/>
          <w:lang w:val="en-US" w:eastAsia="zh-CN" w:bidi="ar-SA"/>
        </w:rPr>
        <w:t>1.采购人有权根据质量检测部门出具的检验证书向乙方或供货商提出索赔。</w:t>
      </w:r>
    </w:p>
    <w:p>
      <w:pPr>
        <w:snapToGrid w:val="0"/>
        <w:spacing w:line="360" w:lineRule="auto"/>
        <w:ind w:firstLine="640" w:firstLineChars="200"/>
        <w:rPr>
          <w:rFonts w:hint="eastAsia" w:ascii="仿宋" w:hAnsi="仿宋" w:eastAsia="仿宋" w:cs="仿宋"/>
          <w:bCs/>
          <w:color w:val="auto"/>
          <w:kern w:val="0"/>
          <w:sz w:val="32"/>
          <w:szCs w:val="32"/>
        </w:rPr>
      </w:pPr>
      <w:r>
        <w:rPr>
          <w:rFonts w:hint="eastAsia" w:ascii="仿宋" w:hAnsi="仿宋" w:eastAsia="仿宋" w:cs="仿宋"/>
          <w:snapToGrid w:val="0"/>
          <w:color w:val="auto"/>
          <w:kern w:val="2"/>
          <w:sz w:val="32"/>
          <w:szCs w:val="32"/>
          <w:lang w:val="en-US" w:eastAsia="zh-CN" w:bidi="ar-SA"/>
        </w:rPr>
        <w:t>2.在质量保证期内，如果乙方或供货商对缺陷产品负有责任而采购</w:t>
      </w:r>
      <w:r>
        <w:rPr>
          <w:rFonts w:hint="eastAsia" w:ascii="仿宋" w:hAnsi="仿宋" w:eastAsia="仿宋" w:cs="仿宋"/>
          <w:bCs/>
          <w:color w:val="auto"/>
          <w:kern w:val="0"/>
          <w:sz w:val="32"/>
          <w:szCs w:val="32"/>
        </w:rPr>
        <w:t>人提出索赔的，乙方或供货商承诺按照采购人同意的下列一种或多种方式解决索赔事宜：</w:t>
      </w:r>
    </w:p>
    <w:p>
      <w:pPr>
        <w:snapToGrid w:val="0"/>
        <w:spacing w:line="360" w:lineRule="auto"/>
        <w:ind w:firstLine="640" w:firstLineChars="200"/>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（1）乙方或供货商同意退货并将货款退还给采购人，由此发生的一切费用和损失由乙方承担。</w:t>
      </w:r>
    </w:p>
    <w:p>
      <w:pPr>
        <w:snapToGrid w:val="0"/>
        <w:spacing w:line="360" w:lineRule="auto"/>
        <w:ind w:firstLine="640" w:firstLineChars="200"/>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（2）根据产品的质量状况以及采购人所遭受的损失，经过甲乙双方商定降低产品的价格。</w:t>
      </w:r>
    </w:p>
    <w:p>
      <w:pPr>
        <w:snapToGrid w:val="0"/>
        <w:spacing w:line="360" w:lineRule="auto"/>
        <w:ind w:firstLine="640" w:firstLineChars="200"/>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3）乙方或供货商在接到采购人通知后七天内负责采用符合订单或合同规定的规格、质量和性能要求的新零件、部件和设备来更换有缺陷的部分或修补缺陷部分，但其费用及是否相应延长更换或修补件的质量保证期按双方约定进行。</w:t>
      </w:r>
    </w:p>
    <w:p>
      <w:pPr>
        <w:snapToGrid w:val="0"/>
        <w:spacing w:line="360" w:lineRule="auto"/>
        <w:ind w:firstLine="640" w:firstLineChars="200"/>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3.如果在采购人发出索赔通知后十天内乙方未作答复，视为乙方或供货商已接受。</w:t>
      </w:r>
    </w:p>
    <w:p>
      <w:pPr>
        <w:tabs>
          <w:tab w:val="left" w:pos="3780"/>
        </w:tabs>
        <w:snapToGrid w:val="0"/>
        <w:spacing w:line="360" w:lineRule="auto"/>
        <w:ind w:firstLine="643" w:firstLineChars="200"/>
        <w:rPr>
          <w:rFonts w:hint="eastAsia" w:ascii="仿宋" w:hAnsi="仿宋" w:eastAsia="仿宋" w:cs="仿宋"/>
          <w:b/>
          <w:color w:val="auto"/>
          <w:sz w:val="32"/>
          <w:szCs w:val="32"/>
        </w:rPr>
      </w:pPr>
      <w:r>
        <w:rPr>
          <w:rFonts w:hint="eastAsia" w:ascii="仿宋" w:hAnsi="仿宋" w:eastAsia="仿宋" w:cs="仿宋"/>
          <w:b/>
          <w:color w:val="auto"/>
          <w:sz w:val="32"/>
          <w:szCs w:val="32"/>
        </w:rPr>
        <w:t>十五、履约延误</w:t>
      </w:r>
    </w:p>
    <w:p>
      <w:pPr>
        <w:snapToGrid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snapToGrid w:val="0"/>
          <w:color w:val="auto"/>
          <w:sz w:val="32"/>
          <w:szCs w:val="32"/>
        </w:rPr>
        <w:t>乙方或</w:t>
      </w:r>
      <w:r>
        <w:rPr>
          <w:rFonts w:hint="eastAsia" w:ascii="仿宋" w:hAnsi="仿宋" w:eastAsia="仿宋" w:cs="仿宋"/>
          <w:bCs/>
          <w:color w:val="auto"/>
          <w:kern w:val="0"/>
          <w:sz w:val="32"/>
          <w:szCs w:val="32"/>
        </w:rPr>
        <w:t>代理商</w:t>
      </w:r>
      <w:r>
        <w:rPr>
          <w:rFonts w:hint="eastAsia" w:ascii="仿宋" w:hAnsi="仿宋" w:eastAsia="仿宋" w:cs="仿宋"/>
          <w:color w:val="auto"/>
          <w:sz w:val="32"/>
          <w:szCs w:val="32"/>
        </w:rPr>
        <w:t>按照合同</w:t>
      </w:r>
      <w:r>
        <w:rPr>
          <w:rFonts w:hint="eastAsia" w:ascii="仿宋" w:hAnsi="仿宋" w:eastAsia="仿宋" w:cs="仿宋"/>
          <w:bCs/>
          <w:color w:val="auto"/>
          <w:kern w:val="0"/>
          <w:sz w:val="32"/>
          <w:szCs w:val="32"/>
        </w:rPr>
        <w:t>规定</w:t>
      </w:r>
      <w:r>
        <w:rPr>
          <w:rFonts w:hint="eastAsia" w:ascii="仿宋" w:hAnsi="仿宋" w:eastAsia="仿宋" w:cs="仿宋"/>
          <w:color w:val="auto"/>
          <w:sz w:val="32"/>
          <w:szCs w:val="32"/>
        </w:rPr>
        <w:t>的时间、地点交货和提供服务。</w:t>
      </w:r>
    </w:p>
    <w:p>
      <w:pPr>
        <w:snapToGrid w:val="0"/>
        <w:spacing w:line="360" w:lineRule="auto"/>
        <w:ind w:right="17"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2.在履行合同过程中，如果</w:t>
      </w:r>
      <w:r>
        <w:rPr>
          <w:rFonts w:hint="eastAsia" w:ascii="仿宋" w:hAnsi="仿宋" w:eastAsia="仿宋" w:cs="仿宋"/>
          <w:snapToGrid w:val="0"/>
          <w:color w:val="auto"/>
          <w:sz w:val="32"/>
          <w:szCs w:val="32"/>
        </w:rPr>
        <w:t>乙方或</w:t>
      </w:r>
      <w:r>
        <w:rPr>
          <w:rFonts w:hint="eastAsia" w:ascii="仿宋" w:hAnsi="仿宋" w:eastAsia="仿宋" w:cs="仿宋"/>
          <w:bCs/>
          <w:color w:val="auto"/>
          <w:kern w:val="0"/>
          <w:sz w:val="32"/>
          <w:szCs w:val="32"/>
        </w:rPr>
        <w:t>代理商</w:t>
      </w:r>
      <w:r>
        <w:rPr>
          <w:rFonts w:hint="eastAsia" w:ascii="仿宋" w:hAnsi="仿宋" w:eastAsia="仿宋" w:cs="仿宋"/>
          <w:color w:val="auto"/>
          <w:sz w:val="32"/>
          <w:szCs w:val="32"/>
        </w:rPr>
        <w:t>遇到妨碍按时交货和提供服务的情况时，将及时将拖延的事实、可能拖延的期限和理由通知采购人，</w:t>
      </w:r>
      <w:r>
        <w:rPr>
          <w:rFonts w:hint="eastAsia" w:ascii="仿宋" w:hAnsi="仿宋" w:eastAsia="仿宋" w:cs="仿宋"/>
          <w:snapToGrid w:val="0"/>
          <w:color w:val="auto"/>
          <w:sz w:val="32"/>
          <w:szCs w:val="32"/>
        </w:rPr>
        <w:t>乙方或</w:t>
      </w:r>
      <w:r>
        <w:rPr>
          <w:rFonts w:hint="eastAsia" w:ascii="仿宋" w:hAnsi="仿宋" w:eastAsia="仿宋" w:cs="仿宋"/>
          <w:bCs/>
          <w:color w:val="auto"/>
          <w:kern w:val="0"/>
          <w:sz w:val="32"/>
          <w:szCs w:val="32"/>
        </w:rPr>
        <w:t>代理商</w:t>
      </w:r>
      <w:r>
        <w:rPr>
          <w:rFonts w:hint="eastAsia" w:ascii="仿宋" w:hAnsi="仿宋" w:eastAsia="仿宋" w:cs="仿宋"/>
          <w:color w:val="auto"/>
          <w:sz w:val="32"/>
          <w:szCs w:val="32"/>
        </w:rPr>
        <w:t>承诺根据采购人意见，确定是否延长交货时间或取消本次采购。</w:t>
      </w:r>
    </w:p>
    <w:p>
      <w:pPr>
        <w:snapToGrid w:val="0"/>
        <w:spacing w:line="360" w:lineRule="auto"/>
        <w:ind w:right="17"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3.如</w:t>
      </w:r>
      <w:r>
        <w:rPr>
          <w:rFonts w:hint="eastAsia" w:ascii="仿宋" w:hAnsi="仿宋" w:eastAsia="仿宋" w:cs="仿宋"/>
          <w:snapToGrid w:val="0"/>
          <w:color w:val="auto"/>
          <w:sz w:val="32"/>
          <w:szCs w:val="32"/>
        </w:rPr>
        <w:t>乙方或</w:t>
      </w:r>
      <w:r>
        <w:rPr>
          <w:rFonts w:hint="eastAsia" w:ascii="仿宋" w:hAnsi="仿宋" w:eastAsia="仿宋" w:cs="仿宋"/>
          <w:bCs/>
          <w:color w:val="auto"/>
          <w:kern w:val="0"/>
          <w:sz w:val="32"/>
          <w:szCs w:val="32"/>
        </w:rPr>
        <w:t>代理商</w:t>
      </w:r>
      <w:r>
        <w:rPr>
          <w:rFonts w:hint="eastAsia" w:ascii="仿宋" w:hAnsi="仿宋" w:eastAsia="仿宋" w:cs="仿宋"/>
          <w:color w:val="auto"/>
          <w:sz w:val="32"/>
          <w:szCs w:val="32"/>
        </w:rPr>
        <w:t>无正当理由拖延交货，采购人有权追究乙方的违约责任。</w:t>
      </w:r>
    </w:p>
    <w:p>
      <w:pPr>
        <w:snapToGrid w:val="0"/>
        <w:spacing w:line="360" w:lineRule="auto"/>
        <w:ind w:right="17"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4.如采购人需求错误或者无故不签收</w:t>
      </w:r>
      <w:r>
        <w:rPr>
          <w:rFonts w:hint="eastAsia" w:ascii="仿宋" w:hAnsi="仿宋" w:cs="仿宋"/>
          <w:color w:val="auto"/>
          <w:sz w:val="32"/>
          <w:szCs w:val="32"/>
          <w:lang w:eastAsia="zh-CN"/>
        </w:rPr>
        <w:t>（</w:t>
      </w:r>
      <w:r>
        <w:rPr>
          <w:rFonts w:hint="eastAsia" w:ascii="仿宋" w:hAnsi="仿宋" w:eastAsia="仿宋" w:cs="仿宋"/>
          <w:color w:val="auto"/>
          <w:sz w:val="32"/>
          <w:szCs w:val="32"/>
        </w:rPr>
        <w:t>不验收</w:t>
      </w:r>
      <w:r>
        <w:rPr>
          <w:rFonts w:hint="eastAsia" w:ascii="仿宋" w:hAnsi="仿宋" w:cs="仿宋"/>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仿宋"/>
          <w:snapToGrid w:val="0"/>
          <w:color w:val="auto"/>
          <w:sz w:val="32"/>
          <w:szCs w:val="32"/>
        </w:rPr>
        <w:t>乙方或</w:t>
      </w:r>
      <w:r>
        <w:rPr>
          <w:rFonts w:hint="eastAsia" w:ascii="仿宋" w:hAnsi="仿宋" w:eastAsia="仿宋" w:cs="仿宋"/>
          <w:bCs/>
          <w:color w:val="auto"/>
          <w:kern w:val="0"/>
          <w:sz w:val="32"/>
          <w:szCs w:val="32"/>
        </w:rPr>
        <w:t>代理商</w:t>
      </w:r>
      <w:r>
        <w:rPr>
          <w:rFonts w:hint="eastAsia" w:ascii="仿宋" w:hAnsi="仿宋" w:eastAsia="仿宋" w:cs="仿宋"/>
          <w:color w:val="auto"/>
          <w:sz w:val="32"/>
          <w:szCs w:val="32"/>
        </w:rPr>
        <w:t>将及时向同级财政部门书面申请协调。</w:t>
      </w:r>
    </w:p>
    <w:p>
      <w:pPr>
        <w:pStyle w:val="11"/>
        <w:adjustRightInd w:val="0"/>
        <w:snapToGrid w:val="0"/>
        <w:spacing w:beforeLines="0" w:afterLines="0" w:line="360" w:lineRule="auto"/>
        <w:ind w:firstLine="684" w:firstLineChars="213"/>
        <w:rPr>
          <w:rFonts w:hint="eastAsia" w:ascii="仿宋" w:hAnsi="仿宋" w:eastAsia="仿宋" w:cs="仿宋"/>
          <w:b/>
          <w:snapToGrid w:val="0"/>
          <w:color w:val="auto"/>
          <w:sz w:val="32"/>
          <w:szCs w:val="32"/>
        </w:rPr>
      </w:pPr>
      <w:r>
        <w:rPr>
          <w:rFonts w:hint="eastAsia" w:ascii="仿宋" w:hAnsi="仿宋" w:eastAsia="仿宋" w:cs="仿宋"/>
          <w:b/>
          <w:snapToGrid w:val="0"/>
          <w:color w:val="auto"/>
          <w:sz w:val="32"/>
          <w:szCs w:val="32"/>
        </w:rPr>
        <w:t>十六、验收</w:t>
      </w:r>
    </w:p>
    <w:p>
      <w:pPr>
        <w:widowControl/>
        <w:overflowPunct w:val="0"/>
        <w:autoSpaceDE w:val="0"/>
        <w:autoSpaceDN w:val="0"/>
        <w:snapToGrid w:val="0"/>
        <w:spacing w:line="360" w:lineRule="auto"/>
        <w:ind w:firstLine="672" w:firstLineChars="21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1.交付时，采购人根据</w:t>
      </w:r>
      <w:r>
        <w:rPr>
          <w:rFonts w:hint="eastAsia" w:ascii="仿宋" w:hAnsi="仿宋" w:eastAsia="仿宋" w:cs="仿宋"/>
          <w:color w:val="auto"/>
          <w:kern w:val="0"/>
          <w:sz w:val="32"/>
          <w:szCs w:val="32"/>
          <w:lang w:eastAsia="zh-CN"/>
        </w:rPr>
        <w:t>产品</w:t>
      </w:r>
      <w:r>
        <w:rPr>
          <w:rFonts w:hint="eastAsia" w:ascii="仿宋" w:hAnsi="仿宋" w:eastAsia="仿宋" w:cs="仿宋"/>
          <w:color w:val="auto"/>
          <w:kern w:val="0"/>
          <w:sz w:val="32"/>
          <w:szCs w:val="32"/>
        </w:rPr>
        <w:t>的技术规格要求和质量标准，对</w:t>
      </w:r>
      <w:r>
        <w:rPr>
          <w:rFonts w:hint="eastAsia" w:ascii="仿宋" w:hAnsi="仿宋" w:eastAsia="仿宋" w:cs="仿宋"/>
          <w:color w:val="auto"/>
          <w:kern w:val="0"/>
          <w:sz w:val="32"/>
          <w:szCs w:val="32"/>
          <w:lang w:eastAsia="zh-CN"/>
        </w:rPr>
        <w:t>产品</w:t>
      </w:r>
      <w:r>
        <w:rPr>
          <w:rFonts w:hint="eastAsia" w:ascii="仿宋" w:hAnsi="仿宋" w:eastAsia="仿宋" w:cs="仿宋"/>
          <w:color w:val="auto"/>
          <w:kern w:val="0"/>
          <w:sz w:val="32"/>
          <w:szCs w:val="32"/>
        </w:rPr>
        <w:t>进行检查验收。验收合格后，采购人收取发票并在</w:t>
      </w:r>
      <w:r>
        <w:rPr>
          <w:rFonts w:hint="eastAsia" w:ascii="仿宋" w:hAnsi="仿宋" w:eastAsia="仿宋" w:cs="仿宋"/>
          <w:bCs/>
          <w:color w:val="auto"/>
          <w:kern w:val="0"/>
          <w:sz w:val="32"/>
          <w:szCs w:val="32"/>
        </w:rPr>
        <w:t>《验收提货单》</w:t>
      </w:r>
      <w:r>
        <w:rPr>
          <w:rFonts w:hint="eastAsia" w:ascii="仿宋" w:hAnsi="仿宋" w:eastAsia="仿宋" w:cs="仿宋"/>
          <w:color w:val="auto"/>
          <w:kern w:val="0"/>
          <w:sz w:val="32"/>
          <w:szCs w:val="32"/>
        </w:rPr>
        <w:t>上签署验收意见及加盖单位公章。</w:t>
      </w:r>
    </w:p>
    <w:p>
      <w:pPr>
        <w:widowControl/>
        <w:overflowPunct w:val="0"/>
        <w:autoSpaceDE w:val="0"/>
        <w:autoSpaceDN w:val="0"/>
        <w:snapToGrid w:val="0"/>
        <w:spacing w:line="360" w:lineRule="auto"/>
        <w:ind w:firstLine="672" w:firstLineChars="21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2.在验收过程中发现质量、技术等问题，</w:t>
      </w:r>
      <w:r>
        <w:rPr>
          <w:rFonts w:hint="eastAsia" w:ascii="仿宋" w:hAnsi="仿宋" w:eastAsia="仿宋" w:cs="仿宋"/>
          <w:snapToGrid w:val="0"/>
          <w:color w:val="auto"/>
          <w:sz w:val="32"/>
          <w:szCs w:val="32"/>
        </w:rPr>
        <w:t>乙方或</w:t>
      </w:r>
      <w:r>
        <w:rPr>
          <w:rFonts w:hint="eastAsia" w:ascii="仿宋" w:hAnsi="仿宋" w:eastAsia="仿宋" w:cs="仿宋"/>
          <w:bCs/>
          <w:color w:val="auto"/>
          <w:kern w:val="0"/>
          <w:sz w:val="32"/>
          <w:szCs w:val="32"/>
        </w:rPr>
        <w:t>供货商</w:t>
      </w:r>
      <w:r>
        <w:rPr>
          <w:rFonts w:hint="eastAsia" w:ascii="仿宋" w:hAnsi="仿宋" w:eastAsia="仿宋" w:cs="仿宋"/>
          <w:color w:val="auto"/>
          <w:kern w:val="0"/>
          <w:sz w:val="32"/>
          <w:szCs w:val="32"/>
        </w:rPr>
        <w:t>应负责按照采购人的要求采取补足、更换</w:t>
      </w:r>
      <w:r>
        <w:rPr>
          <w:rFonts w:hint="eastAsia" w:ascii="仿宋" w:hAnsi="仿宋" w:cs="仿宋"/>
          <w:color w:val="auto"/>
          <w:kern w:val="0"/>
          <w:sz w:val="32"/>
          <w:szCs w:val="32"/>
          <w:lang w:eastAsia="zh-CN"/>
        </w:rPr>
        <w:t>，</w:t>
      </w:r>
      <w:r>
        <w:rPr>
          <w:rFonts w:hint="eastAsia" w:ascii="仿宋" w:hAnsi="仿宋" w:eastAsia="仿宋" w:cs="仿宋"/>
          <w:color w:val="auto"/>
          <w:kern w:val="0"/>
          <w:sz w:val="32"/>
          <w:szCs w:val="32"/>
        </w:rPr>
        <w:t>甲方有权力要求退货等处理措施；</w:t>
      </w:r>
      <w:r>
        <w:rPr>
          <w:rFonts w:hint="eastAsia" w:ascii="仿宋" w:hAnsi="仿宋" w:eastAsia="仿宋" w:cs="仿宋"/>
          <w:snapToGrid w:val="0"/>
          <w:color w:val="auto"/>
          <w:sz w:val="32"/>
          <w:szCs w:val="32"/>
        </w:rPr>
        <w:t>乙方或</w:t>
      </w:r>
      <w:r>
        <w:rPr>
          <w:rFonts w:hint="eastAsia" w:ascii="仿宋" w:hAnsi="仿宋" w:eastAsia="仿宋" w:cs="仿宋"/>
          <w:bCs/>
          <w:color w:val="auto"/>
          <w:kern w:val="0"/>
          <w:sz w:val="32"/>
          <w:szCs w:val="32"/>
        </w:rPr>
        <w:t>供货商</w:t>
      </w:r>
      <w:r>
        <w:rPr>
          <w:rFonts w:hint="eastAsia" w:ascii="仿宋" w:hAnsi="仿宋" w:eastAsia="仿宋" w:cs="仿宋"/>
          <w:color w:val="auto"/>
          <w:kern w:val="0"/>
          <w:sz w:val="32"/>
          <w:szCs w:val="32"/>
        </w:rPr>
        <w:t>承担由此发生的一切费用和损失。</w:t>
      </w:r>
    </w:p>
    <w:p>
      <w:pPr>
        <w:widowControl/>
        <w:overflowPunct w:val="0"/>
        <w:autoSpaceDE w:val="0"/>
        <w:autoSpaceDN w:val="0"/>
        <w:snapToGrid w:val="0"/>
        <w:spacing w:line="360" w:lineRule="auto"/>
        <w:ind w:firstLine="672" w:firstLineChars="21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3.采购人在</w:t>
      </w:r>
      <w:r>
        <w:rPr>
          <w:rFonts w:hint="eastAsia" w:ascii="仿宋" w:hAnsi="仿宋" w:eastAsia="仿宋" w:cs="仿宋"/>
          <w:snapToGrid w:val="0"/>
          <w:color w:val="auto"/>
          <w:sz w:val="32"/>
          <w:szCs w:val="32"/>
        </w:rPr>
        <w:t>乙方或</w:t>
      </w:r>
      <w:r>
        <w:rPr>
          <w:rFonts w:hint="eastAsia" w:ascii="仿宋" w:hAnsi="仿宋" w:eastAsia="仿宋" w:cs="仿宋"/>
          <w:bCs/>
          <w:color w:val="auto"/>
          <w:kern w:val="0"/>
          <w:sz w:val="32"/>
          <w:szCs w:val="32"/>
        </w:rPr>
        <w:t>供货商</w:t>
      </w:r>
      <w:r>
        <w:rPr>
          <w:rFonts w:hint="eastAsia" w:ascii="仿宋" w:hAnsi="仿宋" w:eastAsia="仿宋" w:cs="仿宋"/>
          <w:color w:val="auto"/>
          <w:kern w:val="0"/>
          <w:sz w:val="32"/>
          <w:szCs w:val="32"/>
        </w:rPr>
        <w:t>按合同规定交货后，无正当理由而拖延接收、验收或拒绝接收、验收的，应承担由此而造成的</w:t>
      </w:r>
      <w:r>
        <w:rPr>
          <w:rFonts w:hint="eastAsia" w:ascii="仿宋" w:hAnsi="仿宋" w:eastAsia="仿宋" w:cs="仿宋"/>
          <w:snapToGrid w:val="0"/>
          <w:color w:val="auto"/>
          <w:sz w:val="32"/>
          <w:szCs w:val="32"/>
        </w:rPr>
        <w:t>乙方或</w:t>
      </w:r>
      <w:r>
        <w:rPr>
          <w:rFonts w:hint="eastAsia" w:ascii="仿宋" w:hAnsi="仿宋" w:eastAsia="仿宋" w:cs="仿宋"/>
          <w:bCs/>
          <w:color w:val="auto"/>
          <w:kern w:val="0"/>
          <w:sz w:val="32"/>
          <w:szCs w:val="32"/>
        </w:rPr>
        <w:t>供货商</w:t>
      </w:r>
      <w:r>
        <w:rPr>
          <w:rFonts w:hint="eastAsia" w:ascii="仿宋" w:hAnsi="仿宋" w:eastAsia="仿宋" w:cs="仿宋"/>
          <w:color w:val="auto"/>
          <w:kern w:val="0"/>
          <w:sz w:val="32"/>
          <w:szCs w:val="32"/>
        </w:rPr>
        <w:t>方直接损失。</w:t>
      </w:r>
    </w:p>
    <w:p>
      <w:pPr>
        <w:pStyle w:val="11"/>
        <w:adjustRightInd w:val="0"/>
        <w:snapToGrid w:val="0"/>
        <w:spacing w:beforeLines="0" w:afterLines="0" w:line="360" w:lineRule="auto"/>
        <w:ind w:firstLine="684" w:firstLineChars="213"/>
        <w:rPr>
          <w:rFonts w:hint="eastAsia" w:ascii="仿宋" w:hAnsi="仿宋" w:eastAsia="仿宋" w:cs="仿宋"/>
          <w:b/>
          <w:snapToGrid w:val="0"/>
          <w:color w:val="auto"/>
          <w:sz w:val="32"/>
          <w:szCs w:val="32"/>
        </w:rPr>
      </w:pPr>
      <w:r>
        <w:rPr>
          <w:rFonts w:hint="eastAsia" w:ascii="仿宋" w:hAnsi="仿宋" w:eastAsia="仿宋" w:cs="仿宋"/>
          <w:b/>
          <w:snapToGrid w:val="0"/>
          <w:color w:val="auto"/>
          <w:sz w:val="32"/>
          <w:szCs w:val="32"/>
        </w:rPr>
        <w:t>十七、产品包装</w:t>
      </w:r>
    </w:p>
    <w:p>
      <w:pPr>
        <w:pStyle w:val="11"/>
        <w:adjustRightInd w:val="0"/>
        <w:snapToGrid w:val="0"/>
        <w:spacing w:beforeLines="0" w:afterLines="0" w:line="360" w:lineRule="auto"/>
        <w:ind w:firstLine="681" w:firstLineChars="213"/>
        <w:rPr>
          <w:rFonts w:hint="eastAsia" w:ascii="仿宋" w:hAnsi="仿宋" w:eastAsia="仿宋" w:cs="仿宋"/>
          <w:snapToGrid w:val="0"/>
          <w:color w:val="auto"/>
          <w:sz w:val="32"/>
          <w:szCs w:val="32"/>
        </w:rPr>
      </w:pPr>
      <w:r>
        <w:rPr>
          <w:rFonts w:hint="eastAsia" w:ascii="仿宋" w:hAnsi="仿宋" w:eastAsia="仿宋" w:cs="仿宋"/>
          <w:snapToGrid w:val="0"/>
          <w:color w:val="auto"/>
          <w:sz w:val="32"/>
          <w:szCs w:val="32"/>
        </w:rPr>
        <w:t>乙方或</w:t>
      </w:r>
      <w:r>
        <w:rPr>
          <w:rFonts w:hint="eastAsia" w:ascii="仿宋" w:hAnsi="仿宋" w:eastAsia="仿宋" w:cs="仿宋"/>
          <w:bCs/>
          <w:color w:val="auto"/>
          <w:kern w:val="0"/>
          <w:sz w:val="32"/>
          <w:szCs w:val="32"/>
        </w:rPr>
        <w:t>供货商</w:t>
      </w:r>
      <w:r>
        <w:rPr>
          <w:rFonts w:hint="eastAsia" w:ascii="仿宋" w:hAnsi="仿宋" w:eastAsia="仿宋" w:cs="仿宋"/>
          <w:snapToGrid w:val="0"/>
          <w:color w:val="auto"/>
          <w:sz w:val="32"/>
          <w:szCs w:val="32"/>
        </w:rPr>
        <w:t>按国家包装标准执行。</w:t>
      </w:r>
    </w:p>
    <w:p>
      <w:pPr>
        <w:pStyle w:val="11"/>
        <w:adjustRightInd w:val="0"/>
        <w:snapToGrid w:val="0"/>
        <w:spacing w:beforeLines="0" w:afterLines="0" w:line="360" w:lineRule="auto"/>
        <w:ind w:firstLine="684" w:firstLineChars="213"/>
        <w:rPr>
          <w:rFonts w:hint="eastAsia" w:ascii="仿宋" w:hAnsi="仿宋" w:eastAsia="仿宋" w:cs="仿宋"/>
          <w:b/>
          <w:snapToGrid w:val="0"/>
          <w:color w:val="auto"/>
          <w:sz w:val="32"/>
          <w:szCs w:val="32"/>
        </w:rPr>
      </w:pPr>
      <w:r>
        <w:rPr>
          <w:rFonts w:hint="eastAsia" w:ascii="仿宋" w:hAnsi="仿宋" w:eastAsia="仿宋" w:cs="仿宋"/>
          <w:b/>
          <w:snapToGrid w:val="0"/>
          <w:color w:val="auto"/>
          <w:sz w:val="32"/>
          <w:szCs w:val="32"/>
        </w:rPr>
        <w:t xml:space="preserve">十八、违约处理  </w:t>
      </w:r>
    </w:p>
    <w:p>
      <w:pPr>
        <w:snapToGrid w:val="0"/>
        <w:spacing w:line="360" w:lineRule="auto"/>
        <w:ind w:firstLine="640" w:firstLineChars="200"/>
        <w:rPr>
          <w:rFonts w:hint="eastAsia" w:ascii="仿宋" w:hAnsi="仿宋" w:eastAsia="仿宋" w:cs="仿宋"/>
          <w:snapToGrid w:val="0"/>
          <w:color w:val="auto"/>
          <w:sz w:val="32"/>
          <w:szCs w:val="32"/>
        </w:rPr>
      </w:pPr>
      <w:r>
        <w:rPr>
          <w:rFonts w:hint="eastAsia" w:ascii="仿宋" w:hAnsi="仿宋" w:cs="仿宋"/>
          <w:snapToGrid w:val="0"/>
          <w:color w:val="auto"/>
          <w:sz w:val="32"/>
          <w:szCs w:val="32"/>
          <w:lang w:eastAsia="zh-CN"/>
        </w:rPr>
        <w:t>甲方</w:t>
      </w:r>
      <w:r>
        <w:rPr>
          <w:rFonts w:hint="eastAsia" w:ascii="仿宋" w:hAnsi="仿宋" w:eastAsia="仿宋" w:cs="仿宋"/>
          <w:snapToGrid w:val="0"/>
          <w:color w:val="auto"/>
          <w:sz w:val="32"/>
          <w:szCs w:val="32"/>
        </w:rPr>
        <w:t>对</w:t>
      </w:r>
      <w:r>
        <w:rPr>
          <w:rFonts w:hint="eastAsia" w:ascii="仿宋" w:hAnsi="仿宋" w:cs="仿宋"/>
          <w:snapToGrid w:val="0"/>
          <w:color w:val="auto"/>
          <w:sz w:val="32"/>
          <w:szCs w:val="32"/>
          <w:lang w:eastAsia="zh-CN"/>
        </w:rPr>
        <w:t>乙方</w:t>
      </w:r>
      <w:r>
        <w:rPr>
          <w:rFonts w:hint="eastAsia" w:ascii="仿宋" w:hAnsi="仿宋" w:eastAsia="仿宋" w:cs="仿宋"/>
          <w:snapToGrid w:val="0"/>
          <w:color w:val="auto"/>
          <w:sz w:val="32"/>
          <w:szCs w:val="32"/>
        </w:rPr>
        <w:t>及其代理商履约情况进行管理，形式包括但不限于专项检查、随机抽查、交易纠纷申诉，检查及处理情况在政采云平台框架协议模块中公布。</w:t>
      </w:r>
    </w:p>
    <w:p>
      <w:pPr>
        <w:adjustRightInd w:val="0"/>
        <w:snapToGrid w:val="0"/>
        <w:spacing w:line="360" w:lineRule="auto"/>
        <w:ind w:firstLine="640" w:firstLineChars="200"/>
        <w:rPr>
          <w:rFonts w:ascii="仿宋" w:hAnsi="仿宋" w:eastAsia="仿宋"/>
          <w:snapToGrid w:val="0"/>
          <w:color w:val="auto"/>
          <w:kern w:val="0"/>
          <w:sz w:val="32"/>
        </w:rPr>
      </w:pPr>
      <w:r>
        <w:rPr>
          <w:rFonts w:hint="eastAsia" w:ascii="仿宋" w:hAnsi="仿宋" w:eastAsia="仿宋"/>
          <w:snapToGrid w:val="0"/>
          <w:color w:val="auto"/>
          <w:kern w:val="0"/>
          <w:sz w:val="32"/>
        </w:rPr>
        <w:t>（一）</w:t>
      </w:r>
      <w:r>
        <w:rPr>
          <w:rFonts w:hint="eastAsia" w:ascii="仿宋" w:hAnsi="仿宋"/>
          <w:snapToGrid w:val="0"/>
          <w:color w:val="auto"/>
          <w:kern w:val="0"/>
          <w:sz w:val="32"/>
          <w:lang w:val="en-US" w:eastAsia="zh-CN"/>
        </w:rPr>
        <w:t>乙方</w:t>
      </w:r>
      <w:r>
        <w:rPr>
          <w:rFonts w:hint="eastAsia" w:ascii="仿宋" w:hAnsi="仿宋" w:eastAsia="仿宋"/>
          <w:snapToGrid w:val="0"/>
          <w:color w:val="auto"/>
          <w:kern w:val="0"/>
          <w:sz w:val="32"/>
        </w:rPr>
        <w:t>或者其代理商有下列情形之一的，</w:t>
      </w:r>
      <w:r>
        <w:rPr>
          <w:rFonts w:hint="eastAsia" w:ascii="仿宋" w:hAnsi="仿宋"/>
          <w:snapToGrid w:val="0"/>
          <w:color w:val="auto"/>
          <w:kern w:val="0"/>
          <w:sz w:val="32"/>
          <w:lang w:val="en-US" w:eastAsia="zh-CN"/>
        </w:rPr>
        <w:t>甲方</w:t>
      </w:r>
      <w:r>
        <w:rPr>
          <w:rFonts w:hint="eastAsia" w:ascii="仿宋" w:hAnsi="仿宋" w:eastAsia="仿宋"/>
          <w:snapToGrid w:val="0"/>
          <w:color w:val="auto"/>
          <w:kern w:val="0"/>
          <w:sz w:val="32"/>
        </w:rPr>
        <w:t>依照《政府采购框架协议采购方式管理暂行办法》（财政部令110号），本项目征集文件、框架协议、</w:t>
      </w:r>
      <w:r>
        <w:rPr>
          <w:rFonts w:hint="eastAsia" w:ascii="仿宋" w:hAnsi="仿宋" w:eastAsia="仿宋"/>
          <w:b/>
          <w:bCs/>
          <w:snapToGrid w:val="0"/>
          <w:color w:val="auto"/>
          <w:kern w:val="0"/>
          <w:sz w:val="32"/>
          <w:lang w:val="en-US" w:eastAsia="zh-CN"/>
        </w:rPr>
        <w:t>承诺书</w:t>
      </w:r>
      <w:r>
        <w:rPr>
          <w:rFonts w:hint="eastAsia" w:ascii="仿宋" w:hAnsi="仿宋" w:eastAsia="仿宋"/>
          <w:snapToGrid w:val="0"/>
          <w:color w:val="auto"/>
          <w:kern w:val="0"/>
          <w:sz w:val="32"/>
          <w:lang w:val="en-US" w:eastAsia="zh-CN"/>
        </w:rPr>
        <w:t>、</w:t>
      </w:r>
      <w:r>
        <w:rPr>
          <w:rFonts w:hint="eastAsia" w:ascii="仿宋" w:hAnsi="仿宋" w:eastAsia="仿宋"/>
          <w:snapToGrid w:val="0"/>
          <w:color w:val="auto"/>
          <w:kern w:val="0"/>
          <w:sz w:val="32"/>
        </w:rPr>
        <w:t>采购合同等相关规定或者约定，视情形对其作出约谈整改、暂停或者取消采购合同授予资格、暂停框架协议资格。</w:t>
      </w:r>
    </w:p>
    <w:p>
      <w:pPr>
        <w:adjustRightInd w:val="0"/>
        <w:snapToGrid w:val="0"/>
        <w:spacing w:line="360" w:lineRule="auto"/>
        <w:ind w:firstLine="640" w:firstLineChars="200"/>
        <w:rPr>
          <w:rFonts w:ascii="仿宋" w:hAnsi="仿宋" w:eastAsia="仿宋"/>
          <w:snapToGrid w:val="0"/>
          <w:color w:val="auto"/>
          <w:kern w:val="0"/>
          <w:sz w:val="32"/>
        </w:rPr>
      </w:pPr>
      <w:r>
        <w:rPr>
          <w:rFonts w:hint="eastAsia" w:ascii="仿宋" w:hAnsi="仿宋" w:eastAsia="仿宋"/>
          <w:snapToGrid w:val="0"/>
          <w:color w:val="auto"/>
          <w:kern w:val="0"/>
          <w:sz w:val="32"/>
        </w:rPr>
        <w:t>1.未按照框架协议约定规则签订合同，或者与采购人订立背离框架协议实质性内容的采购合同的；</w:t>
      </w:r>
    </w:p>
    <w:p>
      <w:pPr>
        <w:adjustRightInd w:val="0"/>
        <w:snapToGrid w:val="0"/>
        <w:spacing w:line="360" w:lineRule="auto"/>
        <w:ind w:firstLine="640" w:firstLineChars="200"/>
        <w:rPr>
          <w:rFonts w:ascii="仿宋" w:hAnsi="仿宋" w:eastAsia="仿宋"/>
          <w:snapToGrid w:val="0"/>
          <w:color w:val="auto"/>
          <w:kern w:val="0"/>
          <w:sz w:val="32"/>
        </w:rPr>
      </w:pPr>
      <w:r>
        <w:rPr>
          <w:rFonts w:hint="eastAsia" w:ascii="仿宋" w:hAnsi="仿宋" w:eastAsia="仿宋"/>
          <w:snapToGrid w:val="0"/>
          <w:color w:val="auto"/>
          <w:kern w:val="0"/>
          <w:sz w:val="32"/>
        </w:rPr>
        <w:t>2.未按照采购合同的约定供货或提供其他服务的；</w:t>
      </w:r>
    </w:p>
    <w:p>
      <w:pPr>
        <w:adjustRightInd w:val="0"/>
        <w:snapToGrid w:val="0"/>
        <w:spacing w:line="360" w:lineRule="auto"/>
        <w:ind w:firstLine="640" w:firstLineChars="200"/>
        <w:rPr>
          <w:rFonts w:ascii="仿宋" w:hAnsi="仿宋" w:eastAsia="仿宋"/>
          <w:snapToGrid w:val="0"/>
          <w:color w:val="auto"/>
          <w:kern w:val="0"/>
          <w:sz w:val="32"/>
        </w:rPr>
      </w:pPr>
      <w:r>
        <w:rPr>
          <w:rFonts w:hint="eastAsia" w:ascii="仿宋" w:hAnsi="仿宋" w:eastAsia="仿宋"/>
          <w:snapToGrid w:val="0"/>
          <w:color w:val="auto"/>
          <w:kern w:val="0"/>
          <w:sz w:val="32"/>
        </w:rPr>
        <w:t>3.实际供货产品与上架产品信息不符，与国家规定或者响应文件承诺标准不一致，或者产品有质量瑕疵的；</w:t>
      </w:r>
    </w:p>
    <w:p>
      <w:pPr>
        <w:adjustRightInd w:val="0"/>
        <w:snapToGrid w:val="0"/>
        <w:spacing w:line="360" w:lineRule="auto"/>
        <w:ind w:firstLine="640" w:firstLineChars="200"/>
        <w:rPr>
          <w:rFonts w:ascii="仿宋" w:hAnsi="仿宋" w:eastAsia="仿宋"/>
          <w:snapToGrid w:val="0"/>
          <w:color w:val="auto"/>
          <w:kern w:val="0"/>
          <w:sz w:val="32"/>
        </w:rPr>
      </w:pPr>
      <w:r>
        <w:rPr>
          <w:rFonts w:hint="eastAsia" w:ascii="仿宋" w:hAnsi="仿宋" w:eastAsia="仿宋"/>
          <w:snapToGrid w:val="0"/>
          <w:color w:val="auto"/>
          <w:kern w:val="0"/>
          <w:sz w:val="32"/>
        </w:rPr>
        <w:t>4.无故不提供框架协议供货范围内部分产品的；</w:t>
      </w:r>
    </w:p>
    <w:p>
      <w:pPr>
        <w:adjustRightInd w:val="0"/>
        <w:snapToGrid w:val="0"/>
        <w:spacing w:line="360" w:lineRule="auto"/>
        <w:ind w:firstLine="640" w:firstLineChars="200"/>
        <w:rPr>
          <w:rFonts w:ascii="仿宋" w:hAnsi="仿宋" w:eastAsia="仿宋"/>
          <w:snapToGrid w:val="0"/>
          <w:color w:val="auto"/>
          <w:kern w:val="0"/>
          <w:sz w:val="32"/>
        </w:rPr>
      </w:pPr>
      <w:r>
        <w:rPr>
          <w:rFonts w:hint="eastAsia" w:ascii="仿宋" w:hAnsi="仿宋" w:eastAsia="仿宋"/>
          <w:snapToGrid w:val="0"/>
          <w:color w:val="auto"/>
          <w:kern w:val="0"/>
          <w:sz w:val="32"/>
        </w:rPr>
        <w:t>5.未及时更新维护产品及代理商信息，影响采购人采购的；</w:t>
      </w:r>
    </w:p>
    <w:p>
      <w:pPr>
        <w:adjustRightInd w:val="0"/>
        <w:snapToGrid w:val="0"/>
        <w:spacing w:line="360" w:lineRule="auto"/>
        <w:ind w:firstLine="640" w:firstLineChars="200"/>
        <w:rPr>
          <w:rFonts w:ascii="仿宋" w:hAnsi="仿宋" w:eastAsia="仿宋"/>
          <w:snapToGrid w:val="0"/>
          <w:color w:val="auto"/>
          <w:kern w:val="0"/>
          <w:sz w:val="32"/>
        </w:rPr>
      </w:pPr>
      <w:r>
        <w:rPr>
          <w:rFonts w:hint="eastAsia" w:ascii="仿宋" w:hAnsi="仿宋" w:eastAsia="仿宋"/>
          <w:snapToGrid w:val="0"/>
          <w:color w:val="auto"/>
          <w:kern w:val="0"/>
          <w:sz w:val="32"/>
        </w:rPr>
        <w:t>6.证明能够以更低价格向非入围供应商采购相同货物，不同意将价格降至非入围供应商以下的；</w:t>
      </w:r>
    </w:p>
    <w:p>
      <w:pPr>
        <w:adjustRightInd w:val="0"/>
        <w:snapToGrid w:val="0"/>
        <w:spacing w:line="360" w:lineRule="auto"/>
        <w:ind w:firstLine="640" w:firstLineChars="200"/>
        <w:rPr>
          <w:rFonts w:ascii="仿宋" w:hAnsi="仿宋" w:eastAsia="仿宋"/>
          <w:snapToGrid w:val="0"/>
          <w:color w:val="auto"/>
          <w:kern w:val="0"/>
          <w:sz w:val="32"/>
        </w:rPr>
      </w:pPr>
      <w:r>
        <w:rPr>
          <w:rFonts w:hint="eastAsia" w:ascii="仿宋" w:hAnsi="仿宋" w:eastAsia="仿宋"/>
          <w:snapToGrid w:val="0"/>
          <w:color w:val="auto"/>
          <w:kern w:val="0"/>
          <w:sz w:val="32"/>
        </w:rPr>
        <w:t>7.有违反框架协议</w:t>
      </w:r>
      <w:r>
        <w:rPr>
          <w:rFonts w:hint="eastAsia" w:ascii="仿宋" w:hAnsi="仿宋" w:eastAsia="仿宋"/>
          <w:snapToGrid w:val="0"/>
          <w:color w:val="auto"/>
          <w:kern w:val="0"/>
          <w:sz w:val="32"/>
          <w:lang w:eastAsia="zh-CN"/>
        </w:rPr>
        <w:t>、</w:t>
      </w:r>
      <w:r>
        <w:rPr>
          <w:rFonts w:hint="eastAsia" w:ascii="仿宋" w:hAnsi="仿宋" w:eastAsia="仿宋"/>
          <w:b/>
          <w:bCs/>
          <w:snapToGrid w:val="0"/>
          <w:color w:val="auto"/>
          <w:kern w:val="0"/>
          <w:sz w:val="32"/>
          <w:lang w:val="en-US" w:eastAsia="zh-CN"/>
        </w:rPr>
        <w:t>承诺书</w:t>
      </w:r>
      <w:r>
        <w:rPr>
          <w:rFonts w:hint="eastAsia" w:ascii="仿宋" w:hAnsi="仿宋" w:eastAsia="仿宋"/>
          <w:snapToGrid w:val="0"/>
          <w:color w:val="auto"/>
          <w:kern w:val="0"/>
          <w:sz w:val="32"/>
        </w:rPr>
        <w:t>或者采购合同约定其他情形的。</w:t>
      </w:r>
    </w:p>
    <w:p>
      <w:pPr>
        <w:adjustRightInd w:val="0"/>
        <w:snapToGrid w:val="0"/>
        <w:spacing w:line="360" w:lineRule="auto"/>
        <w:ind w:firstLine="640" w:firstLineChars="200"/>
        <w:rPr>
          <w:rFonts w:ascii="仿宋" w:hAnsi="仿宋" w:eastAsia="仿宋"/>
          <w:snapToGrid w:val="0"/>
          <w:color w:val="auto"/>
          <w:kern w:val="0"/>
          <w:sz w:val="32"/>
        </w:rPr>
      </w:pPr>
      <w:r>
        <w:rPr>
          <w:rFonts w:hint="eastAsia" w:ascii="仿宋" w:hAnsi="仿宋" w:eastAsia="仿宋"/>
          <w:snapToGrid w:val="0"/>
          <w:color w:val="auto"/>
          <w:kern w:val="0"/>
          <w:sz w:val="32"/>
        </w:rPr>
        <w:t>（二）</w:t>
      </w:r>
      <w:r>
        <w:rPr>
          <w:rFonts w:hint="eastAsia" w:ascii="仿宋" w:hAnsi="仿宋"/>
          <w:snapToGrid w:val="0"/>
          <w:color w:val="auto"/>
          <w:kern w:val="0"/>
          <w:sz w:val="32"/>
          <w:lang w:val="en-US" w:eastAsia="zh-CN"/>
        </w:rPr>
        <w:t>乙方</w:t>
      </w:r>
      <w:r>
        <w:rPr>
          <w:rFonts w:hint="eastAsia" w:ascii="仿宋" w:hAnsi="仿宋" w:eastAsia="仿宋"/>
          <w:snapToGrid w:val="0"/>
          <w:color w:val="auto"/>
          <w:kern w:val="0"/>
          <w:sz w:val="32"/>
        </w:rPr>
        <w:t>有下列情形之一，尚未签订框架协议的，取消其入围资格；已经签订框架协议的，解除与其签订的框架协议：</w:t>
      </w:r>
    </w:p>
    <w:p>
      <w:pPr>
        <w:adjustRightInd w:val="0"/>
        <w:snapToGrid w:val="0"/>
        <w:spacing w:line="360" w:lineRule="auto"/>
        <w:ind w:firstLine="640" w:firstLineChars="200"/>
        <w:rPr>
          <w:rFonts w:ascii="仿宋" w:hAnsi="仿宋" w:eastAsia="仿宋"/>
          <w:snapToGrid w:val="0"/>
          <w:color w:val="auto"/>
          <w:kern w:val="0"/>
          <w:sz w:val="32"/>
        </w:rPr>
      </w:pPr>
      <w:r>
        <w:rPr>
          <w:rFonts w:hint="eastAsia" w:ascii="仿宋" w:hAnsi="仿宋" w:eastAsia="仿宋"/>
          <w:snapToGrid w:val="0"/>
          <w:color w:val="auto"/>
          <w:kern w:val="0"/>
          <w:sz w:val="32"/>
        </w:rPr>
        <w:t>1.恶意串通谋取入围或者合同成交的；</w:t>
      </w:r>
    </w:p>
    <w:p>
      <w:pPr>
        <w:adjustRightInd w:val="0"/>
        <w:snapToGrid w:val="0"/>
        <w:spacing w:line="360" w:lineRule="auto"/>
        <w:ind w:firstLine="640" w:firstLineChars="200"/>
        <w:rPr>
          <w:rFonts w:ascii="仿宋" w:hAnsi="仿宋" w:eastAsia="仿宋"/>
          <w:snapToGrid w:val="0"/>
          <w:color w:val="auto"/>
          <w:kern w:val="0"/>
          <w:sz w:val="32"/>
        </w:rPr>
      </w:pPr>
      <w:r>
        <w:rPr>
          <w:rFonts w:hint="eastAsia" w:ascii="仿宋" w:hAnsi="仿宋" w:eastAsia="仿宋"/>
          <w:snapToGrid w:val="0"/>
          <w:color w:val="auto"/>
          <w:kern w:val="0"/>
          <w:sz w:val="32"/>
        </w:rPr>
        <w:t>2.提供虚假材料谋取入围或者合同成交的；</w:t>
      </w:r>
    </w:p>
    <w:p>
      <w:pPr>
        <w:adjustRightInd w:val="0"/>
        <w:snapToGrid w:val="0"/>
        <w:spacing w:line="360" w:lineRule="auto"/>
        <w:ind w:firstLine="640" w:firstLineChars="200"/>
        <w:rPr>
          <w:rFonts w:ascii="仿宋" w:hAnsi="仿宋" w:eastAsia="仿宋"/>
          <w:snapToGrid w:val="0"/>
          <w:color w:val="auto"/>
          <w:kern w:val="0"/>
          <w:sz w:val="32"/>
        </w:rPr>
      </w:pPr>
      <w:r>
        <w:rPr>
          <w:rFonts w:hint="eastAsia" w:ascii="仿宋" w:hAnsi="仿宋" w:eastAsia="仿宋"/>
          <w:snapToGrid w:val="0"/>
          <w:color w:val="auto"/>
          <w:kern w:val="0"/>
          <w:sz w:val="32"/>
        </w:rPr>
        <w:t>3.无正当理由拒不接受合同授予的；</w:t>
      </w:r>
    </w:p>
    <w:p>
      <w:pPr>
        <w:adjustRightInd w:val="0"/>
        <w:snapToGrid w:val="0"/>
        <w:spacing w:line="360" w:lineRule="auto"/>
        <w:ind w:firstLine="640" w:firstLineChars="200"/>
        <w:rPr>
          <w:rFonts w:ascii="仿宋" w:hAnsi="仿宋" w:eastAsia="仿宋"/>
          <w:snapToGrid w:val="0"/>
          <w:color w:val="auto"/>
          <w:kern w:val="0"/>
          <w:sz w:val="32"/>
        </w:rPr>
      </w:pPr>
      <w:r>
        <w:rPr>
          <w:rFonts w:hint="eastAsia" w:ascii="仿宋" w:hAnsi="仿宋" w:eastAsia="仿宋"/>
          <w:snapToGrid w:val="0"/>
          <w:color w:val="auto"/>
          <w:kern w:val="0"/>
          <w:sz w:val="32"/>
        </w:rPr>
        <w:t>4.提供假冒伪劣产品的；</w:t>
      </w:r>
    </w:p>
    <w:p>
      <w:pPr>
        <w:adjustRightInd w:val="0"/>
        <w:snapToGrid w:val="0"/>
        <w:spacing w:line="360" w:lineRule="auto"/>
        <w:ind w:firstLine="640" w:firstLineChars="200"/>
        <w:rPr>
          <w:rFonts w:ascii="仿宋" w:hAnsi="仿宋" w:eastAsia="仿宋"/>
          <w:snapToGrid w:val="0"/>
          <w:color w:val="auto"/>
          <w:kern w:val="0"/>
          <w:sz w:val="32"/>
        </w:rPr>
      </w:pPr>
      <w:r>
        <w:rPr>
          <w:rFonts w:hint="eastAsia" w:ascii="仿宋" w:hAnsi="仿宋" w:eastAsia="仿宋"/>
          <w:snapToGrid w:val="0"/>
          <w:color w:val="auto"/>
          <w:kern w:val="0"/>
          <w:sz w:val="32"/>
        </w:rPr>
        <w:t>5.不履行合同义务或者履行合同义务不符合约定，经采购人请求履行后仍不履行或者仍未按约定履行的；</w:t>
      </w:r>
    </w:p>
    <w:p>
      <w:pPr>
        <w:adjustRightInd w:val="0"/>
        <w:snapToGrid w:val="0"/>
        <w:spacing w:line="360" w:lineRule="auto"/>
        <w:ind w:firstLine="640" w:firstLineChars="200"/>
        <w:rPr>
          <w:rFonts w:ascii="仿宋" w:hAnsi="仿宋" w:eastAsia="仿宋"/>
          <w:snapToGrid w:val="0"/>
          <w:color w:val="auto"/>
          <w:kern w:val="0"/>
          <w:sz w:val="32"/>
        </w:rPr>
      </w:pPr>
      <w:r>
        <w:rPr>
          <w:rFonts w:hint="eastAsia" w:ascii="仿宋" w:hAnsi="仿宋" w:eastAsia="仿宋"/>
          <w:snapToGrid w:val="0"/>
          <w:color w:val="auto"/>
          <w:kern w:val="0"/>
          <w:sz w:val="32"/>
        </w:rPr>
        <w:t>6.框架协议有效期内，因违法行为被禁止或限制参加政府采购活动的；</w:t>
      </w:r>
    </w:p>
    <w:p>
      <w:pPr>
        <w:adjustRightInd w:val="0"/>
        <w:snapToGrid w:val="0"/>
        <w:spacing w:line="360" w:lineRule="auto"/>
        <w:ind w:firstLine="640" w:firstLineChars="200"/>
        <w:rPr>
          <w:rFonts w:ascii="仿宋" w:hAnsi="仿宋" w:eastAsia="仿宋"/>
          <w:snapToGrid w:val="0"/>
          <w:color w:val="auto"/>
          <w:kern w:val="0"/>
          <w:sz w:val="32"/>
        </w:rPr>
      </w:pPr>
      <w:r>
        <w:rPr>
          <w:rFonts w:hint="eastAsia" w:ascii="仿宋" w:hAnsi="仿宋" w:eastAsia="仿宋"/>
          <w:snapToGrid w:val="0"/>
          <w:color w:val="auto"/>
          <w:kern w:val="0"/>
          <w:sz w:val="32"/>
        </w:rPr>
        <w:t>7.委托的代理商中有3家及以上因违规违约被暂停采购合同授予资格的；</w:t>
      </w:r>
    </w:p>
    <w:p>
      <w:pPr>
        <w:adjustRightInd w:val="0"/>
        <w:snapToGrid w:val="0"/>
        <w:spacing w:line="360" w:lineRule="auto"/>
        <w:ind w:firstLine="640" w:firstLineChars="200"/>
        <w:rPr>
          <w:rFonts w:ascii="仿宋" w:hAnsi="仿宋" w:eastAsia="仿宋"/>
          <w:snapToGrid w:val="0"/>
          <w:color w:val="auto"/>
          <w:kern w:val="0"/>
          <w:sz w:val="32"/>
        </w:rPr>
      </w:pPr>
      <w:r>
        <w:rPr>
          <w:rFonts w:hint="eastAsia" w:ascii="仿宋" w:hAnsi="仿宋" w:eastAsia="仿宋"/>
          <w:snapToGrid w:val="0"/>
          <w:color w:val="auto"/>
          <w:kern w:val="0"/>
          <w:sz w:val="32"/>
        </w:rPr>
        <w:t>8.委托的代理商中有被取消采购合同授予资格的；</w:t>
      </w:r>
    </w:p>
    <w:p>
      <w:pPr>
        <w:adjustRightInd w:val="0"/>
        <w:snapToGrid w:val="0"/>
        <w:spacing w:line="360" w:lineRule="auto"/>
        <w:ind w:firstLine="640" w:firstLineChars="200"/>
        <w:rPr>
          <w:rFonts w:ascii="仿宋" w:hAnsi="仿宋" w:eastAsia="仿宋"/>
          <w:snapToGrid w:val="0"/>
          <w:color w:val="auto"/>
          <w:kern w:val="0"/>
          <w:sz w:val="32"/>
        </w:rPr>
      </w:pPr>
      <w:r>
        <w:rPr>
          <w:rFonts w:hint="eastAsia" w:ascii="仿宋" w:hAnsi="仿宋" w:eastAsia="仿宋"/>
          <w:snapToGrid w:val="0"/>
          <w:color w:val="auto"/>
          <w:kern w:val="0"/>
          <w:sz w:val="32"/>
        </w:rPr>
        <w:t>9.入围产品因停产等原因无法供货，且超过2周无法更新产品的；</w:t>
      </w:r>
    </w:p>
    <w:p>
      <w:pPr>
        <w:adjustRightInd w:val="0"/>
        <w:snapToGrid w:val="0"/>
        <w:spacing w:line="360" w:lineRule="auto"/>
        <w:ind w:firstLine="640" w:firstLineChars="200"/>
        <w:rPr>
          <w:rFonts w:ascii="仿宋" w:hAnsi="仿宋" w:eastAsia="仿宋"/>
          <w:snapToGrid w:val="0"/>
          <w:color w:val="auto"/>
          <w:kern w:val="0"/>
          <w:sz w:val="32"/>
        </w:rPr>
      </w:pPr>
      <w:r>
        <w:rPr>
          <w:rFonts w:hint="eastAsia" w:ascii="仿宋" w:hAnsi="仿宋" w:eastAsia="仿宋"/>
          <w:snapToGrid w:val="0"/>
          <w:color w:val="auto"/>
          <w:kern w:val="0"/>
          <w:sz w:val="32"/>
        </w:rPr>
        <w:t>10.</w:t>
      </w:r>
      <w:r>
        <w:rPr>
          <w:rFonts w:hint="eastAsia" w:ascii="仿宋" w:hAnsi="仿宋"/>
          <w:snapToGrid w:val="0"/>
          <w:color w:val="auto"/>
          <w:kern w:val="0"/>
          <w:sz w:val="32"/>
          <w:lang w:val="en-US" w:eastAsia="zh-CN"/>
        </w:rPr>
        <w:t>乙方</w:t>
      </w:r>
      <w:r>
        <w:rPr>
          <w:rFonts w:hint="eastAsia" w:ascii="仿宋" w:hAnsi="仿宋" w:eastAsia="仿宋"/>
          <w:snapToGrid w:val="0"/>
          <w:color w:val="auto"/>
          <w:kern w:val="0"/>
          <w:sz w:val="32"/>
        </w:rPr>
        <w:t>或者其代理商超过2周无法按照框架协议约定的全部供货范围或者特定供货范围供货的；</w:t>
      </w:r>
    </w:p>
    <w:p>
      <w:pPr>
        <w:adjustRightInd w:val="0"/>
        <w:snapToGrid w:val="0"/>
        <w:spacing w:line="360" w:lineRule="auto"/>
        <w:ind w:firstLine="640" w:firstLineChars="200"/>
        <w:rPr>
          <w:rFonts w:ascii="仿宋" w:hAnsi="仿宋" w:eastAsia="仿宋"/>
          <w:snapToGrid w:val="0"/>
          <w:color w:val="auto"/>
          <w:kern w:val="0"/>
          <w:sz w:val="32"/>
        </w:rPr>
      </w:pPr>
      <w:r>
        <w:rPr>
          <w:rFonts w:hint="eastAsia" w:ascii="仿宋" w:hAnsi="仿宋" w:eastAsia="仿宋"/>
          <w:snapToGrid w:val="0"/>
          <w:color w:val="auto"/>
          <w:kern w:val="0"/>
          <w:sz w:val="32"/>
        </w:rPr>
        <w:t>11.</w:t>
      </w:r>
      <w:r>
        <w:rPr>
          <w:rFonts w:hint="eastAsia" w:ascii="仿宋" w:hAnsi="仿宋"/>
          <w:snapToGrid w:val="0"/>
          <w:color w:val="auto"/>
          <w:kern w:val="0"/>
          <w:sz w:val="32"/>
          <w:lang w:val="en-US" w:eastAsia="zh-CN"/>
        </w:rPr>
        <w:t>乙方</w:t>
      </w:r>
      <w:r>
        <w:rPr>
          <w:rFonts w:hint="eastAsia" w:ascii="仿宋" w:hAnsi="仿宋" w:eastAsia="仿宋"/>
          <w:snapToGrid w:val="0"/>
          <w:color w:val="auto"/>
          <w:kern w:val="0"/>
          <w:sz w:val="32"/>
        </w:rPr>
        <w:t>发生实质性变更，不再符合本框架协议采购资格条件的，包括但不限于企业注销或者应当注销、丧失履行本框架协议资质或者能力等；</w:t>
      </w:r>
    </w:p>
    <w:p>
      <w:pPr>
        <w:adjustRightInd w:val="0"/>
        <w:snapToGrid w:val="0"/>
        <w:spacing w:line="360" w:lineRule="auto"/>
        <w:ind w:firstLine="640" w:firstLineChars="200"/>
        <w:rPr>
          <w:rFonts w:ascii="仿宋" w:hAnsi="仿宋" w:eastAsia="仿宋"/>
          <w:snapToGrid w:val="0"/>
          <w:color w:val="auto"/>
          <w:kern w:val="0"/>
          <w:sz w:val="32"/>
        </w:rPr>
      </w:pPr>
      <w:r>
        <w:rPr>
          <w:rFonts w:hint="eastAsia" w:ascii="仿宋" w:hAnsi="仿宋" w:eastAsia="仿宋"/>
          <w:snapToGrid w:val="0"/>
          <w:color w:val="auto"/>
          <w:kern w:val="0"/>
          <w:sz w:val="32"/>
        </w:rPr>
        <w:t>12.框架协议约定的其他情形。</w:t>
      </w:r>
    </w:p>
    <w:p>
      <w:pPr>
        <w:adjustRightInd w:val="0"/>
        <w:snapToGrid w:val="0"/>
        <w:spacing w:line="360" w:lineRule="auto"/>
        <w:ind w:firstLine="640" w:firstLineChars="200"/>
        <w:rPr>
          <w:rFonts w:ascii="仿宋" w:hAnsi="仿宋" w:eastAsia="仿宋"/>
          <w:snapToGrid w:val="0"/>
          <w:color w:val="auto"/>
          <w:kern w:val="0"/>
          <w:sz w:val="32"/>
        </w:rPr>
      </w:pPr>
      <w:r>
        <w:rPr>
          <w:rFonts w:hint="eastAsia" w:ascii="仿宋" w:hAnsi="仿宋" w:eastAsia="仿宋"/>
          <w:snapToGrid w:val="0"/>
          <w:color w:val="auto"/>
          <w:kern w:val="0"/>
          <w:sz w:val="32"/>
        </w:rPr>
        <w:t>（三）</w:t>
      </w:r>
      <w:r>
        <w:rPr>
          <w:rFonts w:hint="eastAsia" w:ascii="仿宋" w:hAnsi="仿宋"/>
          <w:snapToGrid w:val="0"/>
          <w:color w:val="auto"/>
          <w:kern w:val="0"/>
          <w:sz w:val="32"/>
          <w:lang w:val="en-US" w:eastAsia="zh-CN"/>
        </w:rPr>
        <w:t>乙方</w:t>
      </w:r>
      <w:r>
        <w:rPr>
          <w:rFonts w:hint="eastAsia" w:ascii="仿宋" w:hAnsi="仿宋" w:eastAsia="仿宋"/>
          <w:snapToGrid w:val="0"/>
          <w:color w:val="auto"/>
          <w:kern w:val="0"/>
          <w:sz w:val="32"/>
        </w:rPr>
        <w:t>无正当理由拒不签订框架协议的，由</w:t>
      </w:r>
      <w:r>
        <w:rPr>
          <w:rFonts w:hint="eastAsia" w:ascii="仿宋" w:hAnsi="仿宋"/>
          <w:snapToGrid w:val="0"/>
          <w:color w:val="auto"/>
          <w:kern w:val="0"/>
          <w:sz w:val="32"/>
          <w:lang w:val="en-US" w:eastAsia="zh-CN"/>
        </w:rPr>
        <w:t>甲方</w:t>
      </w:r>
      <w:r>
        <w:rPr>
          <w:rFonts w:hint="eastAsia" w:ascii="仿宋" w:hAnsi="仿宋" w:eastAsia="仿宋"/>
          <w:snapToGrid w:val="0"/>
          <w:color w:val="auto"/>
          <w:kern w:val="0"/>
          <w:sz w:val="32"/>
        </w:rPr>
        <w:t>取消其入围资格。</w:t>
      </w:r>
    </w:p>
    <w:p>
      <w:pPr>
        <w:adjustRightInd w:val="0"/>
        <w:snapToGrid w:val="0"/>
        <w:spacing w:line="360" w:lineRule="auto"/>
        <w:ind w:firstLine="640" w:firstLineChars="200"/>
        <w:rPr>
          <w:rFonts w:ascii="仿宋" w:hAnsi="仿宋" w:eastAsia="仿宋"/>
          <w:snapToGrid w:val="0"/>
          <w:color w:val="auto"/>
          <w:kern w:val="0"/>
          <w:sz w:val="32"/>
        </w:rPr>
      </w:pPr>
      <w:r>
        <w:rPr>
          <w:rFonts w:hint="eastAsia" w:ascii="仿宋" w:hAnsi="仿宋" w:eastAsia="仿宋"/>
          <w:snapToGrid w:val="0"/>
          <w:color w:val="auto"/>
          <w:kern w:val="0"/>
          <w:sz w:val="32"/>
        </w:rPr>
        <w:t>被取消入围资格或者被解除框架协议的供应商不得参加本框架协议的补充征集。</w:t>
      </w:r>
    </w:p>
    <w:p>
      <w:pPr>
        <w:adjustRightInd w:val="0"/>
        <w:snapToGrid w:val="0"/>
        <w:spacing w:line="360" w:lineRule="auto"/>
        <w:ind w:firstLine="640" w:firstLineChars="200"/>
        <w:rPr>
          <w:rFonts w:ascii="仿宋" w:hAnsi="仿宋" w:eastAsia="仿宋"/>
          <w:snapToGrid w:val="0"/>
          <w:color w:val="auto"/>
          <w:kern w:val="0"/>
          <w:sz w:val="32"/>
        </w:rPr>
      </w:pPr>
      <w:r>
        <w:rPr>
          <w:rFonts w:hint="eastAsia" w:ascii="仿宋" w:hAnsi="仿宋"/>
          <w:snapToGrid w:val="0"/>
          <w:color w:val="auto"/>
          <w:kern w:val="0"/>
          <w:sz w:val="32"/>
          <w:lang w:val="en-US" w:eastAsia="zh-CN"/>
        </w:rPr>
        <w:t>乙方</w:t>
      </w:r>
      <w:r>
        <w:rPr>
          <w:rFonts w:hint="eastAsia" w:ascii="仿宋" w:hAnsi="仿宋" w:eastAsia="仿宋"/>
          <w:snapToGrid w:val="0"/>
          <w:color w:val="auto"/>
          <w:kern w:val="0"/>
          <w:sz w:val="32"/>
        </w:rPr>
        <w:t>有上述（一）、（二）、（三）情形之一，以及无正当理由放弃本框架协议入围资格或者退出本框架协议的，由</w:t>
      </w:r>
      <w:r>
        <w:rPr>
          <w:rFonts w:hint="eastAsia" w:ascii="仿宋" w:hAnsi="仿宋"/>
          <w:snapToGrid w:val="0"/>
          <w:color w:val="auto"/>
          <w:kern w:val="0"/>
          <w:sz w:val="32"/>
          <w:lang w:val="en-US" w:eastAsia="zh-CN"/>
        </w:rPr>
        <w:t>甲方</w:t>
      </w:r>
      <w:r>
        <w:rPr>
          <w:rFonts w:hint="eastAsia" w:ascii="仿宋" w:hAnsi="仿宋" w:eastAsia="仿宋"/>
          <w:snapToGrid w:val="0"/>
          <w:color w:val="auto"/>
          <w:kern w:val="0"/>
          <w:sz w:val="32"/>
        </w:rPr>
        <w:t>移送省财政厅依照政府采购法等有关法律、行政法规追究法律责任。</w:t>
      </w:r>
    </w:p>
    <w:p>
      <w:pPr>
        <w:pStyle w:val="11"/>
        <w:adjustRightInd w:val="0"/>
        <w:snapToGrid w:val="0"/>
        <w:spacing w:before="120" w:after="120" w:line="360" w:lineRule="auto"/>
        <w:ind w:firstLine="684" w:firstLineChars="213"/>
        <w:rPr>
          <w:rFonts w:hint="eastAsia" w:ascii="仿宋" w:hAnsi="仿宋" w:eastAsia="仿宋" w:cs="仿宋"/>
          <w:b/>
          <w:snapToGrid w:val="0"/>
          <w:color w:val="auto"/>
          <w:sz w:val="32"/>
          <w:szCs w:val="32"/>
        </w:rPr>
      </w:pPr>
      <w:r>
        <w:rPr>
          <w:rFonts w:hint="eastAsia" w:ascii="仿宋" w:hAnsi="仿宋" w:eastAsia="仿宋" w:cs="仿宋"/>
          <w:b/>
          <w:snapToGrid w:val="0"/>
          <w:color w:val="auto"/>
          <w:sz w:val="32"/>
          <w:szCs w:val="32"/>
        </w:rPr>
        <w:t>十九、入围产品升级换代规则</w:t>
      </w:r>
    </w:p>
    <w:p>
      <w:pPr>
        <w:snapToGrid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协议期有</w:t>
      </w:r>
      <w:r>
        <w:rPr>
          <w:rFonts w:hint="eastAsia" w:ascii="仿宋" w:hAnsi="仿宋" w:cs="仿宋"/>
          <w:color w:val="auto"/>
          <w:sz w:val="32"/>
          <w:szCs w:val="32"/>
          <w:lang w:eastAsia="zh-CN"/>
        </w:rPr>
        <w:t>效</w:t>
      </w:r>
      <w:r>
        <w:rPr>
          <w:rFonts w:hint="eastAsia" w:ascii="仿宋" w:hAnsi="仿宋" w:eastAsia="仿宋" w:cs="仿宋"/>
          <w:color w:val="auto"/>
          <w:sz w:val="32"/>
          <w:szCs w:val="32"/>
        </w:rPr>
        <w:t>内，如产品及价格发生变更、产品升级换代或替代的，</w:t>
      </w:r>
      <w:r>
        <w:rPr>
          <w:rFonts w:hint="eastAsia" w:ascii="仿宋" w:hAnsi="仿宋" w:cs="仿宋"/>
          <w:color w:val="auto"/>
          <w:sz w:val="32"/>
          <w:szCs w:val="32"/>
          <w:lang w:eastAsia="zh-CN"/>
        </w:rPr>
        <w:t>乙方</w:t>
      </w:r>
      <w:r>
        <w:rPr>
          <w:rFonts w:hint="eastAsia" w:ascii="仿宋" w:hAnsi="仿宋" w:eastAsia="仿宋" w:cs="仿宋"/>
          <w:color w:val="auto"/>
          <w:sz w:val="32"/>
          <w:szCs w:val="32"/>
        </w:rPr>
        <w:t>应当通过系统向</w:t>
      </w:r>
      <w:r>
        <w:rPr>
          <w:rFonts w:hint="eastAsia" w:ascii="仿宋" w:hAnsi="仿宋" w:cs="仿宋"/>
          <w:color w:val="auto"/>
          <w:sz w:val="32"/>
          <w:szCs w:val="32"/>
          <w:lang w:eastAsia="zh-CN"/>
        </w:rPr>
        <w:t>甲方</w:t>
      </w:r>
      <w:r>
        <w:rPr>
          <w:rFonts w:hint="eastAsia" w:ascii="仿宋" w:hAnsi="仿宋" w:eastAsia="仿宋" w:cs="仿宋"/>
          <w:color w:val="auto"/>
          <w:sz w:val="32"/>
          <w:szCs w:val="32"/>
        </w:rPr>
        <w:t>发起变更申请，经</w:t>
      </w:r>
      <w:r>
        <w:rPr>
          <w:rFonts w:hint="eastAsia" w:ascii="仿宋" w:hAnsi="仿宋" w:cs="仿宋"/>
          <w:color w:val="auto"/>
          <w:sz w:val="32"/>
          <w:szCs w:val="32"/>
          <w:lang w:eastAsia="zh-CN"/>
        </w:rPr>
        <w:t>甲方</w:t>
      </w:r>
      <w:r>
        <w:rPr>
          <w:rFonts w:hint="eastAsia" w:ascii="仿宋" w:hAnsi="仿宋" w:eastAsia="仿宋" w:cs="仿宋"/>
          <w:color w:val="auto"/>
          <w:sz w:val="32"/>
          <w:szCs w:val="32"/>
        </w:rPr>
        <w:t>审核通过后生效。</w:t>
      </w:r>
    </w:p>
    <w:p>
      <w:pPr>
        <w:numPr>
          <w:ilvl w:val="0"/>
          <w:numId w:val="6"/>
        </w:numPr>
        <w:snapToGrid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申请产品信息变更、升级换代或用新产品替代的，变更后的产品配置参数、服务内容等不得低于原入围产品。</w:t>
      </w:r>
    </w:p>
    <w:p>
      <w:pPr>
        <w:numPr>
          <w:ilvl w:val="0"/>
          <w:numId w:val="6"/>
        </w:numPr>
        <w:snapToGrid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申请价格变更的，变更后的价格不得高于原入围价格。</w:t>
      </w:r>
    </w:p>
    <w:p>
      <w:pPr>
        <w:pStyle w:val="11"/>
        <w:adjustRightInd w:val="0"/>
        <w:snapToGrid w:val="0"/>
        <w:spacing w:before="120" w:after="120" w:line="360" w:lineRule="auto"/>
        <w:ind w:firstLine="684" w:firstLineChars="213"/>
        <w:rPr>
          <w:rFonts w:hint="eastAsia" w:ascii="仿宋" w:hAnsi="仿宋" w:eastAsia="仿宋" w:cs="仿宋"/>
          <w:b/>
          <w:color w:val="auto"/>
          <w:sz w:val="32"/>
          <w:szCs w:val="32"/>
          <w:shd w:val="clear" w:color="auto" w:fill="FFFFFF"/>
        </w:rPr>
      </w:pPr>
      <w:r>
        <w:rPr>
          <w:rFonts w:hint="eastAsia" w:ascii="仿宋" w:hAnsi="仿宋" w:eastAsia="仿宋" w:cs="仿宋"/>
          <w:b/>
          <w:color w:val="auto"/>
          <w:sz w:val="32"/>
          <w:szCs w:val="32"/>
          <w:shd w:val="clear" w:color="auto" w:fill="FFFFFF"/>
        </w:rPr>
        <w:t>二十、第二阶段成交供应商的确定方式</w:t>
      </w:r>
    </w:p>
    <w:p>
      <w:pPr>
        <w:pStyle w:val="11"/>
        <w:adjustRightInd w:val="0"/>
        <w:snapToGrid w:val="0"/>
        <w:spacing w:before="120" w:after="120" w:line="360" w:lineRule="auto"/>
        <w:ind w:firstLine="684" w:firstLineChars="213"/>
        <w:rPr>
          <w:rFonts w:hint="eastAsia" w:ascii="仿宋" w:hAnsi="仿宋" w:eastAsia="仿宋" w:cs="仿宋"/>
          <w:color w:val="auto"/>
          <w:sz w:val="32"/>
          <w:szCs w:val="32"/>
        </w:rPr>
      </w:pPr>
      <w:r>
        <w:rPr>
          <w:rFonts w:hint="eastAsia" w:ascii="仿宋" w:hAnsi="仿宋" w:eastAsia="仿宋" w:cs="仿宋"/>
          <w:b/>
          <w:color w:val="auto"/>
          <w:sz w:val="32"/>
          <w:szCs w:val="32"/>
          <w:shd w:val="clear" w:color="auto" w:fill="FFFFFF"/>
        </w:rPr>
        <w:t>（一）</w:t>
      </w:r>
      <w:r>
        <w:rPr>
          <w:rFonts w:hint="eastAsia" w:ascii="仿宋" w:hAnsi="仿宋" w:eastAsia="仿宋" w:cs="仿宋"/>
          <w:color w:val="auto"/>
          <w:sz w:val="32"/>
          <w:szCs w:val="32"/>
        </w:rPr>
        <w:t>本次框架协议第二阶段成交供应商的确定方式为直接选定。采购人依据入围产品价格、质量及服务便利性、用户评价等因素，从乙方或其委托的代理商中直接选定，并授予合同。乙方或其委托的代理商应在两个工作日内接受合同授予，无正当理由不得拒绝。</w:t>
      </w:r>
    </w:p>
    <w:p>
      <w:pPr>
        <w:pStyle w:val="11"/>
        <w:adjustRightInd w:val="0"/>
        <w:snapToGrid w:val="0"/>
        <w:spacing w:beforeLines="0" w:afterLines="0" w:line="360" w:lineRule="auto"/>
        <w:ind w:left="2" w:leftChars="1"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（二）采购人将合同授予非入围供应商情形</w:t>
      </w:r>
      <w:r>
        <w:rPr>
          <w:rFonts w:hint="eastAsia" w:ascii="仿宋" w:hAnsi="仿宋" w:cs="仿宋"/>
          <w:color w:val="auto"/>
          <w:sz w:val="32"/>
          <w:szCs w:val="32"/>
          <w:lang w:eastAsia="zh-CN"/>
        </w:rPr>
        <w:t>：</w:t>
      </w:r>
    </w:p>
    <w:p>
      <w:pPr>
        <w:pStyle w:val="11"/>
        <w:adjustRightInd w:val="0"/>
        <w:snapToGrid w:val="0"/>
        <w:spacing w:beforeLines="0" w:afterLines="0" w:line="360" w:lineRule="auto"/>
        <w:ind w:left="2" w:leftChars="1"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1.采购人证明能够以更低价格向非入围供应商采购相同货物，且</w:t>
      </w:r>
      <w:r>
        <w:rPr>
          <w:rFonts w:hint="eastAsia" w:ascii="仿宋" w:hAnsi="仿宋" w:cs="仿宋"/>
          <w:color w:val="auto"/>
          <w:sz w:val="32"/>
          <w:szCs w:val="32"/>
          <w:lang w:eastAsia="zh-CN"/>
        </w:rPr>
        <w:t>乙方</w:t>
      </w:r>
      <w:r>
        <w:rPr>
          <w:rFonts w:hint="eastAsia" w:ascii="仿宋" w:hAnsi="仿宋" w:eastAsia="仿宋" w:cs="仿宋"/>
          <w:color w:val="auto"/>
          <w:sz w:val="32"/>
          <w:szCs w:val="32"/>
        </w:rPr>
        <w:t>不同意将价格降至非入围供应商以下的，可以将合同授予非入围供应商。</w:t>
      </w:r>
    </w:p>
    <w:p>
      <w:pPr>
        <w:pStyle w:val="11"/>
        <w:adjustRightInd w:val="0"/>
        <w:snapToGrid w:val="0"/>
        <w:spacing w:before="120" w:after="120" w:line="360" w:lineRule="auto"/>
        <w:ind w:firstLine="681" w:firstLineChars="213"/>
        <w:rPr>
          <w:rFonts w:hint="eastAsia" w:ascii="仿宋" w:hAnsi="仿宋" w:eastAsia="仿宋" w:cs="仿宋"/>
          <w:b/>
          <w:snapToGrid w:val="0"/>
          <w:color w:val="auto"/>
          <w:sz w:val="32"/>
          <w:szCs w:val="32"/>
        </w:rPr>
      </w:pPr>
      <w:r>
        <w:rPr>
          <w:rFonts w:hint="eastAsia" w:ascii="仿宋" w:hAnsi="仿宋" w:eastAsia="仿宋" w:cs="仿宋"/>
          <w:color w:val="auto"/>
          <w:sz w:val="32"/>
          <w:szCs w:val="32"/>
        </w:rPr>
        <w:t>2.采购人拟将合同授予非入围供应商的，须以意向价格向该产品</w:t>
      </w:r>
      <w:r>
        <w:rPr>
          <w:rFonts w:hint="eastAsia" w:ascii="仿宋" w:hAnsi="仿宋" w:cs="仿宋"/>
          <w:color w:val="auto"/>
          <w:sz w:val="32"/>
          <w:szCs w:val="32"/>
          <w:lang w:eastAsia="zh-CN"/>
        </w:rPr>
        <w:t>乙方</w:t>
      </w:r>
      <w:r>
        <w:rPr>
          <w:rFonts w:hint="eastAsia" w:ascii="仿宋" w:hAnsi="仿宋" w:eastAsia="仿宋" w:cs="仿宋"/>
          <w:color w:val="auto"/>
          <w:sz w:val="32"/>
          <w:szCs w:val="32"/>
        </w:rPr>
        <w:t>及其所有代理商授予合同，</w:t>
      </w:r>
      <w:r>
        <w:rPr>
          <w:rFonts w:hint="eastAsia" w:ascii="仿宋" w:hAnsi="仿宋" w:cs="仿宋"/>
          <w:color w:val="auto"/>
          <w:sz w:val="32"/>
          <w:szCs w:val="32"/>
          <w:lang w:eastAsia="zh-CN"/>
        </w:rPr>
        <w:t>乙方</w:t>
      </w:r>
      <w:r>
        <w:rPr>
          <w:rFonts w:hint="eastAsia" w:ascii="仿宋" w:hAnsi="仿宋" w:eastAsia="仿宋" w:cs="仿宋"/>
          <w:color w:val="auto"/>
          <w:sz w:val="32"/>
          <w:szCs w:val="32"/>
        </w:rPr>
        <w:t>及其代理商均不同意时，采购人方可将合同授予非入围供应商。采购人应当在确定成交供应商后1个工作日内，将成交结果抄送</w:t>
      </w:r>
      <w:r>
        <w:rPr>
          <w:rFonts w:hint="eastAsia" w:ascii="仿宋" w:hAnsi="仿宋" w:cs="仿宋"/>
          <w:color w:val="auto"/>
          <w:sz w:val="32"/>
          <w:szCs w:val="32"/>
          <w:lang w:eastAsia="zh-CN"/>
        </w:rPr>
        <w:t>甲方</w:t>
      </w:r>
      <w:r>
        <w:rPr>
          <w:rFonts w:hint="eastAsia" w:ascii="仿宋" w:hAnsi="仿宋" w:eastAsia="仿宋" w:cs="仿宋"/>
          <w:color w:val="auto"/>
          <w:sz w:val="32"/>
          <w:szCs w:val="32"/>
        </w:rPr>
        <w:t>，由</w:t>
      </w:r>
      <w:r>
        <w:rPr>
          <w:rFonts w:hint="eastAsia" w:ascii="仿宋" w:hAnsi="仿宋" w:cs="仿宋"/>
          <w:color w:val="auto"/>
          <w:sz w:val="32"/>
          <w:szCs w:val="32"/>
          <w:lang w:eastAsia="zh-CN"/>
        </w:rPr>
        <w:t>甲方</w:t>
      </w:r>
      <w:r>
        <w:rPr>
          <w:rFonts w:hint="eastAsia" w:ascii="仿宋" w:hAnsi="仿宋" w:eastAsia="仿宋" w:cs="仿宋"/>
          <w:color w:val="auto"/>
          <w:sz w:val="32"/>
          <w:szCs w:val="32"/>
        </w:rPr>
        <w:t>按照单笔公告要求发布成交结果公告。采购人应当将相关证明材料和采购合同一并存档备查。</w:t>
      </w:r>
    </w:p>
    <w:p>
      <w:pPr>
        <w:pStyle w:val="11"/>
        <w:adjustRightInd w:val="0"/>
        <w:snapToGrid w:val="0"/>
        <w:spacing w:before="120" w:after="120" w:line="360" w:lineRule="auto"/>
        <w:ind w:firstLine="684" w:firstLineChars="213"/>
        <w:rPr>
          <w:rFonts w:hint="eastAsia" w:ascii="仿宋" w:hAnsi="仿宋" w:eastAsia="仿宋" w:cs="仿宋"/>
          <w:b/>
          <w:snapToGrid w:val="0"/>
          <w:color w:val="auto"/>
          <w:sz w:val="32"/>
          <w:szCs w:val="32"/>
        </w:rPr>
      </w:pPr>
      <w:r>
        <w:rPr>
          <w:rFonts w:hint="eastAsia" w:ascii="仿宋" w:hAnsi="仿宋" w:eastAsia="仿宋" w:cs="仿宋"/>
          <w:b/>
          <w:snapToGrid w:val="0"/>
          <w:color w:val="auto"/>
          <w:sz w:val="32"/>
          <w:szCs w:val="32"/>
        </w:rPr>
        <w:t>二十一、入围供应商补充规则</w:t>
      </w:r>
    </w:p>
    <w:p>
      <w:pPr>
        <w:pStyle w:val="11"/>
        <w:adjustRightInd w:val="0"/>
        <w:snapToGrid w:val="0"/>
        <w:spacing w:before="120" w:after="120" w:line="360" w:lineRule="auto"/>
        <w:ind w:firstLine="681" w:firstLineChars="213"/>
        <w:rPr>
          <w:rFonts w:hint="eastAsia" w:ascii="仿宋" w:hAnsi="仿宋" w:eastAsia="仿宋" w:cs="仿宋"/>
          <w:color w:val="auto"/>
          <w:sz w:val="32"/>
          <w:szCs w:val="32"/>
        </w:rPr>
      </w:pPr>
      <w:r>
        <w:rPr>
          <w:rFonts w:hint="eastAsia" w:ascii="仿宋" w:hAnsi="仿宋" w:eastAsia="仿宋" w:cs="仿宋"/>
          <w:color w:val="auto"/>
          <w:sz w:val="32"/>
          <w:szCs w:val="32"/>
        </w:rPr>
        <w:t>框架协议有效期内如出现剩余</w:t>
      </w:r>
      <w:r>
        <w:rPr>
          <w:rFonts w:hint="eastAsia" w:ascii="仿宋" w:hAnsi="仿宋" w:cs="仿宋"/>
          <w:color w:val="auto"/>
          <w:sz w:val="32"/>
          <w:szCs w:val="32"/>
          <w:lang w:eastAsia="zh-CN"/>
        </w:rPr>
        <w:t>乙方</w:t>
      </w:r>
      <w:r>
        <w:rPr>
          <w:rFonts w:hint="eastAsia" w:ascii="仿宋" w:hAnsi="仿宋" w:eastAsia="仿宋" w:cs="仿宋"/>
          <w:color w:val="auto"/>
          <w:sz w:val="32"/>
          <w:szCs w:val="32"/>
        </w:rPr>
        <w:t>不足总数70%且影响框架协议执行的情形，</w:t>
      </w:r>
      <w:r>
        <w:rPr>
          <w:rFonts w:hint="eastAsia" w:ascii="仿宋" w:hAnsi="仿宋" w:cs="仿宋"/>
          <w:color w:val="auto"/>
          <w:sz w:val="32"/>
          <w:szCs w:val="32"/>
          <w:lang w:eastAsia="zh-CN"/>
        </w:rPr>
        <w:t>甲方</w:t>
      </w:r>
      <w:r>
        <w:rPr>
          <w:rFonts w:hint="eastAsia" w:ascii="仿宋" w:hAnsi="仿宋" w:eastAsia="仿宋" w:cs="仿宋"/>
          <w:color w:val="auto"/>
          <w:sz w:val="32"/>
          <w:szCs w:val="32"/>
        </w:rPr>
        <w:t>将启动补充征集工作。</w:t>
      </w:r>
    </w:p>
    <w:p>
      <w:pPr>
        <w:pStyle w:val="11"/>
        <w:adjustRightInd w:val="0"/>
        <w:snapToGrid w:val="0"/>
        <w:spacing w:before="120" w:after="120" w:line="360" w:lineRule="auto"/>
        <w:ind w:firstLine="681" w:firstLineChars="213"/>
        <w:rPr>
          <w:rFonts w:hint="eastAsia" w:ascii="仿宋" w:hAnsi="仿宋" w:eastAsia="仿宋" w:cs="仿宋"/>
          <w:color w:val="auto"/>
          <w:sz w:val="32"/>
          <w:szCs w:val="32"/>
        </w:rPr>
      </w:pPr>
      <w:r>
        <w:rPr>
          <w:rFonts w:hint="eastAsia" w:ascii="仿宋" w:hAnsi="仿宋" w:eastAsia="仿宋" w:cs="仿宋"/>
          <w:color w:val="auto"/>
          <w:sz w:val="32"/>
          <w:szCs w:val="32"/>
        </w:rPr>
        <w:t>1.补充征集的条件、程序、评审方法和淘汰比例与初次征集相同。</w:t>
      </w:r>
    </w:p>
    <w:p>
      <w:pPr>
        <w:pStyle w:val="11"/>
        <w:adjustRightInd w:val="0"/>
        <w:snapToGrid w:val="0"/>
        <w:spacing w:before="120" w:after="120" w:line="360" w:lineRule="auto"/>
        <w:ind w:firstLine="681" w:firstLineChars="213"/>
        <w:rPr>
          <w:rFonts w:hint="eastAsia" w:ascii="仿宋" w:hAnsi="仿宋" w:eastAsia="仿宋" w:cs="仿宋"/>
          <w:color w:val="auto"/>
          <w:sz w:val="32"/>
          <w:szCs w:val="32"/>
        </w:rPr>
      </w:pPr>
      <w:r>
        <w:rPr>
          <w:rFonts w:hint="eastAsia" w:ascii="仿宋" w:hAnsi="仿宋" w:eastAsia="仿宋" w:cs="仿宋"/>
          <w:color w:val="auto"/>
          <w:sz w:val="32"/>
          <w:szCs w:val="32"/>
        </w:rPr>
        <w:t>2.补充征集遵守原框架协议的有效期。</w:t>
      </w:r>
    </w:p>
    <w:p>
      <w:pPr>
        <w:pStyle w:val="11"/>
        <w:adjustRightInd w:val="0"/>
        <w:snapToGrid w:val="0"/>
        <w:spacing w:before="120" w:after="120" w:line="360" w:lineRule="auto"/>
        <w:ind w:firstLine="681" w:firstLineChars="213"/>
        <w:rPr>
          <w:rFonts w:hint="eastAsia" w:ascii="仿宋" w:hAnsi="仿宋" w:eastAsia="仿宋" w:cs="仿宋"/>
          <w:color w:val="auto"/>
          <w:sz w:val="32"/>
          <w:szCs w:val="32"/>
        </w:rPr>
      </w:pPr>
      <w:r>
        <w:rPr>
          <w:rFonts w:hint="eastAsia" w:ascii="仿宋" w:hAnsi="仿宋" w:eastAsia="仿宋" w:cs="仿宋"/>
          <w:color w:val="auto"/>
          <w:sz w:val="32"/>
          <w:szCs w:val="32"/>
        </w:rPr>
        <w:t>3.补充征集期间，原框架协议继续履行。</w:t>
      </w:r>
    </w:p>
    <w:p>
      <w:pPr>
        <w:pStyle w:val="11"/>
        <w:adjustRightInd w:val="0"/>
        <w:snapToGrid w:val="0"/>
        <w:spacing w:before="120" w:after="120" w:line="360" w:lineRule="auto"/>
        <w:ind w:firstLine="684" w:firstLineChars="213"/>
        <w:rPr>
          <w:rFonts w:hint="eastAsia" w:ascii="仿宋" w:hAnsi="仿宋" w:eastAsia="仿宋" w:cs="仿宋"/>
          <w:b/>
          <w:snapToGrid w:val="0"/>
          <w:color w:val="auto"/>
          <w:sz w:val="32"/>
          <w:szCs w:val="32"/>
        </w:rPr>
      </w:pPr>
      <w:r>
        <w:rPr>
          <w:rFonts w:hint="eastAsia" w:ascii="仿宋" w:hAnsi="仿宋" w:eastAsia="仿宋" w:cs="仿宋"/>
          <w:b/>
          <w:snapToGrid w:val="0"/>
          <w:color w:val="auto"/>
          <w:sz w:val="32"/>
          <w:szCs w:val="32"/>
        </w:rPr>
        <w:t>二十二、不可抗力事件处理</w:t>
      </w:r>
    </w:p>
    <w:p>
      <w:pPr>
        <w:pStyle w:val="11"/>
        <w:adjustRightInd w:val="0"/>
        <w:snapToGrid w:val="0"/>
        <w:spacing w:before="120" w:after="120" w:line="360" w:lineRule="auto"/>
        <w:ind w:firstLine="681" w:firstLineChars="213"/>
        <w:rPr>
          <w:rFonts w:hint="eastAsia" w:ascii="仿宋" w:hAnsi="仿宋" w:eastAsia="仿宋" w:cs="仿宋"/>
          <w:snapToGrid w:val="0"/>
          <w:color w:val="auto"/>
          <w:sz w:val="32"/>
          <w:szCs w:val="32"/>
        </w:rPr>
      </w:pPr>
      <w:r>
        <w:rPr>
          <w:rFonts w:hint="eastAsia" w:ascii="仿宋" w:hAnsi="仿宋" w:eastAsia="仿宋" w:cs="仿宋"/>
          <w:snapToGrid w:val="0"/>
          <w:color w:val="auto"/>
          <w:sz w:val="32"/>
          <w:szCs w:val="32"/>
        </w:rPr>
        <w:t>1.在合同有效期内，任何一方因不可抗力事件导致不能履行合同，则合同履行期可延长，其延长期与不可抗力影响期相同。</w:t>
      </w:r>
    </w:p>
    <w:p>
      <w:pPr>
        <w:pStyle w:val="11"/>
        <w:adjustRightInd w:val="0"/>
        <w:snapToGrid w:val="0"/>
        <w:spacing w:before="120" w:after="120" w:line="360" w:lineRule="auto"/>
        <w:ind w:firstLine="681" w:firstLineChars="213"/>
        <w:rPr>
          <w:rFonts w:hint="eastAsia" w:ascii="仿宋" w:hAnsi="仿宋" w:eastAsia="仿宋" w:cs="仿宋"/>
          <w:snapToGrid w:val="0"/>
          <w:color w:val="auto"/>
          <w:sz w:val="32"/>
          <w:szCs w:val="32"/>
        </w:rPr>
      </w:pPr>
      <w:r>
        <w:rPr>
          <w:rFonts w:hint="eastAsia" w:ascii="仿宋" w:hAnsi="仿宋" w:eastAsia="仿宋" w:cs="仿宋"/>
          <w:snapToGrid w:val="0"/>
          <w:color w:val="auto"/>
          <w:sz w:val="32"/>
          <w:szCs w:val="32"/>
        </w:rPr>
        <w:t>2.不可抗力事件发生后，应立即通知对方，并寄送有关权威机构出具的证明。</w:t>
      </w:r>
    </w:p>
    <w:p>
      <w:pPr>
        <w:pStyle w:val="11"/>
        <w:adjustRightInd w:val="0"/>
        <w:snapToGrid w:val="0"/>
        <w:spacing w:before="120" w:after="120" w:line="360" w:lineRule="auto"/>
        <w:ind w:firstLine="681" w:firstLineChars="213"/>
        <w:rPr>
          <w:rFonts w:hint="eastAsia" w:ascii="仿宋" w:hAnsi="仿宋" w:eastAsia="仿宋" w:cs="仿宋"/>
          <w:snapToGrid w:val="0"/>
          <w:color w:val="auto"/>
          <w:sz w:val="32"/>
          <w:szCs w:val="32"/>
        </w:rPr>
      </w:pPr>
      <w:r>
        <w:rPr>
          <w:rFonts w:hint="eastAsia" w:ascii="仿宋" w:hAnsi="仿宋" w:eastAsia="仿宋" w:cs="仿宋"/>
          <w:snapToGrid w:val="0"/>
          <w:color w:val="auto"/>
          <w:sz w:val="32"/>
          <w:szCs w:val="32"/>
        </w:rPr>
        <w:t>3.不可抗力事件延续120天以上，双方应通过友好协商，确定是否继续履行合同。</w:t>
      </w:r>
    </w:p>
    <w:p>
      <w:pPr>
        <w:pStyle w:val="11"/>
        <w:adjustRightInd w:val="0"/>
        <w:snapToGrid w:val="0"/>
        <w:spacing w:before="120" w:after="120" w:line="360" w:lineRule="auto"/>
        <w:ind w:firstLine="684" w:firstLineChars="213"/>
        <w:rPr>
          <w:rFonts w:hint="eastAsia" w:ascii="仿宋" w:hAnsi="仿宋" w:eastAsia="仿宋" w:cs="仿宋"/>
          <w:b/>
          <w:snapToGrid w:val="0"/>
          <w:color w:val="auto"/>
          <w:sz w:val="32"/>
          <w:szCs w:val="32"/>
        </w:rPr>
      </w:pPr>
      <w:r>
        <w:rPr>
          <w:rFonts w:hint="eastAsia" w:ascii="仿宋" w:hAnsi="仿宋" w:eastAsia="仿宋" w:cs="仿宋"/>
          <w:b/>
          <w:snapToGrid w:val="0"/>
          <w:color w:val="auto"/>
          <w:sz w:val="32"/>
          <w:szCs w:val="32"/>
        </w:rPr>
        <w:t>二十三、诉讼</w:t>
      </w:r>
    </w:p>
    <w:p>
      <w:pPr>
        <w:pStyle w:val="11"/>
        <w:adjustRightInd w:val="0"/>
        <w:snapToGrid w:val="0"/>
        <w:spacing w:before="120" w:after="120" w:line="360" w:lineRule="auto"/>
        <w:ind w:left="2" w:firstLine="681" w:firstLineChars="213"/>
        <w:rPr>
          <w:rFonts w:hint="eastAsia" w:ascii="仿宋" w:hAnsi="仿宋" w:eastAsia="仿宋" w:cs="仿宋"/>
          <w:snapToGrid w:val="0"/>
          <w:color w:val="auto"/>
          <w:sz w:val="32"/>
          <w:szCs w:val="32"/>
        </w:rPr>
      </w:pPr>
      <w:r>
        <w:rPr>
          <w:rFonts w:hint="eastAsia" w:ascii="仿宋" w:hAnsi="仿宋" w:eastAsia="仿宋" w:cs="仿宋"/>
          <w:snapToGrid w:val="0"/>
          <w:color w:val="auto"/>
          <w:sz w:val="32"/>
          <w:szCs w:val="32"/>
        </w:rPr>
        <w:t>双方在执行合同中所发生的一切争议，应通过协商解决。如协商不成，可向甲方所在地法院起诉。</w:t>
      </w:r>
    </w:p>
    <w:p>
      <w:pPr>
        <w:pStyle w:val="11"/>
        <w:adjustRightInd w:val="0"/>
        <w:snapToGrid w:val="0"/>
        <w:spacing w:before="120" w:after="120" w:line="360" w:lineRule="auto"/>
        <w:ind w:firstLine="684" w:firstLineChars="213"/>
        <w:rPr>
          <w:rFonts w:hint="eastAsia" w:ascii="仿宋" w:hAnsi="仿宋" w:eastAsia="仿宋" w:cs="仿宋"/>
          <w:b/>
          <w:snapToGrid w:val="0"/>
          <w:color w:val="auto"/>
          <w:sz w:val="32"/>
          <w:szCs w:val="32"/>
        </w:rPr>
      </w:pPr>
      <w:r>
        <w:rPr>
          <w:rFonts w:hint="eastAsia" w:ascii="仿宋" w:hAnsi="仿宋" w:eastAsia="仿宋" w:cs="仿宋"/>
          <w:b/>
          <w:snapToGrid w:val="0"/>
          <w:color w:val="auto"/>
          <w:sz w:val="32"/>
          <w:szCs w:val="32"/>
        </w:rPr>
        <w:t>二十四、协议生效及其它</w:t>
      </w:r>
    </w:p>
    <w:p>
      <w:pPr>
        <w:pStyle w:val="11"/>
        <w:adjustRightInd w:val="0"/>
        <w:snapToGrid w:val="0"/>
        <w:spacing w:before="120" w:after="120" w:line="360" w:lineRule="auto"/>
        <w:ind w:firstLine="681" w:firstLineChars="213"/>
        <w:rPr>
          <w:rFonts w:hint="eastAsia" w:ascii="仿宋" w:hAnsi="仿宋" w:eastAsia="仿宋" w:cs="仿宋"/>
          <w:snapToGrid w:val="0"/>
          <w:color w:val="auto"/>
          <w:sz w:val="32"/>
          <w:szCs w:val="32"/>
        </w:rPr>
      </w:pPr>
      <w:r>
        <w:rPr>
          <w:rFonts w:hint="eastAsia" w:ascii="仿宋" w:hAnsi="仿宋" w:eastAsia="仿宋" w:cs="仿宋"/>
          <w:snapToGrid w:val="0"/>
          <w:color w:val="auto"/>
          <w:sz w:val="32"/>
          <w:szCs w:val="32"/>
        </w:rPr>
        <w:t>1.协议经甲、乙双方加盖单位公章后生效。</w:t>
      </w:r>
    </w:p>
    <w:p>
      <w:pPr>
        <w:pStyle w:val="11"/>
        <w:adjustRightInd w:val="0"/>
        <w:snapToGrid w:val="0"/>
        <w:spacing w:before="120" w:after="120" w:line="360" w:lineRule="auto"/>
        <w:ind w:firstLine="681" w:firstLineChars="213"/>
        <w:rPr>
          <w:rFonts w:hint="eastAsia" w:ascii="仿宋" w:hAnsi="仿宋" w:eastAsia="仿宋" w:cs="仿宋"/>
          <w:snapToGrid w:val="0"/>
          <w:color w:val="auto"/>
          <w:sz w:val="32"/>
          <w:szCs w:val="32"/>
        </w:rPr>
      </w:pPr>
      <w:r>
        <w:rPr>
          <w:rFonts w:hint="eastAsia" w:ascii="仿宋" w:hAnsi="仿宋" w:eastAsia="仿宋" w:cs="仿宋"/>
          <w:snapToGrid w:val="0"/>
          <w:color w:val="auto"/>
          <w:sz w:val="32"/>
          <w:szCs w:val="32"/>
        </w:rPr>
        <w:t>2.如有最新政策规定，甲乙双方按最新政策规定执行，不再签订补充协议。</w:t>
      </w:r>
    </w:p>
    <w:p>
      <w:pPr>
        <w:pStyle w:val="11"/>
        <w:adjustRightInd w:val="0"/>
        <w:snapToGrid w:val="0"/>
        <w:spacing w:before="120" w:after="120" w:line="360" w:lineRule="auto"/>
        <w:ind w:firstLine="681" w:firstLineChars="213"/>
        <w:rPr>
          <w:rFonts w:hint="eastAsia" w:ascii="仿宋" w:hAnsi="仿宋" w:eastAsia="仿宋" w:cs="仿宋"/>
          <w:snapToGrid w:val="0"/>
          <w:color w:val="auto"/>
          <w:sz w:val="32"/>
          <w:szCs w:val="32"/>
        </w:rPr>
      </w:pPr>
      <w:r>
        <w:rPr>
          <w:rFonts w:hint="eastAsia" w:ascii="仿宋" w:hAnsi="仿宋" w:eastAsia="仿宋" w:cs="仿宋"/>
          <w:snapToGrid w:val="0"/>
          <w:color w:val="auto"/>
          <w:sz w:val="32"/>
          <w:szCs w:val="32"/>
        </w:rPr>
        <w:t>3.征集文件、响应文件与本协议具有同等法律效力。</w:t>
      </w:r>
    </w:p>
    <w:p>
      <w:pPr>
        <w:pStyle w:val="11"/>
        <w:adjustRightInd w:val="0"/>
        <w:snapToGrid w:val="0"/>
        <w:spacing w:before="120" w:after="120" w:line="360" w:lineRule="auto"/>
        <w:ind w:firstLine="681" w:firstLineChars="213"/>
        <w:rPr>
          <w:rFonts w:hint="eastAsia" w:ascii="仿宋" w:hAnsi="仿宋" w:eastAsia="仿宋" w:cs="仿宋"/>
          <w:snapToGrid w:val="0"/>
          <w:color w:val="auto"/>
          <w:sz w:val="32"/>
          <w:szCs w:val="32"/>
        </w:rPr>
      </w:pPr>
      <w:r>
        <w:rPr>
          <w:rFonts w:hint="eastAsia" w:ascii="仿宋" w:hAnsi="仿宋" w:eastAsia="仿宋" w:cs="仿宋"/>
          <w:snapToGrid w:val="0"/>
          <w:color w:val="auto"/>
          <w:sz w:val="32"/>
          <w:szCs w:val="32"/>
        </w:rPr>
        <w:t>4.本协议未尽事宜，遵照《中华人民共和国民法典》有关条文执行。</w:t>
      </w:r>
    </w:p>
    <w:p>
      <w:pPr>
        <w:pStyle w:val="11"/>
        <w:adjustRightInd w:val="0"/>
        <w:snapToGrid w:val="0"/>
        <w:spacing w:before="120" w:after="120" w:line="360" w:lineRule="auto"/>
        <w:ind w:left="1" w:firstLine="684" w:firstLineChars="213"/>
        <w:rPr>
          <w:rFonts w:hint="eastAsia" w:ascii="仿宋" w:hAnsi="仿宋" w:eastAsia="仿宋" w:cs="仿宋"/>
          <w:b/>
          <w:snapToGrid w:val="0"/>
          <w:color w:val="auto"/>
          <w:sz w:val="32"/>
          <w:szCs w:val="32"/>
        </w:rPr>
      </w:pPr>
      <w:r>
        <w:rPr>
          <w:rFonts w:hint="eastAsia" w:ascii="仿宋" w:hAnsi="仿宋" w:eastAsia="仿宋" w:cs="仿宋"/>
          <w:b/>
          <w:snapToGrid w:val="0"/>
          <w:color w:val="auto"/>
          <w:sz w:val="32"/>
          <w:szCs w:val="32"/>
        </w:rPr>
        <w:t>（以下无正文）</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0" w:lineRule="auto"/>
        <w:ind w:left="0" w:right="0" w:firstLine="600"/>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甲方（盖章）： </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0" w:lineRule="auto"/>
        <w:ind w:left="0" w:right="0" w:firstLine="600"/>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乙方（盖章）： </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0" w:lineRule="auto"/>
        <w:ind w:left="0" w:right="0" w:firstLine="600"/>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签</w:t>
      </w:r>
      <w:r>
        <w:rPr>
          <w:rFonts w:hint="eastAsia" w:ascii="仿宋" w:hAnsi="仿宋" w:cs="仿宋"/>
          <w:i w:val="0"/>
          <w:iCs w:val="0"/>
          <w:caps w:val="0"/>
          <w:color w:val="auto"/>
          <w:spacing w:val="0"/>
          <w:sz w:val="32"/>
          <w:szCs w:val="32"/>
          <w:shd w:val="clear" w:fill="FFFFFF"/>
          <w:lang w:val="en-US" w:eastAsia="zh-CN"/>
        </w:rPr>
        <w:t>订</w:t>
      </w:r>
      <w:r>
        <w:rPr>
          <w:rFonts w:hint="eastAsia" w:ascii="仿宋" w:hAnsi="仿宋" w:eastAsia="仿宋" w:cs="仿宋"/>
          <w:i w:val="0"/>
          <w:iCs w:val="0"/>
          <w:caps w:val="0"/>
          <w:color w:val="auto"/>
          <w:spacing w:val="0"/>
          <w:sz w:val="32"/>
          <w:szCs w:val="32"/>
          <w:shd w:val="clear" w:fill="FFFFFF"/>
        </w:rPr>
        <w:t>日期： </w:t>
      </w:r>
    </w:p>
    <w:p>
      <w:pPr>
        <w:widowControl/>
        <w:snapToGrid w:val="0"/>
        <w:spacing w:line="360" w:lineRule="auto"/>
        <w:ind w:firstLine="562" w:firstLineChars="200"/>
        <w:jc w:val="center"/>
        <w:rPr>
          <w:rFonts w:hint="eastAsia" w:ascii="仿宋" w:hAnsi="仿宋" w:eastAsia="仿宋" w:cs="仿宋"/>
          <w:b/>
          <w:bCs/>
          <w:color w:val="auto"/>
          <w:kern w:val="0"/>
          <w:sz w:val="28"/>
          <w:szCs w:val="28"/>
          <w:lang w:bidi="ar"/>
        </w:rPr>
      </w:pPr>
    </w:p>
    <w:p>
      <w:pPr>
        <w:rPr>
          <w:rFonts w:hint="eastAsia" w:ascii="宋体" w:hAnsi="宋体" w:cs="宋体"/>
          <w:b/>
          <w:bCs/>
          <w:color w:val="auto"/>
          <w:kern w:val="0"/>
          <w:sz w:val="36"/>
          <w:szCs w:val="36"/>
          <w:lang w:bidi="ar"/>
        </w:rPr>
      </w:pPr>
      <w:r>
        <w:rPr>
          <w:rFonts w:hint="eastAsia" w:ascii="宋体" w:hAnsi="宋体" w:cs="宋体"/>
          <w:b/>
          <w:bCs/>
          <w:color w:val="auto"/>
          <w:kern w:val="0"/>
          <w:sz w:val="36"/>
          <w:szCs w:val="36"/>
          <w:lang w:bidi="ar"/>
        </w:rPr>
        <w:br w:type="page"/>
      </w:r>
    </w:p>
    <w:p>
      <w:pPr>
        <w:widowControl/>
        <w:snapToGrid w:val="0"/>
        <w:spacing w:line="360" w:lineRule="auto"/>
        <w:jc w:val="center"/>
        <w:rPr>
          <w:rFonts w:hint="eastAsia" w:ascii="宋体" w:hAnsi="宋体" w:cs="宋体"/>
          <w:b/>
          <w:bCs/>
          <w:color w:val="auto"/>
          <w:kern w:val="0"/>
          <w:sz w:val="36"/>
          <w:szCs w:val="36"/>
          <w:lang w:bidi="ar"/>
        </w:rPr>
      </w:pPr>
      <w:r>
        <w:rPr>
          <w:rFonts w:hint="eastAsia" w:ascii="宋体" w:hAnsi="宋体" w:cs="宋体"/>
          <w:b/>
          <w:bCs/>
          <w:color w:val="auto"/>
          <w:kern w:val="0"/>
          <w:sz w:val="36"/>
          <w:szCs w:val="36"/>
          <w:lang w:bidi="ar"/>
        </w:rPr>
        <w:t>政府采购框架协议采购合同</w:t>
      </w:r>
    </w:p>
    <w:p>
      <w:pPr>
        <w:widowControl/>
        <w:snapToGrid w:val="0"/>
        <w:spacing w:line="360" w:lineRule="auto"/>
        <w:ind w:firstLine="562" w:firstLineChars="200"/>
        <w:jc w:val="center"/>
        <w:rPr>
          <w:rFonts w:hint="eastAsia" w:ascii="仿宋" w:hAnsi="仿宋" w:eastAsia="仿宋" w:cs="仿宋"/>
          <w:b/>
          <w:bCs/>
          <w:color w:val="auto"/>
          <w:kern w:val="0"/>
          <w:sz w:val="28"/>
          <w:szCs w:val="28"/>
          <w:lang w:bidi="ar"/>
        </w:rPr>
      </w:pPr>
    </w:p>
    <w:p>
      <w:pPr>
        <w:widowControl/>
        <w:wordWrap w:val="0"/>
        <w:snapToGrid w:val="0"/>
        <w:spacing w:line="360" w:lineRule="auto"/>
        <w:ind w:right="360" w:firstLine="560" w:firstLineChars="200"/>
        <w:jc w:val="right"/>
        <w:rPr>
          <w:rFonts w:hint="eastAsia" w:ascii="仿宋" w:hAnsi="仿宋" w:eastAsia="仿宋" w:cs="仿宋"/>
          <w:color w:val="auto"/>
          <w:kern w:val="0"/>
          <w:sz w:val="28"/>
          <w:szCs w:val="28"/>
          <w:lang w:bidi="ar"/>
        </w:rPr>
      </w:pPr>
      <w:r>
        <w:rPr>
          <w:rFonts w:hint="eastAsia" w:ascii="仿宋" w:hAnsi="仿宋" w:eastAsia="仿宋" w:cs="仿宋"/>
          <w:color w:val="auto"/>
          <w:kern w:val="0"/>
          <w:sz w:val="28"/>
          <w:szCs w:val="28"/>
          <w:lang w:bidi="ar"/>
        </w:rPr>
        <w:t xml:space="preserve">合同编号： </w:t>
      </w:r>
    </w:p>
    <w:p>
      <w:pPr>
        <w:widowControl/>
        <w:snapToGrid w:val="0"/>
        <w:spacing w:line="360" w:lineRule="auto"/>
        <w:ind w:firstLine="560" w:firstLineChars="200"/>
        <w:jc w:val="left"/>
        <w:rPr>
          <w:rFonts w:hint="eastAsia" w:ascii="仿宋" w:hAnsi="仿宋" w:eastAsia="仿宋" w:cs="仿宋"/>
          <w:color w:val="auto"/>
          <w:kern w:val="0"/>
          <w:sz w:val="28"/>
          <w:szCs w:val="28"/>
          <w:lang w:bidi="ar"/>
        </w:rPr>
      </w:pPr>
      <w:r>
        <w:rPr>
          <w:rFonts w:hint="eastAsia" w:ascii="仿宋" w:hAnsi="仿宋" w:eastAsia="仿宋" w:cs="仿宋"/>
          <w:color w:val="auto"/>
          <w:kern w:val="0"/>
          <w:sz w:val="28"/>
          <w:szCs w:val="28"/>
          <w:lang w:bidi="ar"/>
        </w:rPr>
        <w:t>甲方（采购单位）：</w:t>
      </w:r>
    </w:p>
    <w:p>
      <w:pPr>
        <w:widowControl/>
        <w:snapToGrid w:val="0"/>
        <w:spacing w:line="360" w:lineRule="auto"/>
        <w:ind w:firstLine="560" w:firstLineChars="200"/>
        <w:jc w:val="left"/>
        <w:rPr>
          <w:rFonts w:hint="eastAsia" w:ascii="仿宋" w:hAnsi="仿宋" w:eastAsia="仿宋" w:cs="仿宋"/>
          <w:color w:val="auto"/>
          <w:kern w:val="0"/>
          <w:sz w:val="28"/>
          <w:szCs w:val="28"/>
          <w:lang w:bidi="ar"/>
        </w:rPr>
      </w:pPr>
      <w:r>
        <w:rPr>
          <w:rFonts w:hint="eastAsia" w:ascii="仿宋" w:hAnsi="仿宋" w:eastAsia="仿宋" w:cs="仿宋"/>
          <w:color w:val="auto"/>
          <w:kern w:val="0"/>
          <w:sz w:val="28"/>
          <w:szCs w:val="28"/>
          <w:lang w:bidi="ar"/>
        </w:rPr>
        <w:t>乙方（供应商）：</w:t>
      </w:r>
    </w:p>
    <w:p>
      <w:pPr>
        <w:pStyle w:val="11"/>
        <w:adjustRightInd w:val="0"/>
        <w:snapToGrid w:val="0"/>
        <w:spacing w:before="156" w:after="156" w:line="460" w:lineRule="exact"/>
        <w:ind w:firstLine="596" w:firstLineChars="213"/>
        <w:rPr>
          <w:rFonts w:hint="eastAsia" w:ascii="仿宋" w:hAnsi="仿宋" w:eastAsia="仿宋" w:cs="仿宋"/>
          <w:color w:val="auto"/>
          <w:sz w:val="28"/>
          <w:szCs w:val="28"/>
        </w:rPr>
      </w:pPr>
      <w:r>
        <w:rPr>
          <w:rFonts w:hint="eastAsia" w:ascii="仿宋" w:hAnsi="仿宋" w:eastAsia="仿宋" w:cs="仿宋"/>
          <w:snapToGrid w:val="0"/>
          <w:color w:val="auto"/>
          <w:sz w:val="28"/>
          <w:szCs w:val="28"/>
        </w:rPr>
        <w:t>甲、乙双方根据</w:t>
      </w:r>
      <w:r>
        <w:rPr>
          <w:rFonts w:hint="eastAsia" w:ascii="仿宋" w:hAnsi="仿宋" w:eastAsia="仿宋" w:cs="仿宋"/>
          <w:color w:val="auto"/>
          <w:kern w:val="0"/>
          <w:sz w:val="28"/>
          <w:szCs w:val="28"/>
          <w:lang w:bidi="ar"/>
        </w:rPr>
        <w:t>《中华人民共和国政府采购法》《中华人民共和国民法典》相关法律法规、</w:t>
      </w:r>
      <w:r>
        <w:rPr>
          <w:rFonts w:hint="eastAsia" w:ascii="仿宋" w:hAnsi="仿宋" w:eastAsia="仿宋" w:cs="仿宋"/>
          <w:snapToGrid w:val="0"/>
          <w:color w:val="auto"/>
          <w:sz w:val="28"/>
          <w:szCs w:val="28"/>
          <w:lang w:eastAsia="zh-CN"/>
        </w:rPr>
        <w:t>2025年度浙江省预算单位服务器封闭式框架协议</w:t>
      </w:r>
      <w:r>
        <w:rPr>
          <w:rFonts w:hint="eastAsia" w:ascii="仿宋" w:hAnsi="仿宋" w:eastAsia="仿宋" w:cs="仿宋"/>
          <w:snapToGrid w:val="0"/>
          <w:color w:val="auto"/>
          <w:sz w:val="28"/>
          <w:szCs w:val="28"/>
        </w:rPr>
        <w:t>采购</w:t>
      </w:r>
      <w:r>
        <w:rPr>
          <w:rFonts w:hint="eastAsia" w:ascii="仿宋" w:hAnsi="仿宋" w:eastAsia="仿宋" w:cs="仿宋"/>
          <w:color w:val="auto"/>
          <w:kern w:val="0"/>
          <w:sz w:val="28"/>
          <w:szCs w:val="28"/>
          <w:lang w:bidi="ar"/>
        </w:rPr>
        <w:t>的结果</w:t>
      </w:r>
      <w:r>
        <w:rPr>
          <w:rFonts w:hint="eastAsia" w:ascii="仿宋" w:hAnsi="仿宋" w:eastAsia="仿宋" w:cs="仿宋"/>
          <w:snapToGrid w:val="0"/>
          <w:color w:val="auto"/>
          <w:sz w:val="28"/>
          <w:szCs w:val="28"/>
        </w:rPr>
        <w:t>签署本合同</w:t>
      </w:r>
      <w:r>
        <w:rPr>
          <w:rFonts w:hint="eastAsia" w:ascii="仿宋" w:hAnsi="仿宋" w:eastAsia="仿宋" w:cs="仿宋"/>
          <w:color w:val="auto"/>
          <w:kern w:val="0"/>
          <w:sz w:val="28"/>
          <w:szCs w:val="28"/>
          <w:lang w:bidi="ar"/>
        </w:rPr>
        <w:t>。</w:t>
      </w:r>
    </w:p>
    <w:p>
      <w:pPr>
        <w:snapToGrid w:val="0"/>
        <w:spacing w:line="360" w:lineRule="auto"/>
        <w:ind w:firstLine="602" w:firstLineChars="200"/>
        <w:rPr>
          <w:rFonts w:ascii="宋体" w:hAnsi="宋体"/>
          <w:b/>
          <w:color w:val="auto"/>
          <w:sz w:val="30"/>
          <w:szCs w:val="30"/>
        </w:rPr>
      </w:pPr>
      <w:r>
        <w:rPr>
          <w:rFonts w:hint="eastAsia" w:ascii="宋体" w:hAnsi="宋体"/>
          <w:b/>
          <w:snapToGrid w:val="0"/>
          <w:color w:val="auto"/>
          <w:sz w:val="30"/>
          <w:szCs w:val="30"/>
        </w:rPr>
        <w:t>一、采购内容</w:t>
      </w:r>
      <w:r>
        <w:rPr>
          <w:rFonts w:hint="eastAsia" w:ascii="宋体" w:hAnsi="宋体"/>
          <w:b/>
          <w:color w:val="auto"/>
          <w:sz w:val="30"/>
          <w:szCs w:val="30"/>
        </w:rPr>
        <w:t>及协议价格</w:t>
      </w:r>
    </w:p>
    <w:p>
      <w:pPr>
        <w:pStyle w:val="11"/>
        <w:adjustRightInd w:val="0"/>
        <w:snapToGrid w:val="0"/>
        <w:spacing w:beforeLines="0" w:afterLines="0" w:line="360" w:lineRule="auto"/>
        <w:ind w:firstLine="639" w:firstLineChars="213"/>
        <w:jc w:val="right"/>
        <w:rPr>
          <w:rFonts w:hAnsi="宋体"/>
          <w:color w:val="auto"/>
          <w:sz w:val="21"/>
          <w:szCs w:val="21"/>
        </w:rPr>
      </w:pPr>
      <w:r>
        <w:rPr>
          <w:rFonts w:hint="eastAsia" w:ascii="仿宋" w:hAnsi="仿宋" w:eastAsia="仿宋" w:cs="仿宋"/>
          <w:color w:val="auto"/>
          <w:sz w:val="30"/>
          <w:szCs w:val="30"/>
        </w:rPr>
        <w:t>金额单位：元</w:t>
      </w:r>
      <w:r>
        <w:rPr>
          <w:rFonts w:hint="eastAsia" w:hAnsi="宋体"/>
          <w:color w:val="auto"/>
          <w:sz w:val="21"/>
          <w:szCs w:val="21"/>
        </w:rPr>
        <w:t xml:space="preserve"> </w:t>
      </w:r>
    </w:p>
    <w:tbl>
      <w:tblPr>
        <w:tblStyle w:val="18"/>
        <w:tblW w:w="8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8"/>
        <w:gridCol w:w="1327"/>
        <w:gridCol w:w="1327"/>
        <w:gridCol w:w="928"/>
        <w:gridCol w:w="947"/>
        <w:gridCol w:w="876"/>
        <w:gridCol w:w="1045"/>
        <w:gridCol w:w="1004"/>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698" w:type="dxa"/>
            <w:noWrap w:val="0"/>
            <w:vAlign w:val="center"/>
          </w:tcPr>
          <w:p>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序号</w:t>
            </w:r>
          </w:p>
        </w:tc>
        <w:tc>
          <w:tcPr>
            <w:tcW w:w="1327" w:type="dxa"/>
            <w:noWrap w:val="0"/>
            <w:vAlign w:val="center"/>
          </w:tcPr>
          <w:p>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采购计划</w:t>
            </w:r>
          </w:p>
          <w:p>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文号</w:t>
            </w:r>
          </w:p>
        </w:tc>
        <w:tc>
          <w:tcPr>
            <w:tcW w:w="1327" w:type="dxa"/>
            <w:noWrap w:val="0"/>
            <w:vAlign w:val="center"/>
          </w:tcPr>
          <w:p>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商品名称</w:t>
            </w:r>
          </w:p>
        </w:tc>
        <w:tc>
          <w:tcPr>
            <w:tcW w:w="928" w:type="dxa"/>
            <w:noWrap w:val="0"/>
            <w:vAlign w:val="center"/>
          </w:tcPr>
          <w:p>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品牌</w:t>
            </w:r>
          </w:p>
        </w:tc>
        <w:tc>
          <w:tcPr>
            <w:tcW w:w="947" w:type="dxa"/>
            <w:noWrap w:val="0"/>
            <w:vAlign w:val="center"/>
          </w:tcPr>
          <w:p>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型号</w:t>
            </w:r>
          </w:p>
        </w:tc>
        <w:tc>
          <w:tcPr>
            <w:tcW w:w="876" w:type="dxa"/>
            <w:noWrap w:val="0"/>
            <w:vAlign w:val="center"/>
          </w:tcPr>
          <w:p>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配置要求</w:t>
            </w:r>
          </w:p>
        </w:tc>
        <w:tc>
          <w:tcPr>
            <w:tcW w:w="1045"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采购数量</w:t>
            </w:r>
          </w:p>
        </w:tc>
        <w:tc>
          <w:tcPr>
            <w:tcW w:w="1004"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成交价格</w:t>
            </w:r>
          </w:p>
        </w:tc>
        <w:tc>
          <w:tcPr>
            <w:tcW w:w="759"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698" w:type="dxa"/>
            <w:noWrap w:val="0"/>
            <w:vAlign w:val="center"/>
          </w:tcPr>
          <w:p>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327" w:type="dxa"/>
            <w:noWrap w:val="0"/>
            <w:vAlign w:val="center"/>
          </w:tcPr>
          <w:p>
            <w:pPr>
              <w:keepNext w:val="0"/>
              <w:keepLines w:val="0"/>
              <w:pageBreakBefore w:val="0"/>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auto"/>
                <w:sz w:val="24"/>
                <w:szCs w:val="24"/>
              </w:rPr>
            </w:pPr>
          </w:p>
        </w:tc>
        <w:tc>
          <w:tcPr>
            <w:tcW w:w="1327" w:type="dxa"/>
            <w:noWrap w:val="0"/>
            <w:vAlign w:val="center"/>
          </w:tcPr>
          <w:p>
            <w:pPr>
              <w:keepNext w:val="0"/>
              <w:keepLines w:val="0"/>
              <w:pageBreakBefore w:val="0"/>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auto"/>
                <w:sz w:val="24"/>
                <w:szCs w:val="24"/>
              </w:rPr>
            </w:pPr>
          </w:p>
        </w:tc>
        <w:tc>
          <w:tcPr>
            <w:tcW w:w="928" w:type="dxa"/>
            <w:noWrap w:val="0"/>
            <w:vAlign w:val="center"/>
          </w:tcPr>
          <w:p>
            <w:pPr>
              <w:keepNext w:val="0"/>
              <w:keepLines w:val="0"/>
              <w:pageBreakBefore w:val="0"/>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auto"/>
                <w:sz w:val="24"/>
                <w:szCs w:val="24"/>
              </w:rPr>
            </w:pPr>
          </w:p>
        </w:tc>
        <w:tc>
          <w:tcPr>
            <w:tcW w:w="947" w:type="dxa"/>
            <w:noWrap w:val="0"/>
            <w:vAlign w:val="center"/>
          </w:tcPr>
          <w:p>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24"/>
                <w:szCs w:val="24"/>
              </w:rPr>
            </w:pPr>
          </w:p>
        </w:tc>
        <w:tc>
          <w:tcPr>
            <w:tcW w:w="876" w:type="dxa"/>
            <w:noWrap w:val="0"/>
            <w:vAlign w:val="center"/>
          </w:tcPr>
          <w:p>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24"/>
                <w:szCs w:val="24"/>
              </w:rPr>
            </w:pPr>
          </w:p>
        </w:tc>
        <w:tc>
          <w:tcPr>
            <w:tcW w:w="1045" w:type="dxa"/>
            <w:noWrap w:val="0"/>
            <w:vAlign w:val="center"/>
          </w:tcPr>
          <w:p>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24"/>
                <w:szCs w:val="24"/>
              </w:rPr>
            </w:pPr>
          </w:p>
        </w:tc>
        <w:tc>
          <w:tcPr>
            <w:tcW w:w="1004" w:type="dxa"/>
            <w:noWrap w:val="0"/>
            <w:vAlign w:val="center"/>
          </w:tcPr>
          <w:p>
            <w:pPr>
              <w:keepNext w:val="0"/>
              <w:keepLines w:val="0"/>
              <w:pageBreakBefore w:val="0"/>
              <w:kinsoku/>
              <w:wordWrap/>
              <w:overflowPunct/>
              <w:topLinePunct w:val="0"/>
              <w:autoSpaceDE/>
              <w:autoSpaceDN/>
              <w:bidi w:val="0"/>
              <w:adjustRightInd/>
              <w:snapToGrid w:val="0"/>
              <w:spacing w:line="360" w:lineRule="auto"/>
              <w:ind w:firstLine="0" w:firstLineChars="0"/>
              <w:jc w:val="right"/>
              <w:textAlignment w:val="auto"/>
              <w:rPr>
                <w:rFonts w:hint="eastAsia" w:ascii="仿宋" w:hAnsi="仿宋" w:eastAsia="仿宋" w:cs="仿宋"/>
                <w:color w:val="auto"/>
                <w:sz w:val="24"/>
                <w:szCs w:val="24"/>
              </w:rPr>
            </w:pPr>
          </w:p>
        </w:tc>
        <w:tc>
          <w:tcPr>
            <w:tcW w:w="759" w:type="dxa"/>
            <w:noWrap w:val="0"/>
            <w:vAlign w:val="center"/>
          </w:tcPr>
          <w:p>
            <w:pPr>
              <w:keepNext w:val="0"/>
              <w:keepLines w:val="0"/>
              <w:pageBreakBefore w:val="0"/>
              <w:kinsoku/>
              <w:wordWrap/>
              <w:overflowPunct/>
              <w:topLinePunct w:val="0"/>
              <w:autoSpaceDE/>
              <w:autoSpaceDN/>
              <w:bidi w:val="0"/>
              <w:adjustRightInd/>
              <w:snapToGrid w:val="0"/>
              <w:spacing w:line="360" w:lineRule="auto"/>
              <w:ind w:firstLine="0" w:firstLineChars="0"/>
              <w:jc w:val="right"/>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98" w:type="dxa"/>
            <w:noWrap w:val="0"/>
            <w:vAlign w:val="center"/>
          </w:tcPr>
          <w:p>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24"/>
                <w:szCs w:val="24"/>
              </w:rPr>
            </w:pPr>
          </w:p>
        </w:tc>
        <w:tc>
          <w:tcPr>
            <w:tcW w:w="1327" w:type="dxa"/>
            <w:noWrap w:val="0"/>
            <w:vAlign w:val="center"/>
          </w:tcPr>
          <w:p>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24"/>
                <w:szCs w:val="24"/>
              </w:rPr>
            </w:pPr>
          </w:p>
        </w:tc>
        <w:tc>
          <w:tcPr>
            <w:tcW w:w="1327" w:type="dxa"/>
            <w:noWrap w:val="0"/>
            <w:vAlign w:val="center"/>
          </w:tcPr>
          <w:p>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928" w:type="dxa"/>
            <w:noWrap w:val="0"/>
            <w:vAlign w:val="center"/>
          </w:tcPr>
          <w:p>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24"/>
                <w:szCs w:val="24"/>
              </w:rPr>
            </w:pPr>
          </w:p>
        </w:tc>
        <w:tc>
          <w:tcPr>
            <w:tcW w:w="947" w:type="dxa"/>
            <w:noWrap w:val="0"/>
            <w:vAlign w:val="center"/>
          </w:tcPr>
          <w:p>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24"/>
                <w:szCs w:val="24"/>
              </w:rPr>
            </w:pPr>
          </w:p>
        </w:tc>
        <w:tc>
          <w:tcPr>
            <w:tcW w:w="876" w:type="dxa"/>
            <w:noWrap w:val="0"/>
            <w:vAlign w:val="center"/>
          </w:tcPr>
          <w:p>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24"/>
                <w:szCs w:val="24"/>
              </w:rPr>
            </w:pPr>
          </w:p>
        </w:tc>
        <w:tc>
          <w:tcPr>
            <w:tcW w:w="1045" w:type="dxa"/>
            <w:noWrap w:val="0"/>
            <w:vAlign w:val="center"/>
          </w:tcPr>
          <w:p>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24"/>
                <w:szCs w:val="24"/>
              </w:rPr>
            </w:pPr>
          </w:p>
        </w:tc>
        <w:tc>
          <w:tcPr>
            <w:tcW w:w="1004" w:type="dxa"/>
            <w:noWrap w:val="0"/>
            <w:vAlign w:val="center"/>
          </w:tcPr>
          <w:p>
            <w:pPr>
              <w:keepNext w:val="0"/>
              <w:keepLines w:val="0"/>
              <w:pageBreakBefore w:val="0"/>
              <w:kinsoku/>
              <w:wordWrap/>
              <w:overflowPunct/>
              <w:topLinePunct w:val="0"/>
              <w:autoSpaceDE/>
              <w:autoSpaceDN/>
              <w:bidi w:val="0"/>
              <w:adjustRightInd/>
              <w:snapToGrid w:val="0"/>
              <w:spacing w:line="360" w:lineRule="auto"/>
              <w:ind w:firstLine="0" w:firstLineChars="0"/>
              <w:jc w:val="right"/>
              <w:textAlignment w:val="auto"/>
              <w:rPr>
                <w:rFonts w:hint="eastAsia" w:ascii="仿宋" w:hAnsi="仿宋" w:eastAsia="仿宋" w:cs="仿宋"/>
                <w:color w:val="auto"/>
                <w:sz w:val="24"/>
                <w:szCs w:val="24"/>
              </w:rPr>
            </w:pPr>
          </w:p>
        </w:tc>
        <w:tc>
          <w:tcPr>
            <w:tcW w:w="759" w:type="dxa"/>
            <w:noWrap w:val="0"/>
            <w:vAlign w:val="center"/>
          </w:tcPr>
          <w:p>
            <w:pPr>
              <w:keepNext w:val="0"/>
              <w:keepLines w:val="0"/>
              <w:pageBreakBefore w:val="0"/>
              <w:kinsoku/>
              <w:wordWrap/>
              <w:overflowPunct/>
              <w:topLinePunct w:val="0"/>
              <w:autoSpaceDE/>
              <w:autoSpaceDN/>
              <w:bidi w:val="0"/>
              <w:adjustRightInd/>
              <w:snapToGrid w:val="0"/>
              <w:spacing w:line="360" w:lineRule="auto"/>
              <w:ind w:firstLine="0" w:firstLineChars="0"/>
              <w:jc w:val="right"/>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2025" w:type="dxa"/>
            <w:gridSpan w:val="2"/>
            <w:noWrap w:val="0"/>
            <w:vAlign w:val="center"/>
          </w:tcPr>
          <w:p>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合同总价（元）</w:t>
            </w:r>
          </w:p>
        </w:tc>
        <w:tc>
          <w:tcPr>
            <w:tcW w:w="6886" w:type="dxa"/>
            <w:gridSpan w:val="7"/>
            <w:noWrap w:val="0"/>
            <w:vAlign w:val="center"/>
          </w:tcPr>
          <w:p>
            <w:pPr>
              <w:keepNext w:val="0"/>
              <w:keepLines w:val="0"/>
              <w:pageBreakBefore w:val="0"/>
              <w:kinsoku/>
              <w:wordWrap/>
              <w:overflowPunct/>
              <w:topLinePunct w:val="0"/>
              <w:autoSpaceDE/>
              <w:autoSpaceDN/>
              <w:bidi w:val="0"/>
              <w:adjustRightInd/>
              <w:snapToGrid w:val="0"/>
              <w:spacing w:line="360" w:lineRule="auto"/>
              <w:ind w:firstLine="0" w:firstLineChars="0"/>
              <w:jc w:val="right"/>
              <w:textAlignment w:val="auto"/>
              <w:rPr>
                <w:rFonts w:hint="eastAsia" w:ascii="仿宋" w:hAnsi="仿宋" w:eastAsia="仿宋" w:cs="仿宋"/>
                <w:color w:val="auto"/>
                <w:sz w:val="24"/>
                <w:szCs w:val="24"/>
              </w:rPr>
            </w:pPr>
          </w:p>
        </w:tc>
      </w:tr>
    </w:tbl>
    <w:p>
      <w:pPr>
        <w:snapToGrid w:val="0"/>
        <w:spacing w:line="360" w:lineRule="auto"/>
        <w:ind w:firstLine="480" w:firstLineChars="200"/>
        <w:rPr>
          <w:rFonts w:hint="eastAsia" w:ascii="宋体" w:hAnsi="宋体"/>
          <w:color w:val="auto"/>
          <w:szCs w:val="21"/>
        </w:rPr>
      </w:pPr>
      <w:r>
        <w:rPr>
          <w:rFonts w:hint="eastAsia" w:ascii="仿宋" w:hAnsi="仿宋" w:eastAsia="仿宋" w:cs="仿宋"/>
          <w:color w:val="auto"/>
          <w:sz w:val="24"/>
          <w:szCs w:val="24"/>
        </w:rPr>
        <w:t>注：1.以上协议价格包含商品到达甲方并能正常使用所需的一切费用项目。</w:t>
      </w:r>
    </w:p>
    <w:p>
      <w:pPr>
        <w:snapToGrid w:val="0"/>
        <w:spacing w:line="360" w:lineRule="auto"/>
        <w:ind w:firstLine="602" w:firstLineChars="200"/>
        <w:rPr>
          <w:rFonts w:hint="eastAsia" w:ascii="宋体" w:hAnsi="宋体"/>
          <w:b/>
          <w:bCs/>
          <w:color w:val="auto"/>
          <w:sz w:val="30"/>
          <w:szCs w:val="30"/>
        </w:rPr>
      </w:pPr>
      <w:r>
        <w:rPr>
          <w:rFonts w:hint="eastAsia" w:ascii="宋体" w:hAnsi="宋体"/>
          <w:b/>
          <w:bCs/>
          <w:color w:val="auto"/>
          <w:sz w:val="30"/>
          <w:szCs w:val="30"/>
          <w:lang w:val="en-US" w:eastAsia="zh-CN"/>
        </w:rPr>
        <w:t>二</w:t>
      </w:r>
      <w:r>
        <w:rPr>
          <w:rFonts w:hint="eastAsia" w:ascii="宋体" w:hAnsi="宋体"/>
          <w:b/>
          <w:bCs/>
          <w:color w:val="auto"/>
          <w:sz w:val="30"/>
          <w:szCs w:val="30"/>
        </w:rPr>
        <w:t>、转包与分包</w:t>
      </w:r>
    </w:p>
    <w:p>
      <w:pPr>
        <w:snapToGrid w:val="0"/>
        <w:spacing w:line="360" w:lineRule="auto"/>
        <w:ind w:firstLine="560" w:firstLineChars="200"/>
        <w:rPr>
          <w:rFonts w:hint="eastAsia" w:ascii="仿宋" w:hAnsi="仿宋" w:eastAsia="仿宋" w:cs="仿宋"/>
          <w:b/>
          <w:bCs/>
          <w:color w:val="auto"/>
          <w:sz w:val="28"/>
          <w:szCs w:val="28"/>
        </w:rPr>
      </w:pPr>
      <w:r>
        <w:rPr>
          <w:rFonts w:hint="eastAsia" w:ascii="仿宋" w:hAnsi="仿宋" w:eastAsia="仿宋" w:cs="仿宋"/>
          <w:color w:val="auto"/>
          <w:sz w:val="28"/>
          <w:szCs w:val="28"/>
        </w:rPr>
        <w:t>不允许转包和分包。如乙方将项目转包或分包，甲方有权解除合同，追究乙方的违约责任。</w:t>
      </w:r>
    </w:p>
    <w:p>
      <w:pPr>
        <w:pStyle w:val="11"/>
        <w:adjustRightInd w:val="0"/>
        <w:snapToGrid w:val="0"/>
        <w:spacing w:beforeLines="0" w:afterLines="0" w:line="360" w:lineRule="auto"/>
        <w:ind w:firstLine="641" w:firstLineChars="213"/>
        <w:rPr>
          <w:rFonts w:hAnsi="宋体" w:cs="宋体"/>
          <w:snapToGrid w:val="0"/>
          <w:color w:val="auto"/>
          <w:sz w:val="30"/>
          <w:szCs w:val="30"/>
        </w:rPr>
      </w:pPr>
      <w:r>
        <w:rPr>
          <w:rFonts w:hint="eastAsia" w:hAnsi="宋体"/>
          <w:b/>
          <w:bCs/>
          <w:color w:val="auto"/>
          <w:sz w:val="30"/>
          <w:szCs w:val="30"/>
          <w:lang w:val="en-US" w:eastAsia="zh-CN"/>
        </w:rPr>
        <w:t>三</w:t>
      </w:r>
      <w:r>
        <w:rPr>
          <w:rFonts w:hint="eastAsia" w:hAnsi="宋体"/>
          <w:b/>
          <w:bCs/>
          <w:color w:val="auto"/>
          <w:sz w:val="30"/>
          <w:szCs w:val="30"/>
        </w:rPr>
        <w:t>、</w:t>
      </w:r>
      <w:r>
        <w:rPr>
          <w:rFonts w:hint="eastAsia" w:hAnsi="宋体" w:cs="宋体"/>
          <w:b/>
          <w:snapToGrid w:val="0"/>
          <w:color w:val="auto"/>
          <w:sz w:val="30"/>
          <w:szCs w:val="30"/>
        </w:rPr>
        <w:t>质保期和履约保证金</w:t>
      </w:r>
    </w:p>
    <w:p>
      <w:pPr>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snapToGrid w:val="0"/>
          <w:color w:val="auto"/>
          <w:sz w:val="28"/>
          <w:szCs w:val="28"/>
        </w:rPr>
        <w:t>1.质保期：</w:t>
      </w:r>
      <w:r>
        <w:rPr>
          <w:rFonts w:hint="eastAsia" w:ascii="仿宋" w:hAnsi="仿宋" w:eastAsia="仿宋" w:cs="仿宋"/>
          <w:snapToGrid w:val="0"/>
          <w:color w:val="auto"/>
          <w:sz w:val="28"/>
          <w:szCs w:val="28"/>
          <w:u w:val="single"/>
        </w:rPr>
        <w:t xml:space="preserve">   </w:t>
      </w:r>
      <w:r>
        <w:rPr>
          <w:rFonts w:hint="eastAsia" w:ascii="仿宋" w:hAnsi="仿宋" w:eastAsia="仿宋" w:cs="仿宋"/>
          <w:snapToGrid w:val="0"/>
          <w:color w:val="auto"/>
          <w:sz w:val="28"/>
          <w:szCs w:val="28"/>
        </w:rPr>
        <w:t>年或</w:t>
      </w:r>
      <w:r>
        <w:rPr>
          <w:rFonts w:hint="eastAsia" w:ascii="仿宋" w:hAnsi="仿宋" w:eastAsia="仿宋" w:cs="仿宋"/>
          <w:snapToGrid w:val="0"/>
          <w:color w:val="auto"/>
          <w:sz w:val="28"/>
          <w:szCs w:val="28"/>
          <w:u w:val="single"/>
        </w:rPr>
        <w:t xml:space="preserve">   </w:t>
      </w:r>
      <w:r>
        <w:rPr>
          <w:rFonts w:hint="eastAsia" w:ascii="仿宋" w:hAnsi="仿宋" w:eastAsia="仿宋" w:cs="仿宋"/>
          <w:snapToGrid w:val="0"/>
          <w:color w:val="auto"/>
          <w:sz w:val="28"/>
          <w:szCs w:val="28"/>
        </w:rPr>
        <w:t>公里；或终身质保。</w:t>
      </w:r>
      <w:r>
        <w:rPr>
          <w:rFonts w:hint="eastAsia" w:ascii="仿宋" w:hAnsi="仿宋" w:eastAsia="仿宋" w:cs="仿宋"/>
          <w:color w:val="auto"/>
          <w:sz w:val="28"/>
          <w:szCs w:val="28"/>
        </w:rPr>
        <w:t xml:space="preserve">自到货验收合格或最终验收合格之日起至质保期届满且经甲方确认无任何质量问题时止。 </w:t>
      </w:r>
    </w:p>
    <w:p>
      <w:pPr>
        <w:pStyle w:val="11"/>
        <w:adjustRightInd w:val="0"/>
        <w:snapToGrid w:val="0"/>
        <w:spacing w:beforeLines="0" w:afterLines="0"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bCs/>
          <w:color w:val="auto"/>
          <w:sz w:val="28"/>
          <w:szCs w:val="28"/>
        </w:rPr>
        <w:t>2</w:t>
      </w:r>
      <w:r>
        <w:rPr>
          <w:rFonts w:hint="eastAsia" w:ascii="仿宋" w:hAnsi="仿宋" w:eastAsia="仿宋" w:cs="仿宋"/>
          <w:color w:val="auto"/>
          <w:sz w:val="28"/>
          <w:szCs w:val="28"/>
        </w:rPr>
        <w:t>.履约保证金（如有）：</w:t>
      </w:r>
      <w:r>
        <w:rPr>
          <w:rFonts w:hint="eastAsia" w:ascii="仿宋" w:hAnsi="仿宋" w:eastAsia="仿宋" w:cs="仿宋"/>
          <w:snapToGrid w:val="0"/>
          <w:color w:val="auto"/>
          <w:sz w:val="28"/>
          <w:szCs w:val="28"/>
        </w:rPr>
        <w:t>履约保证金交至甲方处，</w:t>
      </w:r>
      <w:r>
        <w:rPr>
          <w:rFonts w:hint="eastAsia" w:ascii="仿宋" w:hAnsi="仿宋" w:eastAsia="仿宋" w:cs="仿宋"/>
          <w:color w:val="auto"/>
          <w:sz w:val="28"/>
          <w:szCs w:val="28"/>
        </w:rPr>
        <w:t>本合同签订后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个工作日内，乙方应向甲方支付合同总价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%（不得高于1%）的履约保证金。在合同约定交货验收合格后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个工作日内无息退还。</w:t>
      </w:r>
    </w:p>
    <w:p>
      <w:pPr>
        <w:snapToGrid w:val="0"/>
        <w:spacing w:line="360" w:lineRule="auto"/>
        <w:ind w:firstLine="602" w:firstLineChars="200"/>
        <w:rPr>
          <w:rFonts w:hint="eastAsia" w:ascii="宋体" w:hAnsi="宋体"/>
          <w:b/>
          <w:color w:val="auto"/>
          <w:sz w:val="30"/>
          <w:szCs w:val="30"/>
        </w:rPr>
      </w:pPr>
      <w:r>
        <w:rPr>
          <w:rFonts w:hint="eastAsia" w:ascii="宋体" w:hAnsi="宋体"/>
          <w:b/>
          <w:color w:val="auto"/>
          <w:sz w:val="30"/>
          <w:szCs w:val="30"/>
          <w:lang w:val="en-US" w:eastAsia="zh-CN"/>
        </w:rPr>
        <w:t>四</w:t>
      </w:r>
      <w:r>
        <w:rPr>
          <w:rFonts w:hint="eastAsia" w:ascii="宋体" w:hAnsi="宋体"/>
          <w:b/>
          <w:color w:val="auto"/>
          <w:sz w:val="30"/>
          <w:szCs w:val="30"/>
        </w:rPr>
        <w:t>、</w:t>
      </w:r>
      <w:r>
        <w:rPr>
          <w:rFonts w:hint="eastAsia" w:ascii="宋体" w:hAnsi="宋体" w:cs="宋体"/>
          <w:b/>
          <w:snapToGrid w:val="0"/>
          <w:color w:val="auto"/>
          <w:sz w:val="30"/>
          <w:szCs w:val="30"/>
        </w:rPr>
        <w:t>货款支付</w:t>
      </w:r>
    </w:p>
    <w:p>
      <w:pPr>
        <w:pStyle w:val="11"/>
        <w:adjustRightInd w:val="0"/>
        <w:snapToGrid w:val="0"/>
        <w:spacing w:beforeLines="0" w:afterLines="0" w:line="360" w:lineRule="auto"/>
        <w:ind w:firstLine="596" w:firstLineChars="213"/>
        <w:rPr>
          <w:rFonts w:hint="eastAsia" w:ascii="仿宋" w:hAnsi="仿宋" w:eastAsia="仿宋" w:cs="仿宋"/>
          <w:color w:val="auto"/>
          <w:sz w:val="28"/>
          <w:szCs w:val="28"/>
          <w:lang w:val="en-US"/>
        </w:rPr>
      </w:pPr>
      <w:r>
        <w:rPr>
          <w:rFonts w:hint="eastAsia" w:ascii="仿宋" w:hAnsi="仿宋" w:eastAsia="仿宋" w:cs="仿宋"/>
          <w:bCs/>
          <w:snapToGrid w:val="0"/>
          <w:color w:val="auto"/>
          <w:sz w:val="28"/>
          <w:szCs w:val="28"/>
        </w:rPr>
        <w:t>1.付款方式：</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pStyle w:val="11"/>
        <w:adjustRightInd w:val="0"/>
        <w:snapToGrid w:val="0"/>
        <w:spacing w:beforeLines="0" w:afterLines="0" w:line="360" w:lineRule="auto"/>
        <w:ind w:firstLine="596" w:firstLineChars="213"/>
        <w:rPr>
          <w:rFonts w:hint="eastAsia" w:ascii="仿宋" w:hAnsi="仿宋" w:eastAsia="仿宋" w:cs="仿宋"/>
          <w:color w:val="auto"/>
          <w:sz w:val="28"/>
          <w:szCs w:val="28"/>
        </w:rPr>
      </w:pPr>
      <w:r>
        <w:rPr>
          <w:rFonts w:hint="eastAsia" w:ascii="仿宋" w:hAnsi="仿宋" w:eastAsia="仿宋" w:cs="仿宋"/>
          <w:color w:val="auto"/>
          <w:sz w:val="28"/>
          <w:szCs w:val="28"/>
        </w:rPr>
        <w:t>2.甲方付款前，乙方应向甲方开具等额有效的增值税发票，甲方未收到发票的，有权不予支付相应款项直至乙方提供合格发票，并不承担延迟付款责任。</w:t>
      </w:r>
    </w:p>
    <w:p>
      <w:pPr>
        <w:pStyle w:val="11"/>
        <w:adjustRightInd w:val="0"/>
        <w:snapToGrid w:val="0"/>
        <w:spacing w:beforeLines="0" w:afterLines="0" w:line="360" w:lineRule="auto"/>
        <w:ind w:firstLine="596" w:firstLineChars="213"/>
        <w:rPr>
          <w:rFonts w:hint="eastAsia" w:ascii="仿宋" w:hAnsi="仿宋" w:eastAsia="仿宋" w:cs="仿宋"/>
          <w:color w:val="auto"/>
          <w:sz w:val="28"/>
          <w:szCs w:val="28"/>
        </w:rPr>
      </w:pPr>
      <w:r>
        <w:rPr>
          <w:rFonts w:hint="eastAsia" w:ascii="仿宋" w:hAnsi="仿宋" w:eastAsia="仿宋" w:cs="仿宋"/>
          <w:color w:val="auto"/>
          <w:sz w:val="28"/>
          <w:szCs w:val="28"/>
        </w:rPr>
        <w:t>3.甲方资金支付方式根据采购计划核定的方式执行。</w:t>
      </w:r>
    </w:p>
    <w:p>
      <w:pPr>
        <w:pStyle w:val="11"/>
        <w:adjustRightInd w:val="0"/>
        <w:snapToGrid w:val="0"/>
        <w:spacing w:beforeLines="0" w:afterLines="0" w:line="360" w:lineRule="auto"/>
        <w:ind w:firstLine="596" w:firstLineChars="213"/>
        <w:rPr>
          <w:rFonts w:hint="eastAsia" w:ascii="仿宋" w:hAnsi="仿宋" w:eastAsia="仿宋" w:cs="仿宋"/>
          <w:color w:val="auto"/>
          <w:sz w:val="28"/>
          <w:szCs w:val="28"/>
        </w:rPr>
      </w:pPr>
      <w:r>
        <w:rPr>
          <w:rFonts w:hint="eastAsia" w:ascii="仿宋" w:hAnsi="仿宋" w:eastAsia="仿宋" w:cs="仿宋"/>
          <w:color w:val="auto"/>
          <w:sz w:val="28"/>
          <w:szCs w:val="28"/>
        </w:rPr>
        <w:t>4.其他：</w:t>
      </w:r>
      <w:r>
        <w:rPr>
          <w:rFonts w:hint="eastAsia" w:ascii="仿宋" w:hAnsi="仿宋" w:eastAsia="仿宋" w:cs="仿宋"/>
          <w:color w:val="auto"/>
          <w:sz w:val="28"/>
          <w:szCs w:val="28"/>
          <w:u w:val="single"/>
        </w:rPr>
        <w:t xml:space="preserve">                                           。</w:t>
      </w:r>
    </w:p>
    <w:p>
      <w:pPr>
        <w:snapToGrid w:val="0"/>
        <w:spacing w:line="360" w:lineRule="auto"/>
        <w:ind w:firstLine="602" w:firstLineChars="200"/>
        <w:rPr>
          <w:rFonts w:hint="eastAsia" w:ascii="宋体" w:hAnsi="宋体"/>
          <w:b/>
          <w:bCs/>
          <w:color w:val="auto"/>
          <w:sz w:val="30"/>
          <w:szCs w:val="30"/>
        </w:rPr>
      </w:pPr>
      <w:r>
        <w:rPr>
          <w:rFonts w:hint="eastAsia" w:ascii="宋体" w:hAnsi="宋体"/>
          <w:b/>
          <w:bCs/>
          <w:color w:val="auto"/>
          <w:sz w:val="30"/>
          <w:szCs w:val="30"/>
          <w:lang w:val="en-US" w:eastAsia="zh-CN"/>
        </w:rPr>
        <w:t>五</w:t>
      </w:r>
      <w:r>
        <w:rPr>
          <w:rFonts w:hint="eastAsia" w:ascii="宋体" w:hAnsi="宋体"/>
          <w:b/>
          <w:bCs/>
          <w:color w:val="auto"/>
          <w:sz w:val="30"/>
          <w:szCs w:val="30"/>
        </w:rPr>
        <w:t>、</w:t>
      </w:r>
      <w:r>
        <w:rPr>
          <w:rFonts w:hint="eastAsia" w:ascii="宋体" w:hAnsi="宋体"/>
          <w:b/>
          <w:snapToGrid w:val="0"/>
          <w:color w:val="auto"/>
          <w:sz w:val="30"/>
          <w:szCs w:val="30"/>
        </w:rPr>
        <w:t>质量保证及售后服务</w:t>
      </w:r>
    </w:p>
    <w:p>
      <w:pPr>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1.乙方遵守《中华人民共和国消费者权益保护法》和“三包”等相关法律法规。乙方质量保证、售后服务在合同中未予以明确的内容，按国家标准执行。</w:t>
      </w:r>
    </w:p>
    <w:p>
      <w:pPr>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2.质保期届满后，乙方对本合同项下货物提供终身维修服务，服务内容应与质保期内的要求相一致。</w:t>
      </w:r>
    </w:p>
    <w:p>
      <w:pPr>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3.乙方按项目征集文件、响应文件售后服务要求执行。</w:t>
      </w:r>
    </w:p>
    <w:p>
      <w:pPr>
        <w:snapToGrid w:val="0"/>
        <w:spacing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4.其他：</w:t>
      </w:r>
      <w:r>
        <w:rPr>
          <w:rFonts w:hint="eastAsia" w:ascii="仿宋" w:hAnsi="仿宋" w:eastAsia="仿宋" w:cs="仿宋"/>
          <w:color w:val="auto"/>
          <w:sz w:val="28"/>
          <w:szCs w:val="28"/>
          <w:u w:val="single"/>
        </w:rPr>
        <w:t xml:space="preserve">                                           。</w:t>
      </w:r>
    </w:p>
    <w:p>
      <w:pPr>
        <w:snapToGrid w:val="0"/>
        <w:spacing w:line="360" w:lineRule="auto"/>
        <w:ind w:firstLine="602" w:firstLineChars="200"/>
        <w:rPr>
          <w:rFonts w:hint="eastAsia" w:ascii="宋体" w:hAnsi="宋体"/>
          <w:b/>
          <w:color w:val="auto"/>
          <w:sz w:val="30"/>
          <w:szCs w:val="30"/>
        </w:rPr>
      </w:pPr>
      <w:r>
        <w:rPr>
          <w:rFonts w:hint="eastAsia" w:ascii="宋体" w:hAnsi="宋体"/>
          <w:b/>
          <w:color w:val="auto"/>
          <w:sz w:val="30"/>
          <w:szCs w:val="30"/>
          <w:lang w:val="en-US" w:eastAsia="zh-CN"/>
        </w:rPr>
        <w:t>六</w:t>
      </w:r>
      <w:r>
        <w:rPr>
          <w:rFonts w:hint="eastAsia" w:ascii="宋体" w:hAnsi="宋体"/>
          <w:b/>
          <w:color w:val="auto"/>
          <w:sz w:val="30"/>
          <w:szCs w:val="30"/>
        </w:rPr>
        <w:t>、交货期及交货地点</w:t>
      </w:r>
    </w:p>
    <w:p>
      <w:pPr>
        <w:pStyle w:val="11"/>
        <w:adjustRightInd w:val="0"/>
        <w:snapToGrid w:val="0"/>
        <w:spacing w:beforeLines="0" w:afterLines="0" w:line="360" w:lineRule="auto"/>
        <w:ind w:firstLine="596" w:firstLineChars="213"/>
        <w:rPr>
          <w:rFonts w:hint="eastAsia" w:ascii="仿宋" w:hAnsi="仿宋" w:eastAsia="仿宋" w:cs="仿宋"/>
          <w:bCs/>
          <w:snapToGrid w:val="0"/>
          <w:color w:val="auto"/>
          <w:sz w:val="28"/>
          <w:szCs w:val="28"/>
        </w:rPr>
      </w:pPr>
      <w:r>
        <w:rPr>
          <w:rFonts w:hint="eastAsia" w:ascii="仿宋" w:hAnsi="仿宋" w:eastAsia="仿宋" w:cs="仿宋"/>
          <w:bCs/>
          <w:snapToGrid w:val="0"/>
          <w:color w:val="auto"/>
          <w:sz w:val="28"/>
          <w:szCs w:val="28"/>
        </w:rPr>
        <w:t>1.交货期：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个自然日。</w:t>
      </w:r>
    </w:p>
    <w:p>
      <w:pPr>
        <w:pStyle w:val="11"/>
        <w:adjustRightInd w:val="0"/>
        <w:snapToGrid w:val="0"/>
        <w:spacing w:beforeLines="0" w:afterLines="0" w:line="360" w:lineRule="auto"/>
        <w:ind w:firstLine="596" w:firstLineChars="213"/>
        <w:rPr>
          <w:rFonts w:hint="eastAsia" w:ascii="仿宋" w:hAnsi="仿宋" w:eastAsia="仿宋" w:cs="仿宋"/>
          <w:b/>
          <w:snapToGrid w:val="0"/>
          <w:color w:val="auto"/>
          <w:sz w:val="28"/>
          <w:szCs w:val="28"/>
        </w:rPr>
      </w:pPr>
      <w:r>
        <w:rPr>
          <w:rFonts w:hint="eastAsia" w:ascii="仿宋" w:hAnsi="仿宋" w:eastAsia="仿宋" w:cs="仿宋"/>
          <w:bCs/>
          <w:snapToGrid w:val="0"/>
          <w:color w:val="auto"/>
          <w:sz w:val="28"/>
          <w:szCs w:val="28"/>
        </w:rPr>
        <w:t>2.交货地点：</w:t>
      </w:r>
      <w:r>
        <w:rPr>
          <w:rFonts w:hint="eastAsia" w:ascii="仿宋" w:hAnsi="仿宋" w:eastAsia="仿宋" w:cs="仿宋"/>
          <w:color w:val="auto"/>
          <w:kern w:val="0"/>
          <w:sz w:val="28"/>
          <w:szCs w:val="28"/>
          <w:u w:val="single"/>
          <w:lang w:bidi="ar"/>
        </w:rPr>
        <w:t>送至甲方指定地点。</w:t>
      </w:r>
    </w:p>
    <w:p>
      <w:pPr>
        <w:snapToGrid w:val="0"/>
        <w:spacing w:line="360" w:lineRule="auto"/>
        <w:ind w:firstLine="560" w:firstLineChars="200"/>
        <w:rPr>
          <w:rFonts w:hint="eastAsia" w:ascii="仿宋" w:hAnsi="仿宋" w:eastAsia="仿宋" w:cs="仿宋"/>
          <w:color w:val="auto"/>
          <w:kern w:val="0"/>
          <w:sz w:val="28"/>
          <w:szCs w:val="28"/>
          <w:lang w:bidi="ar"/>
        </w:rPr>
      </w:pPr>
      <w:r>
        <w:rPr>
          <w:rFonts w:hint="eastAsia" w:ascii="仿宋" w:hAnsi="仿宋" w:eastAsia="仿宋" w:cs="仿宋"/>
          <w:color w:val="auto"/>
          <w:sz w:val="28"/>
          <w:szCs w:val="28"/>
        </w:rPr>
        <w:t>3.</w:t>
      </w:r>
      <w:r>
        <w:rPr>
          <w:rFonts w:hint="eastAsia" w:ascii="仿宋" w:hAnsi="仿宋" w:eastAsia="仿宋" w:cs="仿宋"/>
          <w:color w:val="auto"/>
          <w:kern w:val="0"/>
          <w:sz w:val="28"/>
          <w:szCs w:val="28"/>
          <w:lang w:bidi="ar"/>
        </w:rPr>
        <w:t>交货方式：</w:t>
      </w:r>
      <w:r>
        <w:rPr>
          <w:rFonts w:hint="eastAsia" w:ascii="仿宋" w:hAnsi="仿宋" w:eastAsia="仿宋" w:cs="仿宋"/>
          <w:color w:val="auto"/>
          <w:sz w:val="28"/>
          <w:szCs w:val="28"/>
          <w:u w:val="single"/>
        </w:rPr>
        <w:t xml:space="preserve">                                      。</w:t>
      </w:r>
    </w:p>
    <w:p>
      <w:pPr>
        <w:snapToGrid w:val="0"/>
        <w:spacing w:line="360" w:lineRule="auto"/>
        <w:ind w:firstLine="560" w:firstLineChars="200"/>
        <w:rPr>
          <w:rFonts w:hint="eastAsia" w:ascii="仿宋" w:hAnsi="仿宋" w:eastAsia="仿宋" w:cs="仿宋"/>
          <w:color w:val="auto"/>
          <w:kern w:val="0"/>
          <w:sz w:val="28"/>
          <w:szCs w:val="28"/>
          <w:lang w:bidi="ar"/>
        </w:rPr>
      </w:pPr>
      <w:r>
        <w:rPr>
          <w:rFonts w:hint="eastAsia" w:ascii="仿宋" w:hAnsi="仿宋" w:eastAsia="仿宋" w:cs="仿宋"/>
          <w:color w:val="auto"/>
          <w:kern w:val="0"/>
          <w:sz w:val="28"/>
          <w:szCs w:val="28"/>
          <w:lang w:bidi="ar"/>
        </w:rPr>
        <w:t>4.甲方收货联系人：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；联系方式：</w:t>
      </w:r>
      <w:r>
        <w:rPr>
          <w:rFonts w:hint="eastAsia" w:ascii="仿宋" w:hAnsi="仿宋" w:eastAsia="仿宋" w:cs="仿宋"/>
          <w:color w:val="auto"/>
          <w:sz w:val="28"/>
          <w:szCs w:val="28"/>
          <w:u w:val="single"/>
        </w:rPr>
        <w:t xml:space="preserve">            。</w:t>
      </w:r>
    </w:p>
    <w:p>
      <w:pPr>
        <w:snapToGrid w:val="0"/>
        <w:spacing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kern w:val="0"/>
          <w:sz w:val="28"/>
          <w:szCs w:val="28"/>
          <w:lang w:val="en-US" w:eastAsia="zh-CN" w:bidi="ar"/>
        </w:rPr>
        <w:t>5</w:t>
      </w:r>
      <w:r>
        <w:rPr>
          <w:rFonts w:hint="eastAsia" w:ascii="仿宋" w:hAnsi="仿宋" w:eastAsia="仿宋" w:cs="仿宋"/>
          <w:color w:val="auto"/>
          <w:kern w:val="0"/>
          <w:sz w:val="28"/>
          <w:szCs w:val="28"/>
          <w:lang w:bidi="ar"/>
        </w:rPr>
        <w:t>.</w:t>
      </w:r>
      <w:r>
        <w:rPr>
          <w:rFonts w:hint="eastAsia" w:ascii="仿宋" w:hAnsi="仿宋" w:eastAsia="仿宋" w:cs="仿宋"/>
          <w:color w:val="auto"/>
          <w:sz w:val="28"/>
          <w:szCs w:val="28"/>
        </w:rPr>
        <w:t>其他：</w:t>
      </w:r>
      <w:r>
        <w:rPr>
          <w:rFonts w:hint="eastAsia" w:ascii="仿宋" w:hAnsi="仿宋" w:eastAsia="仿宋" w:cs="仿宋"/>
          <w:color w:val="auto"/>
          <w:sz w:val="28"/>
          <w:szCs w:val="28"/>
          <w:u w:val="single"/>
        </w:rPr>
        <w:t xml:space="preserve">                                           。</w:t>
      </w:r>
    </w:p>
    <w:p>
      <w:pPr>
        <w:snapToGrid w:val="0"/>
        <w:spacing w:line="360" w:lineRule="auto"/>
        <w:ind w:firstLine="602" w:firstLineChars="200"/>
        <w:rPr>
          <w:rFonts w:hint="eastAsia" w:ascii="宋体" w:hAnsi="宋体"/>
          <w:b/>
          <w:bCs/>
          <w:color w:val="auto"/>
          <w:sz w:val="30"/>
          <w:szCs w:val="30"/>
        </w:rPr>
      </w:pPr>
      <w:r>
        <w:rPr>
          <w:rFonts w:hint="eastAsia" w:ascii="宋体" w:hAnsi="宋体"/>
          <w:b/>
          <w:bCs/>
          <w:color w:val="auto"/>
          <w:sz w:val="30"/>
          <w:szCs w:val="30"/>
          <w:lang w:val="en-US" w:eastAsia="zh-CN"/>
        </w:rPr>
        <w:t>七</w:t>
      </w:r>
      <w:r>
        <w:rPr>
          <w:rFonts w:hint="eastAsia" w:ascii="宋体" w:hAnsi="宋体"/>
          <w:b/>
          <w:bCs/>
          <w:color w:val="auto"/>
          <w:sz w:val="30"/>
          <w:szCs w:val="30"/>
        </w:rPr>
        <w:t>、调试和验收</w:t>
      </w:r>
    </w:p>
    <w:p>
      <w:pPr>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1.调试（如有）：乙方负责在甲方指定的时间内，按照甲方的要求完成货物的调试。乙方应严格遵守安全法律法规，采取安全保障措施，保证人员安全。因乙方原因造成的人员伤亡和财产损失，均由乙方承担。</w:t>
      </w:r>
    </w:p>
    <w:p>
      <w:pPr>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2.验收标准：详见项目约定的验收标准或质量要求。</w:t>
      </w:r>
    </w:p>
    <w:p>
      <w:pPr>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3.到货验收：甲方应在收到货物后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个工作日内进行到货验收。甲方仅对产品的数量和外观进行检验，并不因此减轻或免除乙方所应承担的质量保证责任。 </w:t>
      </w:r>
    </w:p>
    <w:p>
      <w:pPr>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4.最终验收（如有）：安装调测完毕后，乙方应配合甲方进行最终验收，验收结果以甲方签署的验收证明为准。 </w:t>
      </w:r>
    </w:p>
    <w:p>
      <w:pPr>
        <w:snapToGrid w:val="0"/>
        <w:spacing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5.其他：</w:t>
      </w:r>
      <w:r>
        <w:rPr>
          <w:rFonts w:hint="eastAsia" w:ascii="仿宋" w:hAnsi="仿宋" w:eastAsia="仿宋" w:cs="仿宋"/>
          <w:color w:val="auto"/>
          <w:sz w:val="28"/>
          <w:szCs w:val="28"/>
          <w:u w:val="single"/>
        </w:rPr>
        <w:t xml:space="preserve">                                           。</w:t>
      </w:r>
    </w:p>
    <w:p>
      <w:pPr>
        <w:snapToGrid w:val="0"/>
        <w:spacing w:line="360" w:lineRule="auto"/>
        <w:ind w:firstLine="602" w:firstLineChars="200"/>
        <w:rPr>
          <w:rFonts w:hint="eastAsia" w:ascii="宋体" w:hAnsi="宋体"/>
          <w:b/>
          <w:bCs/>
          <w:color w:val="auto"/>
          <w:sz w:val="30"/>
          <w:szCs w:val="30"/>
        </w:rPr>
      </w:pPr>
      <w:r>
        <w:rPr>
          <w:rFonts w:hint="eastAsia" w:ascii="宋体" w:hAnsi="宋体"/>
          <w:b/>
          <w:bCs/>
          <w:color w:val="auto"/>
          <w:sz w:val="30"/>
          <w:szCs w:val="30"/>
          <w:lang w:val="en-US" w:eastAsia="zh-CN"/>
        </w:rPr>
        <w:t>八</w:t>
      </w:r>
      <w:r>
        <w:rPr>
          <w:rFonts w:hint="eastAsia" w:ascii="宋体" w:hAnsi="宋体"/>
          <w:b/>
          <w:bCs/>
          <w:color w:val="auto"/>
          <w:sz w:val="30"/>
          <w:szCs w:val="30"/>
        </w:rPr>
        <w:t>、知识产权及其他民事权利的保护</w:t>
      </w:r>
    </w:p>
    <w:p>
      <w:pPr>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1.乙方保证向甲方交付的货物、软件、技术资料等，不会侵犯任何第三人的专利权、著作权、商标权、商业秘密、其他知识产权或者其他民事权利。如乙方违反上述规定，则乙方应负责消除甲方拥有并使用乙方交付的货物、软件、技术资 料等所存在的全部法律障碍，并赔偿甲方的损失。 </w:t>
      </w:r>
    </w:p>
    <w:p>
      <w:pPr>
        <w:snapToGrid w:val="0"/>
        <w:spacing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2.其他：</w:t>
      </w:r>
      <w:r>
        <w:rPr>
          <w:rFonts w:hint="eastAsia" w:ascii="仿宋" w:hAnsi="仿宋" w:eastAsia="仿宋" w:cs="仿宋"/>
          <w:color w:val="auto"/>
          <w:sz w:val="28"/>
          <w:szCs w:val="28"/>
          <w:u w:val="single"/>
        </w:rPr>
        <w:t xml:space="preserve">                                           。</w:t>
      </w:r>
    </w:p>
    <w:p>
      <w:pPr>
        <w:snapToGrid w:val="0"/>
        <w:spacing w:line="360" w:lineRule="auto"/>
        <w:ind w:firstLine="602" w:firstLineChars="200"/>
        <w:rPr>
          <w:rFonts w:hint="eastAsia" w:ascii="宋体" w:hAnsi="宋体"/>
          <w:color w:val="auto"/>
          <w:sz w:val="30"/>
          <w:szCs w:val="30"/>
        </w:rPr>
      </w:pPr>
      <w:r>
        <w:rPr>
          <w:rFonts w:hint="eastAsia" w:ascii="宋体" w:hAnsi="宋体"/>
          <w:b/>
          <w:bCs/>
          <w:color w:val="auto"/>
          <w:sz w:val="30"/>
          <w:szCs w:val="30"/>
          <w:lang w:val="en-US" w:eastAsia="zh-CN"/>
        </w:rPr>
        <w:t>九</w:t>
      </w:r>
      <w:r>
        <w:rPr>
          <w:rFonts w:hint="eastAsia" w:ascii="宋体" w:hAnsi="宋体"/>
          <w:b/>
          <w:bCs/>
          <w:color w:val="auto"/>
          <w:sz w:val="30"/>
          <w:szCs w:val="30"/>
        </w:rPr>
        <w:t xml:space="preserve">、违约责任 </w:t>
      </w:r>
      <w:r>
        <w:rPr>
          <w:rFonts w:hint="eastAsia" w:ascii="宋体" w:hAnsi="宋体"/>
          <w:color w:val="auto"/>
          <w:sz w:val="30"/>
          <w:szCs w:val="30"/>
        </w:rPr>
        <w:t xml:space="preserve"> </w:t>
      </w:r>
    </w:p>
    <w:p>
      <w:pPr>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1.甲方逾期支付（申请支付）货款的，自逾期之日起，向乙方每日偿付合同总价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‰的违约金；甲方无正当理由拒付货款的，应向乙方偿付合同总价 %的违约金。 </w:t>
      </w:r>
    </w:p>
    <w:p>
      <w:pPr>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2.乙方逾期供货的，自逾期之日起，向甲方每日偿付合同总价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‰的违约金；乙方逾期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日不能交货的，应向甲方支付合同总价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的违约金，并且甲方有权解除本合同，不再退还履约保证金（如有）。乙方未在约定时间内完成安装调试（如有）的，参照前款约定承担违约责任。</w:t>
      </w:r>
    </w:p>
    <w:p>
      <w:pPr>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3.其他：</w:t>
      </w:r>
      <w:r>
        <w:rPr>
          <w:rFonts w:hint="eastAsia" w:ascii="仿宋" w:hAnsi="仿宋" w:eastAsia="仿宋" w:cs="仿宋"/>
          <w:color w:val="auto"/>
          <w:sz w:val="28"/>
          <w:szCs w:val="28"/>
          <w:u w:val="single"/>
        </w:rPr>
        <w:t xml:space="preserve">                                      。</w:t>
      </w:r>
    </w:p>
    <w:p>
      <w:pPr>
        <w:pStyle w:val="11"/>
        <w:adjustRightInd w:val="0"/>
        <w:snapToGrid w:val="0"/>
        <w:spacing w:beforeLines="0" w:afterLines="0" w:line="360" w:lineRule="auto"/>
        <w:ind w:firstLine="641" w:firstLineChars="213"/>
        <w:rPr>
          <w:rFonts w:hAnsi="宋体" w:cs="宋体"/>
          <w:b/>
          <w:snapToGrid w:val="0"/>
          <w:color w:val="auto"/>
          <w:sz w:val="30"/>
          <w:szCs w:val="30"/>
        </w:rPr>
      </w:pPr>
      <w:r>
        <w:rPr>
          <w:rFonts w:hint="eastAsia" w:hAnsi="宋体" w:cs="宋体"/>
          <w:b/>
          <w:snapToGrid w:val="0"/>
          <w:color w:val="auto"/>
          <w:sz w:val="30"/>
          <w:szCs w:val="30"/>
        </w:rPr>
        <w:t>十、不可抗力事件处理</w:t>
      </w:r>
    </w:p>
    <w:p>
      <w:pPr>
        <w:pStyle w:val="11"/>
        <w:adjustRightInd w:val="0"/>
        <w:snapToGrid w:val="0"/>
        <w:spacing w:beforeLines="0" w:afterLines="0" w:line="360" w:lineRule="auto"/>
        <w:ind w:firstLine="596" w:firstLineChars="213"/>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1.在合同有效期内，任何一方因不可抗力事件导致不能履行合同，则合同履行期可延长，其延长期与不可抗力影响期相同。</w:t>
      </w:r>
    </w:p>
    <w:p>
      <w:pPr>
        <w:pStyle w:val="11"/>
        <w:adjustRightInd w:val="0"/>
        <w:snapToGrid w:val="0"/>
        <w:spacing w:beforeLines="0" w:afterLines="0" w:line="360" w:lineRule="auto"/>
        <w:ind w:firstLine="596" w:firstLineChars="213"/>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2.不可抗力事件发生后，应立即通知对方，并寄送有关权威机构出具的证明。</w:t>
      </w:r>
    </w:p>
    <w:p>
      <w:pPr>
        <w:pStyle w:val="11"/>
        <w:adjustRightInd w:val="0"/>
        <w:snapToGrid w:val="0"/>
        <w:spacing w:beforeLines="0" w:afterLines="0" w:line="360" w:lineRule="auto"/>
        <w:ind w:firstLine="596" w:firstLineChars="213"/>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3.不可抗力事件延续120天以上，双方应通过友好协商，确定是否继续履行合同。</w:t>
      </w:r>
    </w:p>
    <w:p>
      <w:pPr>
        <w:snapToGrid w:val="0"/>
        <w:spacing w:line="360" w:lineRule="auto"/>
        <w:ind w:firstLine="602" w:firstLineChars="200"/>
        <w:rPr>
          <w:rFonts w:hint="eastAsia" w:ascii="宋体" w:hAnsi="宋体"/>
          <w:b/>
          <w:bCs/>
          <w:color w:val="auto"/>
          <w:sz w:val="30"/>
          <w:szCs w:val="30"/>
        </w:rPr>
      </w:pPr>
      <w:r>
        <w:rPr>
          <w:rFonts w:hint="eastAsia" w:ascii="宋体" w:hAnsi="宋体"/>
          <w:b/>
          <w:bCs/>
          <w:color w:val="auto"/>
          <w:sz w:val="30"/>
          <w:szCs w:val="30"/>
        </w:rPr>
        <w:t>十</w:t>
      </w:r>
      <w:r>
        <w:rPr>
          <w:rFonts w:hint="eastAsia" w:ascii="宋体" w:hAnsi="宋体"/>
          <w:b/>
          <w:bCs/>
          <w:color w:val="auto"/>
          <w:sz w:val="30"/>
          <w:szCs w:val="30"/>
          <w:lang w:val="en-US" w:eastAsia="zh-CN"/>
        </w:rPr>
        <w:t>一</w:t>
      </w:r>
      <w:r>
        <w:rPr>
          <w:rFonts w:hint="eastAsia" w:ascii="宋体" w:hAnsi="宋体"/>
          <w:b/>
          <w:bCs/>
          <w:color w:val="auto"/>
          <w:sz w:val="30"/>
          <w:szCs w:val="30"/>
        </w:rPr>
        <w:t xml:space="preserve">、法律适用与争议解决 </w:t>
      </w:r>
    </w:p>
    <w:p>
      <w:pPr>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1.本合同的订立、解释、履行及争议解决，均适用中华人民共和国法律。 </w:t>
      </w:r>
    </w:p>
    <w:p>
      <w:pPr>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2.本合同履行过程中发生争议的，甲乙双方应友好协商；协商不成的，任何一方可向甲方所在地人民法院起诉。 </w:t>
      </w:r>
    </w:p>
    <w:p>
      <w:pPr>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3.其他：</w:t>
      </w:r>
      <w:r>
        <w:rPr>
          <w:rFonts w:hint="eastAsia" w:ascii="仿宋" w:hAnsi="仿宋" w:eastAsia="仿宋" w:cs="仿宋"/>
          <w:color w:val="auto"/>
          <w:sz w:val="28"/>
          <w:szCs w:val="28"/>
          <w:u w:val="single"/>
        </w:rPr>
        <w:t xml:space="preserve">                                      。</w:t>
      </w:r>
    </w:p>
    <w:p>
      <w:pPr>
        <w:snapToGrid w:val="0"/>
        <w:spacing w:line="360" w:lineRule="auto"/>
        <w:ind w:firstLine="602" w:firstLineChars="200"/>
        <w:rPr>
          <w:rFonts w:hint="eastAsia" w:ascii="宋体" w:hAnsi="宋体"/>
          <w:b/>
          <w:bCs/>
          <w:color w:val="auto"/>
          <w:sz w:val="30"/>
          <w:szCs w:val="30"/>
        </w:rPr>
      </w:pPr>
      <w:r>
        <w:rPr>
          <w:rFonts w:hint="eastAsia" w:ascii="宋体" w:hAnsi="宋体"/>
          <w:b/>
          <w:bCs/>
          <w:color w:val="auto"/>
          <w:sz w:val="30"/>
          <w:szCs w:val="30"/>
        </w:rPr>
        <w:t>十</w:t>
      </w:r>
      <w:r>
        <w:rPr>
          <w:rFonts w:hint="eastAsia" w:ascii="宋体" w:hAnsi="宋体"/>
          <w:b/>
          <w:bCs/>
          <w:color w:val="auto"/>
          <w:sz w:val="30"/>
          <w:szCs w:val="30"/>
          <w:lang w:val="en-US" w:eastAsia="zh-CN"/>
        </w:rPr>
        <w:t>二</w:t>
      </w:r>
      <w:r>
        <w:rPr>
          <w:rFonts w:hint="eastAsia" w:ascii="宋体" w:hAnsi="宋体"/>
          <w:b/>
          <w:bCs/>
          <w:color w:val="auto"/>
          <w:sz w:val="30"/>
          <w:szCs w:val="30"/>
        </w:rPr>
        <w:t xml:space="preserve">、合同生效及其他 </w:t>
      </w:r>
    </w:p>
    <w:p>
      <w:pPr>
        <w:pStyle w:val="11"/>
        <w:adjustRightInd w:val="0"/>
        <w:snapToGrid w:val="0"/>
        <w:spacing w:beforeLines="0" w:afterLines="0" w:line="360" w:lineRule="auto"/>
        <w:ind w:firstLine="596" w:firstLineChars="213"/>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1.合同经甲、乙双方签名并加盖单位公章后生效。</w:t>
      </w:r>
    </w:p>
    <w:p>
      <w:pPr>
        <w:pStyle w:val="11"/>
        <w:adjustRightInd w:val="0"/>
        <w:snapToGrid w:val="0"/>
        <w:spacing w:beforeLines="0" w:afterLines="0" w:line="360" w:lineRule="auto"/>
        <w:ind w:firstLine="596" w:firstLineChars="213"/>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2.解除合同应按《浙江省政府采购合同暂行办法》向同级政府采购监管部门备案。</w:t>
      </w:r>
    </w:p>
    <w:p>
      <w:pPr>
        <w:pStyle w:val="11"/>
        <w:adjustRightInd w:val="0"/>
        <w:snapToGrid w:val="0"/>
        <w:spacing w:beforeLines="0" w:afterLines="0" w:line="360" w:lineRule="auto"/>
        <w:ind w:firstLine="596" w:firstLineChars="213"/>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3.项目征集文件、响应文件与本合同具有同等法律效力。</w:t>
      </w:r>
    </w:p>
    <w:p>
      <w:pPr>
        <w:pStyle w:val="11"/>
        <w:adjustRightInd w:val="0"/>
        <w:snapToGrid w:val="0"/>
        <w:spacing w:beforeLines="0" w:afterLines="0" w:line="360" w:lineRule="auto"/>
        <w:ind w:firstLine="596" w:firstLineChars="213"/>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4.本合同未尽事宜，遵照</w:t>
      </w:r>
      <w:r>
        <w:rPr>
          <w:rFonts w:hint="eastAsia" w:ascii="仿宋" w:hAnsi="仿宋" w:eastAsia="仿宋" w:cs="仿宋"/>
          <w:color w:val="auto"/>
          <w:kern w:val="0"/>
          <w:sz w:val="28"/>
          <w:szCs w:val="28"/>
          <w:lang w:bidi="ar"/>
        </w:rPr>
        <w:t>《中华人民共和国民法典》</w:t>
      </w:r>
      <w:r>
        <w:rPr>
          <w:rFonts w:hint="eastAsia" w:ascii="仿宋" w:hAnsi="仿宋" w:eastAsia="仿宋" w:cs="仿宋"/>
          <w:snapToGrid w:val="0"/>
          <w:color w:val="auto"/>
          <w:sz w:val="28"/>
          <w:szCs w:val="28"/>
        </w:rPr>
        <w:t>有关条文执行。合同内容如遇国家法律、法规及政策另有规定的，从其规定。</w:t>
      </w:r>
    </w:p>
    <w:p>
      <w:pPr>
        <w:pStyle w:val="11"/>
        <w:adjustRightInd w:val="0"/>
        <w:snapToGrid w:val="0"/>
        <w:spacing w:beforeLines="0" w:afterLines="0" w:line="360" w:lineRule="auto"/>
        <w:ind w:firstLine="596" w:firstLineChars="213"/>
        <w:rPr>
          <w:rFonts w:hint="eastAsia" w:ascii="仿宋" w:hAnsi="仿宋" w:eastAsia="仿宋" w:cs="仿宋"/>
          <w:color w:val="auto"/>
          <w:kern w:val="0"/>
          <w:sz w:val="28"/>
          <w:szCs w:val="28"/>
          <w:lang w:bidi="ar"/>
        </w:rPr>
      </w:pPr>
      <w:r>
        <w:rPr>
          <w:rFonts w:hint="eastAsia" w:ascii="仿宋" w:hAnsi="仿宋" w:eastAsia="仿宋" w:cs="仿宋"/>
          <w:snapToGrid w:val="0"/>
          <w:color w:val="auto"/>
          <w:sz w:val="28"/>
          <w:szCs w:val="28"/>
        </w:rPr>
        <w:t>5.本合同一式贰份，</w:t>
      </w:r>
      <w:r>
        <w:rPr>
          <w:rFonts w:hint="eastAsia" w:ascii="仿宋" w:hAnsi="仿宋" w:eastAsia="仿宋" w:cs="仿宋"/>
          <w:color w:val="auto"/>
          <w:sz w:val="28"/>
          <w:szCs w:val="28"/>
        </w:rPr>
        <w:t>甲乙双方各执一份，具有同等法律效力。</w:t>
      </w:r>
    </w:p>
    <w:p>
      <w:pPr>
        <w:widowControl/>
        <w:snapToGrid w:val="0"/>
        <w:spacing w:line="360" w:lineRule="auto"/>
        <w:jc w:val="left"/>
        <w:rPr>
          <w:rFonts w:hint="eastAsia" w:ascii="仿宋" w:hAnsi="仿宋" w:eastAsia="仿宋" w:cs="仿宋"/>
          <w:color w:val="auto"/>
          <w:kern w:val="0"/>
          <w:sz w:val="28"/>
          <w:szCs w:val="28"/>
          <w:lang w:bidi="ar"/>
        </w:rPr>
      </w:pPr>
    </w:p>
    <w:p>
      <w:pPr>
        <w:widowControl/>
        <w:snapToGrid w:val="0"/>
        <w:spacing w:line="360" w:lineRule="auto"/>
        <w:jc w:val="left"/>
        <w:rPr>
          <w:rFonts w:hint="eastAsia" w:ascii="宋体" w:hAnsi="宋体" w:cs="宋体"/>
          <w:color w:val="auto"/>
          <w:kern w:val="0"/>
          <w:sz w:val="30"/>
          <w:szCs w:val="30"/>
          <w:lang w:bidi="ar"/>
        </w:rPr>
      </w:pPr>
      <w:r>
        <w:rPr>
          <w:rFonts w:hint="eastAsia" w:ascii="宋体" w:hAnsi="宋体" w:cs="宋体"/>
          <w:color w:val="auto"/>
          <w:kern w:val="0"/>
          <w:sz w:val="30"/>
          <w:szCs w:val="30"/>
          <w:lang w:bidi="ar"/>
        </w:rPr>
        <w:t>（以下无正文）</w:t>
      </w:r>
    </w:p>
    <w:p>
      <w:pPr>
        <w:widowControl/>
        <w:snapToGrid w:val="0"/>
        <w:spacing w:line="360" w:lineRule="auto"/>
        <w:jc w:val="left"/>
        <w:rPr>
          <w:rFonts w:hint="eastAsia" w:ascii="宋体" w:hAnsi="宋体" w:cs="宋体"/>
          <w:color w:val="auto"/>
          <w:kern w:val="0"/>
          <w:sz w:val="30"/>
          <w:szCs w:val="30"/>
          <w:lang w:bidi="ar"/>
        </w:rPr>
      </w:pPr>
    </w:p>
    <w:p>
      <w:pPr>
        <w:pStyle w:val="11"/>
        <w:adjustRightInd w:val="0"/>
        <w:snapToGrid w:val="0"/>
        <w:spacing w:beforeLines="0" w:afterLines="0" w:line="360" w:lineRule="auto"/>
        <w:ind w:firstLine="596" w:firstLineChars="213"/>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甲方（公章）：</w:t>
      </w:r>
    </w:p>
    <w:p>
      <w:pPr>
        <w:pStyle w:val="11"/>
        <w:adjustRightInd w:val="0"/>
        <w:snapToGrid w:val="0"/>
        <w:spacing w:beforeLines="0" w:afterLines="0" w:line="360" w:lineRule="auto"/>
        <w:ind w:firstLine="596" w:firstLineChars="213"/>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 xml:space="preserve">法定（授权）代表人 </w:t>
      </w:r>
    </w:p>
    <w:p>
      <w:pPr>
        <w:pStyle w:val="11"/>
        <w:adjustRightInd w:val="0"/>
        <w:snapToGrid w:val="0"/>
        <w:spacing w:beforeLines="0" w:afterLines="0" w:line="360" w:lineRule="auto"/>
        <w:ind w:firstLine="596" w:firstLineChars="213"/>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 xml:space="preserve">（签字）： </w:t>
      </w:r>
    </w:p>
    <w:p>
      <w:pPr>
        <w:pStyle w:val="11"/>
        <w:adjustRightInd w:val="0"/>
        <w:snapToGrid w:val="0"/>
        <w:spacing w:beforeLines="0" w:afterLines="0" w:line="360" w:lineRule="auto"/>
        <w:ind w:firstLine="596" w:firstLineChars="213"/>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地址：</w:t>
      </w:r>
    </w:p>
    <w:p>
      <w:pPr>
        <w:pStyle w:val="11"/>
        <w:adjustRightInd w:val="0"/>
        <w:snapToGrid w:val="0"/>
        <w:spacing w:beforeLines="0" w:afterLines="0" w:line="360" w:lineRule="auto"/>
        <w:ind w:firstLine="596" w:firstLineChars="213"/>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电话：</w:t>
      </w:r>
    </w:p>
    <w:p>
      <w:pPr>
        <w:pStyle w:val="11"/>
        <w:adjustRightInd w:val="0"/>
        <w:snapToGrid w:val="0"/>
        <w:spacing w:beforeLines="0" w:afterLines="0" w:line="360" w:lineRule="auto"/>
        <w:ind w:firstLine="596" w:firstLineChars="213"/>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 xml:space="preserve">开户银行： </w:t>
      </w:r>
    </w:p>
    <w:p>
      <w:pPr>
        <w:pStyle w:val="11"/>
        <w:adjustRightInd w:val="0"/>
        <w:snapToGrid w:val="0"/>
        <w:spacing w:beforeLines="0" w:afterLines="0" w:line="360" w:lineRule="auto"/>
        <w:ind w:firstLine="596" w:firstLineChars="213"/>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账号：</w:t>
      </w:r>
    </w:p>
    <w:p>
      <w:pPr>
        <w:pStyle w:val="11"/>
        <w:adjustRightInd w:val="0"/>
        <w:snapToGrid w:val="0"/>
        <w:spacing w:beforeLines="0" w:afterLines="0" w:line="360" w:lineRule="auto"/>
        <w:ind w:firstLine="596" w:firstLineChars="213"/>
        <w:rPr>
          <w:rFonts w:hint="eastAsia" w:ascii="仿宋" w:hAnsi="仿宋" w:eastAsia="仿宋" w:cs="仿宋"/>
          <w:snapToGrid w:val="0"/>
          <w:color w:val="auto"/>
          <w:sz w:val="28"/>
          <w:szCs w:val="28"/>
        </w:rPr>
      </w:pPr>
    </w:p>
    <w:p>
      <w:pPr>
        <w:pStyle w:val="11"/>
        <w:adjustRightInd w:val="0"/>
        <w:snapToGrid w:val="0"/>
        <w:spacing w:beforeLines="0" w:afterLines="0" w:line="360" w:lineRule="auto"/>
        <w:ind w:firstLine="596" w:firstLineChars="213"/>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 xml:space="preserve">乙方（公章）： </w:t>
      </w:r>
    </w:p>
    <w:p>
      <w:pPr>
        <w:pStyle w:val="11"/>
        <w:adjustRightInd w:val="0"/>
        <w:snapToGrid w:val="0"/>
        <w:spacing w:beforeLines="0" w:afterLines="0" w:line="360" w:lineRule="auto"/>
        <w:ind w:firstLine="596" w:firstLineChars="213"/>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 xml:space="preserve"> 法定（授权）代表人 </w:t>
      </w:r>
    </w:p>
    <w:p>
      <w:pPr>
        <w:pStyle w:val="11"/>
        <w:adjustRightInd w:val="0"/>
        <w:snapToGrid w:val="0"/>
        <w:spacing w:beforeLines="0" w:afterLines="0" w:line="360" w:lineRule="auto"/>
        <w:ind w:firstLine="596" w:firstLineChars="213"/>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 xml:space="preserve">（签字）： </w:t>
      </w:r>
    </w:p>
    <w:p>
      <w:pPr>
        <w:pStyle w:val="11"/>
        <w:adjustRightInd w:val="0"/>
        <w:snapToGrid w:val="0"/>
        <w:spacing w:beforeLines="0" w:afterLines="0" w:line="360" w:lineRule="auto"/>
        <w:ind w:firstLine="596" w:firstLineChars="213"/>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 xml:space="preserve">地址： </w:t>
      </w:r>
    </w:p>
    <w:p>
      <w:pPr>
        <w:pStyle w:val="11"/>
        <w:adjustRightInd w:val="0"/>
        <w:snapToGrid w:val="0"/>
        <w:spacing w:beforeLines="0" w:afterLines="0" w:line="360" w:lineRule="auto"/>
        <w:ind w:firstLine="596" w:firstLineChars="213"/>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 xml:space="preserve">电话： </w:t>
      </w:r>
    </w:p>
    <w:p>
      <w:pPr>
        <w:pStyle w:val="11"/>
        <w:adjustRightInd w:val="0"/>
        <w:snapToGrid w:val="0"/>
        <w:spacing w:beforeLines="0" w:afterLines="0" w:line="360" w:lineRule="auto"/>
        <w:ind w:firstLine="596" w:firstLineChars="213"/>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 xml:space="preserve">开户银行： </w:t>
      </w:r>
    </w:p>
    <w:p>
      <w:pPr>
        <w:pStyle w:val="11"/>
        <w:adjustRightInd w:val="0"/>
        <w:snapToGrid w:val="0"/>
        <w:spacing w:beforeLines="0" w:afterLines="0" w:line="360" w:lineRule="auto"/>
        <w:ind w:firstLine="596" w:firstLineChars="213"/>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 xml:space="preserve">账号： </w:t>
      </w:r>
    </w:p>
    <w:p>
      <w:pPr>
        <w:pStyle w:val="11"/>
        <w:adjustRightInd w:val="0"/>
        <w:snapToGrid w:val="0"/>
        <w:spacing w:beforeLines="0" w:afterLines="0" w:line="360" w:lineRule="auto"/>
        <w:ind w:firstLine="596" w:firstLineChars="213"/>
        <w:rPr>
          <w:rFonts w:hint="eastAsia" w:ascii="仿宋" w:hAnsi="仿宋" w:eastAsia="仿宋" w:cs="仿宋"/>
          <w:snapToGrid w:val="0"/>
          <w:color w:val="auto"/>
          <w:sz w:val="28"/>
          <w:szCs w:val="28"/>
        </w:rPr>
      </w:pPr>
    </w:p>
    <w:p>
      <w:pPr>
        <w:pStyle w:val="11"/>
        <w:adjustRightInd w:val="0"/>
        <w:snapToGrid w:val="0"/>
        <w:spacing w:beforeLines="0" w:afterLines="0" w:line="360" w:lineRule="auto"/>
        <w:ind w:firstLine="6193" w:firstLineChars="2212"/>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 xml:space="preserve">签订日期： 年 月 日 </w:t>
      </w:r>
    </w:p>
    <w:p>
      <w:pPr>
        <w:pStyle w:val="11"/>
        <w:adjustRightInd w:val="0"/>
        <w:snapToGrid w:val="0"/>
        <w:spacing w:beforeLines="0" w:afterLines="0" w:line="360" w:lineRule="auto"/>
        <w:ind w:firstLine="596" w:firstLineChars="213"/>
        <w:jc w:val="center"/>
        <w:outlineLvl w:val="0"/>
        <w:rPr>
          <w:rStyle w:val="27"/>
          <w:color w:val="auto"/>
        </w:rPr>
      </w:pPr>
      <w:r>
        <w:rPr>
          <w:rFonts w:hint="eastAsia" w:ascii="仿宋" w:hAnsi="仿宋" w:eastAsia="仿宋" w:cs="仿宋"/>
          <w:snapToGrid w:val="0"/>
          <w:color w:val="auto"/>
          <w:sz w:val="28"/>
          <w:szCs w:val="28"/>
        </w:rPr>
        <w:br w:type="page"/>
      </w:r>
      <w:bookmarkStart w:id="21" w:name="_Toc520112429"/>
      <w:bookmarkStart w:id="22" w:name="_Toc25761"/>
      <w:r>
        <w:rPr>
          <w:rStyle w:val="27"/>
          <w:rFonts w:hint="eastAsia"/>
          <w:color w:val="auto"/>
          <w:lang w:val="en-US" w:eastAsia="zh-CN"/>
        </w:rPr>
        <w:t xml:space="preserve">第六章 </w:t>
      </w:r>
      <w:r>
        <w:rPr>
          <w:rStyle w:val="27"/>
          <w:rFonts w:hint="eastAsia"/>
          <w:color w:val="auto"/>
        </w:rPr>
        <w:t>响应文件格式附件</w:t>
      </w:r>
      <w:bookmarkEnd w:id="21"/>
      <w:bookmarkEnd w:id="22"/>
    </w:p>
    <w:p>
      <w:pPr>
        <w:pStyle w:val="11"/>
        <w:spacing w:before="120" w:after="120" w:line="360" w:lineRule="auto"/>
        <w:outlineLvl w:val="9"/>
        <w:rPr>
          <w:rFonts w:hAnsi="宋体"/>
          <w:b/>
          <w:color w:val="auto"/>
          <w:sz w:val="36"/>
          <w:szCs w:val="36"/>
        </w:rPr>
      </w:pPr>
    </w:p>
    <w:p>
      <w:pPr>
        <w:pStyle w:val="11"/>
        <w:spacing w:before="120" w:after="120" w:line="360" w:lineRule="auto"/>
        <w:jc w:val="center"/>
        <w:outlineLvl w:val="9"/>
        <w:rPr>
          <w:rFonts w:hAnsi="宋体"/>
          <w:b/>
          <w:color w:val="auto"/>
          <w:sz w:val="36"/>
          <w:szCs w:val="36"/>
        </w:rPr>
      </w:pPr>
    </w:p>
    <w:p>
      <w:pPr>
        <w:pStyle w:val="11"/>
        <w:spacing w:before="120" w:after="120" w:line="360" w:lineRule="auto"/>
        <w:jc w:val="center"/>
        <w:rPr>
          <w:rFonts w:hAnsi="宋体"/>
          <w:b/>
          <w:color w:val="auto"/>
          <w:sz w:val="36"/>
          <w:szCs w:val="36"/>
        </w:rPr>
      </w:pPr>
    </w:p>
    <w:p>
      <w:pPr>
        <w:pStyle w:val="11"/>
        <w:adjustRightInd w:val="0"/>
        <w:snapToGrid w:val="0"/>
        <w:spacing w:before="120" w:after="120" w:line="460" w:lineRule="exact"/>
        <w:ind w:left="1" w:firstLine="770" w:firstLineChars="213"/>
        <w:jc w:val="center"/>
        <w:rPr>
          <w:rFonts w:hAnsi="宋体"/>
          <w:b/>
          <w:color w:val="auto"/>
          <w:sz w:val="36"/>
          <w:szCs w:val="36"/>
        </w:rPr>
      </w:pPr>
    </w:p>
    <w:p>
      <w:pPr>
        <w:pStyle w:val="11"/>
        <w:adjustRightInd w:val="0"/>
        <w:snapToGrid w:val="0"/>
        <w:spacing w:before="120" w:after="120" w:line="460" w:lineRule="exact"/>
        <w:ind w:left="1" w:firstLine="770" w:firstLineChars="213"/>
        <w:jc w:val="center"/>
        <w:rPr>
          <w:rFonts w:hAnsi="宋体"/>
          <w:b/>
          <w:color w:val="auto"/>
          <w:sz w:val="36"/>
          <w:szCs w:val="36"/>
        </w:rPr>
      </w:pPr>
    </w:p>
    <w:p>
      <w:pPr>
        <w:pStyle w:val="11"/>
        <w:adjustRightInd w:val="0"/>
        <w:snapToGrid w:val="0"/>
        <w:spacing w:before="120" w:after="120" w:line="460" w:lineRule="exact"/>
        <w:ind w:left="1" w:firstLine="770" w:firstLineChars="213"/>
        <w:jc w:val="center"/>
        <w:rPr>
          <w:rFonts w:hAnsi="宋体"/>
          <w:b/>
          <w:color w:val="auto"/>
          <w:sz w:val="36"/>
          <w:szCs w:val="36"/>
        </w:rPr>
      </w:pPr>
    </w:p>
    <w:p>
      <w:pPr>
        <w:pStyle w:val="11"/>
        <w:adjustRightInd w:val="0"/>
        <w:snapToGrid w:val="0"/>
        <w:spacing w:before="120" w:after="120" w:line="460" w:lineRule="exact"/>
        <w:ind w:left="1" w:firstLine="770" w:firstLineChars="213"/>
        <w:jc w:val="center"/>
        <w:rPr>
          <w:rFonts w:hAnsi="宋体"/>
          <w:b/>
          <w:color w:val="auto"/>
          <w:sz w:val="36"/>
          <w:szCs w:val="36"/>
        </w:rPr>
      </w:pPr>
    </w:p>
    <w:p>
      <w:pPr>
        <w:pStyle w:val="11"/>
        <w:adjustRightInd w:val="0"/>
        <w:snapToGrid w:val="0"/>
        <w:spacing w:before="120" w:after="120" w:line="460" w:lineRule="exact"/>
        <w:ind w:left="1" w:firstLine="770" w:firstLineChars="213"/>
        <w:jc w:val="center"/>
        <w:rPr>
          <w:rFonts w:hAnsi="宋体"/>
          <w:b/>
          <w:color w:val="auto"/>
          <w:sz w:val="36"/>
          <w:szCs w:val="36"/>
        </w:rPr>
      </w:pPr>
    </w:p>
    <w:p>
      <w:pPr>
        <w:pStyle w:val="11"/>
        <w:adjustRightInd w:val="0"/>
        <w:snapToGrid w:val="0"/>
        <w:spacing w:before="120" w:after="120" w:line="460" w:lineRule="exact"/>
        <w:ind w:left="1" w:firstLine="770" w:firstLineChars="213"/>
        <w:jc w:val="center"/>
        <w:rPr>
          <w:rFonts w:hAnsi="宋体"/>
          <w:b/>
          <w:color w:val="auto"/>
          <w:sz w:val="36"/>
          <w:szCs w:val="36"/>
        </w:rPr>
      </w:pPr>
    </w:p>
    <w:p>
      <w:pPr>
        <w:pStyle w:val="11"/>
        <w:adjustRightInd w:val="0"/>
        <w:snapToGrid w:val="0"/>
        <w:spacing w:before="120" w:after="120" w:line="460" w:lineRule="exact"/>
        <w:ind w:left="1" w:firstLine="770" w:firstLineChars="213"/>
        <w:jc w:val="center"/>
        <w:rPr>
          <w:rFonts w:hAnsi="宋体"/>
          <w:b/>
          <w:color w:val="auto"/>
          <w:sz w:val="36"/>
          <w:szCs w:val="36"/>
        </w:rPr>
      </w:pPr>
    </w:p>
    <w:p>
      <w:pPr>
        <w:pStyle w:val="11"/>
        <w:adjustRightInd w:val="0"/>
        <w:snapToGrid w:val="0"/>
        <w:spacing w:before="120" w:after="120" w:line="460" w:lineRule="exact"/>
        <w:ind w:left="1" w:firstLine="770" w:firstLineChars="213"/>
        <w:jc w:val="center"/>
        <w:rPr>
          <w:rFonts w:hAnsi="宋体"/>
          <w:b/>
          <w:color w:val="auto"/>
          <w:sz w:val="36"/>
          <w:szCs w:val="36"/>
        </w:rPr>
      </w:pPr>
    </w:p>
    <w:p>
      <w:pPr>
        <w:pStyle w:val="11"/>
        <w:adjustRightInd w:val="0"/>
        <w:snapToGrid w:val="0"/>
        <w:spacing w:before="120" w:after="120" w:line="460" w:lineRule="exact"/>
        <w:ind w:left="1" w:firstLine="770" w:firstLineChars="213"/>
        <w:jc w:val="center"/>
        <w:rPr>
          <w:rFonts w:hAnsi="宋体"/>
          <w:b/>
          <w:color w:val="auto"/>
          <w:sz w:val="36"/>
          <w:szCs w:val="36"/>
        </w:rPr>
      </w:pPr>
    </w:p>
    <w:p>
      <w:pPr>
        <w:pStyle w:val="11"/>
        <w:adjustRightInd w:val="0"/>
        <w:snapToGrid w:val="0"/>
        <w:spacing w:before="120" w:after="120" w:line="460" w:lineRule="exact"/>
        <w:ind w:left="1" w:firstLine="770" w:firstLineChars="213"/>
        <w:jc w:val="center"/>
        <w:rPr>
          <w:rFonts w:hAnsi="宋体"/>
          <w:b/>
          <w:color w:val="auto"/>
          <w:sz w:val="36"/>
          <w:szCs w:val="36"/>
        </w:rPr>
      </w:pPr>
    </w:p>
    <w:p>
      <w:pPr>
        <w:pStyle w:val="11"/>
        <w:adjustRightInd w:val="0"/>
        <w:snapToGrid w:val="0"/>
        <w:spacing w:before="120" w:after="120" w:line="460" w:lineRule="exact"/>
        <w:ind w:left="1" w:firstLine="770" w:firstLineChars="213"/>
        <w:jc w:val="center"/>
        <w:rPr>
          <w:rFonts w:hAnsi="宋体"/>
          <w:b/>
          <w:color w:val="auto"/>
          <w:sz w:val="36"/>
          <w:szCs w:val="36"/>
        </w:rPr>
      </w:pPr>
    </w:p>
    <w:p>
      <w:pPr>
        <w:pStyle w:val="11"/>
        <w:adjustRightInd w:val="0"/>
        <w:snapToGrid w:val="0"/>
        <w:spacing w:before="120" w:after="120" w:line="460" w:lineRule="exact"/>
        <w:ind w:left="1" w:firstLine="770" w:firstLineChars="213"/>
        <w:jc w:val="center"/>
        <w:rPr>
          <w:rFonts w:hAnsi="宋体"/>
          <w:b/>
          <w:color w:val="auto"/>
          <w:sz w:val="36"/>
          <w:szCs w:val="36"/>
        </w:rPr>
      </w:pPr>
    </w:p>
    <w:p>
      <w:pPr>
        <w:pStyle w:val="11"/>
        <w:adjustRightInd w:val="0"/>
        <w:snapToGrid w:val="0"/>
        <w:spacing w:before="120" w:after="120" w:line="460" w:lineRule="exact"/>
        <w:ind w:left="1" w:firstLine="770" w:firstLineChars="213"/>
        <w:jc w:val="center"/>
        <w:rPr>
          <w:rFonts w:hAnsi="宋体"/>
          <w:b/>
          <w:color w:val="auto"/>
          <w:sz w:val="36"/>
          <w:szCs w:val="36"/>
        </w:rPr>
      </w:pPr>
    </w:p>
    <w:p>
      <w:pPr>
        <w:pStyle w:val="11"/>
        <w:adjustRightInd w:val="0"/>
        <w:snapToGrid w:val="0"/>
        <w:spacing w:before="120" w:after="120" w:line="460" w:lineRule="exact"/>
        <w:ind w:left="1" w:firstLine="770" w:firstLineChars="213"/>
        <w:jc w:val="center"/>
        <w:rPr>
          <w:rFonts w:hAnsi="宋体"/>
          <w:b/>
          <w:color w:val="auto"/>
          <w:sz w:val="36"/>
          <w:szCs w:val="36"/>
        </w:rPr>
      </w:pPr>
    </w:p>
    <w:p>
      <w:pPr>
        <w:pStyle w:val="11"/>
        <w:adjustRightInd w:val="0"/>
        <w:snapToGrid w:val="0"/>
        <w:spacing w:before="120" w:after="120" w:line="460" w:lineRule="exact"/>
        <w:ind w:left="1" w:firstLine="770" w:firstLineChars="213"/>
        <w:jc w:val="center"/>
        <w:rPr>
          <w:rFonts w:hAnsi="宋体"/>
          <w:b/>
          <w:color w:val="auto"/>
          <w:sz w:val="36"/>
          <w:szCs w:val="36"/>
        </w:rPr>
      </w:pPr>
    </w:p>
    <w:p>
      <w:pPr>
        <w:pStyle w:val="11"/>
        <w:adjustRightInd w:val="0"/>
        <w:snapToGrid w:val="0"/>
        <w:spacing w:before="120" w:after="120" w:line="460" w:lineRule="exact"/>
        <w:ind w:left="1" w:firstLine="770" w:firstLineChars="213"/>
        <w:jc w:val="center"/>
        <w:rPr>
          <w:rFonts w:hAnsi="宋体"/>
          <w:b/>
          <w:color w:val="auto"/>
          <w:sz w:val="36"/>
          <w:szCs w:val="36"/>
        </w:rPr>
      </w:pPr>
    </w:p>
    <w:p>
      <w:pPr>
        <w:pStyle w:val="11"/>
        <w:adjustRightInd w:val="0"/>
        <w:snapToGrid w:val="0"/>
        <w:spacing w:before="120" w:after="120" w:line="460" w:lineRule="exact"/>
        <w:ind w:left="1" w:firstLine="770" w:firstLineChars="213"/>
        <w:jc w:val="center"/>
        <w:rPr>
          <w:rFonts w:hint="eastAsia" w:hAnsi="宋体"/>
          <w:b/>
          <w:color w:val="auto"/>
          <w:sz w:val="36"/>
          <w:szCs w:val="36"/>
        </w:rPr>
      </w:pPr>
    </w:p>
    <w:p>
      <w:pPr>
        <w:pStyle w:val="11"/>
        <w:adjustRightInd w:val="0"/>
        <w:snapToGrid w:val="0"/>
        <w:spacing w:before="120" w:after="120" w:line="460" w:lineRule="exact"/>
        <w:ind w:left="1" w:firstLine="770" w:firstLineChars="213"/>
        <w:jc w:val="center"/>
        <w:rPr>
          <w:rFonts w:hint="eastAsia" w:hAnsi="宋体"/>
          <w:b/>
          <w:color w:val="auto"/>
          <w:sz w:val="36"/>
          <w:szCs w:val="36"/>
        </w:rPr>
      </w:pPr>
    </w:p>
    <w:p>
      <w:pPr>
        <w:snapToGrid w:val="0"/>
        <w:spacing w:before="120" w:beforeLines="50" w:after="50"/>
        <w:ind w:left="0" w:leftChars="0" w:firstLine="0" w:firstLineChars="0"/>
        <w:rPr>
          <w:rFonts w:ascii="宋体" w:hAnsi="宋体"/>
          <w:b/>
          <w:color w:val="auto"/>
          <w:sz w:val="30"/>
          <w:szCs w:val="30"/>
        </w:rPr>
      </w:pPr>
      <w:r>
        <w:rPr>
          <w:rFonts w:hint="eastAsia" w:ascii="宋体" w:hAnsi="宋体"/>
          <w:color w:val="auto"/>
          <w:sz w:val="30"/>
          <w:szCs w:val="30"/>
        </w:rPr>
        <w:t>附件1</w:t>
      </w:r>
      <w:r>
        <w:rPr>
          <w:rFonts w:hint="eastAsia" w:ascii="宋体" w:hAnsi="宋体"/>
          <w:b/>
          <w:color w:val="auto"/>
          <w:sz w:val="30"/>
          <w:szCs w:val="30"/>
        </w:rPr>
        <w:t xml:space="preserve">：                                          </w:t>
      </w:r>
      <w:r>
        <w:rPr>
          <w:rFonts w:hint="eastAsia" w:ascii="宋体" w:hAnsi="宋体"/>
          <w:bCs/>
          <w:color w:val="auto"/>
          <w:sz w:val="30"/>
          <w:szCs w:val="30"/>
        </w:rPr>
        <w:t>正本或副本</w:t>
      </w:r>
    </w:p>
    <w:p>
      <w:pPr>
        <w:keepNext w:val="0"/>
        <w:keepLines w:val="0"/>
        <w:pageBreakBefore w:val="0"/>
        <w:widowControl w:val="0"/>
        <w:kinsoku/>
        <w:wordWrap/>
        <w:overflowPunct/>
        <w:topLinePunct w:val="0"/>
        <w:autoSpaceDE/>
        <w:autoSpaceDN/>
        <w:bidi w:val="0"/>
        <w:adjustRightInd/>
        <w:snapToGrid/>
        <w:spacing w:line="240" w:lineRule="auto"/>
        <w:ind w:right="-110" w:firstLine="0" w:firstLineChars="0"/>
        <w:jc w:val="center"/>
        <w:textAlignment w:val="auto"/>
        <w:rPr>
          <w:rFonts w:ascii="宋体" w:hAnsi="宋体"/>
          <w:color w:val="auto"/>
          <w:spacing w:val="40"/>
          <w:sz w:val="52"/>
          <w:szCs w:val="52"/>
        </w:rPr>
      </w:pPr>
      <w:r>
        <w:rPr>
          <w:rFonts w:hint="eastAsia" w:ascii="宋体" w:hAnsi="宋体"/>
          <w:color w:val="auto"/>
          <w:spacing w:val="40"/>
          <w:sz w:val="52"/>
          <w:szCs w:val="52"/>
        </w:rPr>
        <w:t>项目名称</w:t>
      </w:r>
    </w:p>
    <w:p>
      <w:pPr>
        <w:keepNext w:val="0"/>
        <w:keepLines w:val="0"/>
        <w:pageBreakBefore w:val="0"/>
        <w:widowControl w:val="0"/>
        <w:kinsoku/>
        <w:wordWrap/>
        <w:overflowPunct/>
        <w:topLinePunct w:val="0"/>
        <w:autoSpaceDE/>
        <w:autoSpaceDN/>
        <w:bidi w:val="0"/>
        <w:adjustRightInd/>
        <w:snapToGrid/>
        <w:spacing w:before="240" w:beforeLines="100" w:line="240" w:lineRule="auto"/>
        <w:ind w:firstLine="0" w:firstLineChars="0"/>
        <w:jc w:val="center"/>
        <w:textAlignment w:val="auto"/>
        <w:rPr>
          <w:rFonts w:hint="eastAsia" w:ascii="宋体" w:hAnsi="宋体"/>
          <w:color w:val="auto"/>
          <w:sz w:val="36"/>
          <w:szCs w:val="36"/>
        </w:rPr>
      </w:pPr>
      <w:r>
        <w:rPr>
          <w:rFonts w:hint="eastAsia" w:ascii="宋体" w:hAnsi="宋体"/>
          <w:color w:val="auto"/>
          <w:sz w:val="36"/>
          <w:szCs w:val="36"/>
        </w:rPr>
        <w:t>项目编号：ZZCG202</w:t>
      </w:r>
      <w:r>
        <w:rPr>
          <w:rFonts w:hint="eastAsia" w:ascii="宋体" w:hAnsi="宋体"/>
          <w:color w:val="auto"/>
          <w:sz w:val="36"/>
          <w:szCs w:val="36"/>
          <w:lang w:val="en-US" w:eastAsia="zh-CN"/>
        </w:rPr>
        <w:t>4J</w:t>
      </w:r>
      <w:r>
        <w:rPr>
          <w:rFonts w:hint="eastAsia" w:ascii="宋体" w:hAnsi="宋体"/>
          <w:color w:val="auto"/>
          <w:sz w:val="36"/>
          <w:szCs w:val="36"/>
        </w:rPr>
        <w:t>-</w:t>
      </w:r>
      <w:r>
        <w:rPr>
          <w:rFonts w:hint="eastAsia" w:ascii="宋体" w:hAnsi="宋体"/>
          <w:color w:val="auto"/>
          <w:sz w:val="36"/>
          <w:szCs w:val="36"/>
          <w:lang w:val="en-US" w:eastAsia="zh-CN"/>
        </w:rPr>
        <w:t>ZJ</w:t>
      </w:r>
      <w:r>
        <w:rPr>
          <w:rFonts w:hint="eastAsia" w:ascii="宋体" w:hAnsi="宋体"/>
          <w:color w:val="auto"/>
          <w:sz w:val="36"/>
          <w:szCs w:val="36"/>
        </w:rPr>
        <w:t>-00</w:t>
      </w:r>
      <w:r>
        <w:rPr>
          <w:rFonts w:hint="eastAsia" w:ascii="宋体" w:hAnsi="宋体"/>
          <w:color w:val="auto"/>
          <w:sz w:val="36"/>
          <w:szCs w:val="36"/>
          <w:lang w:val="en-US" w:eastAsia="zh-CN"/>
        </w:rPr>
        <w:t>4</w:t>
      </w:r>
      <w:r>
        <w:rPr>
          <w:rFonts w:hint="eastAsia" w:ascii="宋体" w:hAnsi="宋体"/>
          <w:color w:val="auto"/>
          <w:sz w:val="36"/>
          <w:szCs w:val="36"/>
        </w:rPr>
        <w:t>（</w:t>
      </w:r>
      <w:r>
        <w:rPr>
          <w:rFonts w:hint="eastAsia" w:ascii="宋体" w:hAnsi="宋体"/>
          <w:color w:val="auto"/>
          <w:sz w:val="36"/>
          <w:szCs w:val="36"/>
          <w:lang w:eastAsia="zh-CN"/>
        </w:rPr>
        <w:t>采购包</w:t>
      </w:r>
      <w:r>
        <w:rPr>
          <w:rFonts w:hint="eastAsia" w:ascii="宋体" w:hAnsi="宋体"/>
          <w:color w:val="auto"/>
          <w:sz w:val="36"/>
          <w:szCs w:val="36"/>
        </w:rPr>
        <w:t xml:space="preserve">  ）</w:t>
      </w:r>
    </w:p>
    <w:p>
      <w:pPr>
        <w:keepNext w:val="0"/>
        <w:keepLines w:val="0"/>
        <w:pageBreakBefore w:val="0"/>
        <w:widowControl w:val="0"/>
        <w:kinsoku/>
        <w:wordWrap/>
        <w:overflowPunct/>
        <w:topLinePunct w:val="0"/>
        <w:autoSpaceDE/>
        <w:autoSpaceDN/>
        <w:bidi w:val="0"/>
        <w:adjustRightInd/>
        <w:snapToGrid/>
        <w:spacing w:before="240" w:beforeLines="100" w:line="240" w:lineRule="auto"/>
        <w:ind w:firstLine="0" w:firstLineChars="0"/>
        <w:jc w:val="center"/>
        <w:textAlignment w:val="auto"/>
        <w:rPr>
          <w:rFonts w:hint="eastAsia" w:ascii="宋体" w:hAnsi="宋体"/>
          <w:color w:val="auto"/>
          <w:sz w:val="36"/>
          <w:szCs w:val="36"/>
        </w:rPr>
      </w:pPr>
    </w:p>
    <w:p>
      <w:pPr>
        <w:keepNext w:val="0"/>
        <w:keepLines w:val="0"/>
        <w:pageBreakBefore w:val="0"/>
        <w:widowControl w:val="0"/>
        <w:kinsoku/>
        <w:wordWrap/>
        <w:overflowPunct/>
        <w:topLinePunct w:val="0"/>
        <w:autoSpaceDE/>
        <w:autoSpaceDN/>
        <w:bidi w:val="0"/>
        <w:adjustRightInd/>
        <w:snapToGrid w:val="0"/>
        <w:spacing w:line="480" w:lineRule="auto"/>
        <w:ind w:right="-108" w:firstLine="0" w:firstLineChars="0"/>
        <w:jc w:val="center"/>
        <w:textAlignment w:val="auto"/>
        <w:rPr>
          <w:rFonts w:hint="eastAsia" w:ascii="宋体" w:hAnsi="宋体"/>
          <w:b/>
          <w:color w:val="auto"/>
          <w:spacing w:val="40"/>
          <w:sz w:val="84"/>
          <w:szCs w:val="84"/>
        </w:rPr>
      </w:pPr>
      <w:r>
        <w:rPr>
          <w:rFonts w:hint="eastAsia" w:ascii="宋体" w:hAnsi="宋体"/>
          <w:b/>
          <w:color w:val="auto"/>
          <w:spacing w:val="40"/>
          <w:sz w:val="84"/>
          <w:szCs w:val="84"/>
        </w:rPr>
        <w:t>资</w:t>
      </w:r>
    </w:p>
    <w:p>
      <w:pPr>
        <w:keepNext w:val="0"/>
        <w:keepLines w:val="0"/>
        <w:pageBreakBefore w:val="0"/>
        <w:widowControl w:val="0"/>
        <w:kinsoku/>
        <w:wordWrap/>
        <w:overflowPunct/>
        <w:topLinePunct w:val="0"/>
        <w:autoSpaceDE/>
        <w:autoSpaceDN/>
        <w:bidi w:val="0"/>
        <w:adjustRightInd/>
        <w:snapToGrid w:val="0"/>
        <w:spacing w:line="480" w:lineRule="auto"/>
        <w:ind w:right="-108" w:firstLine="0" w:firstLineChars="0"/>
        <w:jc w:val="center"/>
        <w:textAlignment w:val="auto"/>
        <w:rPr>
          <w:rFonts w:hint="eastAsia" w:ascii="宋体" w:hAnsi="宋体"/>
          <w:b/>
          <w:color w:val="auto"/>
          <w:spacing w:val="40"/>
          <w:sz w:val="84"/>
          <w:szCs w:val="84"/>
          <w:lang w:val="en-US" w:eastAsia="zh-CN"/>
        </w:rPr>
      </w:pPr>
      <w:r>
        <w:rPr>
          <w:rFonts w:hint="eastAsia" w:ascii="宋体" w:hAnsi="宋体"/>
          <w:b/>
          <w:color w:val="auto"/>
          <w:spacing w:val="40"/>
          <w:sz w:val="84"/>
          <w:szCs w:val="84"/>
          <w:lang w:val="en-US" w:eastAsia="zh-CN"/>
        </w:rPr>
        <w:t>格</w:t>
      </w:r>
    </w:p>
    <w:p>
      <w:pPr>
        <w:keepNext w:val="0"/>
        <w:keepLines w:val="0"/>
        <w:pageBreakBefore w:val="0"/>
        <w:widowControl w:val="0"/>
        <w:kinsoku/>
        <w:wordWrap/>
        <w:overflowPunct/>
        <w:topLinePunct w:val="0"/>
        <w:autoSpaceDE/>
        <w:autoSpaceDN/>
        <w:bidi w:val="0"/>
        <w:adjustRightInd/>
        <w:snapToGrid w:val="0"/>
        <w:spacing w:line="480" w:lineRule="auto"/>
        <w:ind w:right="-108" w:firstLine="0" w:firstLineChars="0"/>
        <w:jc w:val="center"/>
        <w:textAlignment w:val="auto"/>
        <w:rPr>
          <w:rFonts w:hint="eastAsia" w:ascii="宋体" w:hAnsi="宋体"/>
          <w:b/>
          <w:color w:val="auto"/>
          <w:spacing w:val="40"/>
          <w:sz w:val="84"/>
          <w:szCs w:val="84"/>
        </w:rPr>
      </w:pPr>
      <w:r>
        <w:rPr>
          <w:rFonts w:hint="eastAsia" w:ascii="宋体" w:hAnsi="宋体"/>
          <w:b/>
          <w:color w:val="auto"/>
          <w:spacing w:val="40"/>
          <w:sz w:val="84"/>
          <w:szCs w:val="84"/>
        </w:rPr>
        <w:t>文</w:t>
      </w:r>
    </w:p>
    <w:p>
      <w:pPr>
        <w:keepNext w:val="0"/>
        <w:keepLines w:val="0"/>
        <w:pageBreakBefore w:val="0"/>
        <w:widowControl w:val="0"/>
        <w:kinsoku/>
        <w:wordWrap/>
        <w:overflowPunct/>
        <w:topLinePunct w:val="0"/>
        <w:autoSpaceDE/>
        <w:autoSpaceDN/>
        <w:bidi w:val="0"/>
        <w:adjustRightInd/>
        <w:snapToGrid w:val="0"/>
        <w:spacing w:line="480" w:lineRule="auto"/>
        <w:ind w:right="-108" w:firstLine="0" w:firstLineChars="0"/>
        <w:jc w:val="center"/>
        <w:textAlignment w:val="auto"/>
        <w:rPr>
          <w:rFonts w:hint="eastAsia" w:ascii="宋体" w:hAnsi="宋体"/>
          <w:b/>
          <w:color w:val="auto"/>
          <w:spacing w:val="40"/>
          <w:sz w:val="84"/>
          <w:szCs w:val="84"/>
        </w:rPr>
      </w:pPr>
      <w:r>
        <w:rPr>
          <w:rFonts w:hint="eastAsia" w:ascii="宋体" w:hAnsi="宋体"/>
          <w:b/>
          <w:color w:val="auto"/>
          <w:spacing w:val="40"/>
          <w:sz w:val="84"/>
          <w:szCs w:val="84"/>
        </w:rPr>
        <w:t>件</w:t>
      </w:r>
    </w:p>
    <w:p>
      <w:pPr>
        <w:spacing w:line="600" w:lineRule="exact"/>
        <w:ind w:right="532" w:firstLine="720" w:firstLineChars="200"/>
        <w:rPr>
          <w:rFonts w:ascii="宋体" w:hAnsi="宋体"/>
          <w:color w:val="auto"/>
          <w:sz w:val="36"/>
          <w:szCs w:val="36"/>
        </w:rPr>
      </w:pPr>
      <w:r>
        <w:rPr>
          <w:rFonts w:hint="eastAsia" w:ascii="宋体" w:hAnsi="宋体"/>
          <w:color w:val="auto"/>
          <w:sz w:val="36"/>
          <w:szCs w:val="36"/>
        </w:rPr>
        <w:t>响应方全称：</w:t>
      </w:r>
    </w:p>
    <w:p>
      <w:pPr>
        <w:spacing w:line="600" w:lineRule="exact"/>
        <w:ind w:right="532" w:firstLine="720" w:firstLineChars="200"/>
        <w:rPr>
          <w:rFonts w:ascii="宋体" w:hAnsi="宋体"/>
          <w:color w:val="auto"/>
          <w:sz w:val="36"/>
          <w:szCs w:val="36"/>
        </w:rPr>
      </w:pPr>
      <w:r>
        <w:rPr>
          <w:rFonts w:hint="eastAsia" w:ascii="宋体" w:hAnsi="宋体"/>
          <w:color w:val="auto"/>
          <w:sz w:val="36"/>
          <w:szCs w:val="36"/>
        </w:rPr>
        <w:t>地    址：</w:t>
      </w:r>
    </w:p>
    <w:p>
      <w:pPr>
        <w:spacing w:line="600" w:lineRule="exact"/>
        <w:ind w:right="532" w:firstLine="720" w:firstLineChars="200"/>
        <w:rPr>
          <w:rFonts w:ascii="宋体" w:hAnsi="宋体"/>
          <w:color w:val="auto"/>
          <w:sz w:val="36"/>
          <w:szCs w:val="36"/>
        </w:rPr>
      </w:pPr>
      <w:r>
        <w:rPr>
          <w:rFonts w:hint="eastAsia" w:ascii="宋体" w:hAnsi="宋体"/>
          <w:color w:val="auto"/>
          <w:sz w:val="36"/>
          <w:szCs w:val="36"/>
        </w:rPr>
        <w:t xml:space="preserve">时    间： </w:t>
      </w:r>
    </w:p>
    <w:p>
      <w:pPr>
        <w:snapToGrid w:val="0"/>
        <w:spacing w:before="50" w:after="50"/>
        <w:rPr>
          <w:rFonts w:ascii="宋体" w:hAnsi="宋体"/>
          <w:b/>
          <w:bCs/>
          <w:color w:val="auto"/>
          <w:sz w:val="36"/>
          <w:szCs w:val="36"/>
        </w:rPr>
      </w:pPr>
      <w:r>
        <w:rPr>
          <w:rFonts w:hint="eastAsia" w:ascii="宋体" w:hAnsi="宋体"/>
          <w:b/>
          <w:color w:val="auto"/>
          <w:sz w:val="36"/>
          <w:szCs w:val="36"/>
        </w:rPr>
        <w:br w:type="page"/>
      </w:r>
      <w:r>
        <w:rPr>
          <w:rFonts w:hint="eastAsia" w:ascii="宋体" w:hAnsi="宋体"/>
          <w:b/>
          <w:color w:val="auto"/>
          <w:sz w:val="36"/>
          <w:szCs w:val="36"/>
        </w:rPr>
        <w:t>1.</w:t>
      </w:r>
      <w:r>
        <w:rPr>
          <w:rFonts w:hint="eastAsia" w:ascii="宋体" w:hAnsi="宋体"/>
          <w:b/>
          <w:bCs/>
          <w:color w:val="auto"/>
          <w:sz w:val="36"/>
          <w:szCs w:val="36"/>
          <w:lang w:eastAsia="zh-CN"/>
        </w:rPr>
        <w:t>资格</w:t>
      </w:r>
      <w:r>
        <w:rPr>
          <w:rFonts w:hint="eastAsia" w:ascii="宋体" w:hAnsi="宋体"/>
          <w:b/>
          <w:bCs/>
          <w:color w:val="auto"/>
          <w:sz w:val="36"/>
          <w:szCs w:val="36"/>
        </w:rPr>
        <w:t>文件目录</w:t>
      </w:r>
    </w:p>
    <w:p>
      <w:pPr>
        <w:snapToGrid w:val="0"/>
        <w:spacing w:line="460" w:lineRule="exact"/>
        <w:ind w:firstLine="548" w:firstLineChars="196"/>
        <w:jc w:val="left"/>
        <w:rPr>
          <w:rFonts w:hint="eastAsia" w:ascii="仿宋" w:hAnsi="仿宋" w:eastAsia="仿宋" w:cs="仿宋"/>
          <w:color w:val="auto"/>
          <w:sz w:val="28"/>
          <w:szCs w:val="28"/>
        </w:rPr>
      </w:pPr>
      <w:r>
        <w:rPr>
          <w:rFonts w:hint="eastAsia" w:ascii="宋体" w:hAnsi="宋体" w:cs="宋体"/>
          <w:color w:val="auto"/>
          <w:sz w:val="28"/>
          <w:szCs w:val="28"/>
        </w:rPr>
        <w:t>（1）</w:t>
      </w:r>
      <w:r>
        <w:rPr>
          <w:rFonts w:hint="eastAsia" w:ascii="仿宋" w:hAnsi="仿宋" w:eastAsia="仿宋" w:cs="仿宋"/>
          <w:color w:val="auto"/>
          <w:sz w:val="28"/>
          <w:szCs w:val="28"/>
        </w:rPr>
        <w:t>声明书</w:t>
      </w:r>
      <w:r>
        <w:rPr>
          <w:rFonts w:hint="eastAsia" w:ascii="仿宋" w:hAnsi="仿宋" w:cs="仿宋"/>
          <w:color w:val="auto"/>
          <w:sz w:val="28"/>
          <w:szCs w:val="28"/>
          <w:lang w:eastAsia="zh-CN"/>
        </w:rPr>
        <w:t>（</w:t>
      </w:r>
      <w:r>
        <w:rPr>
          <w:rFonts w:hint="eastAsia" w:ascii="仿宋" w:hAnsi="仿宋" w:eastAsia="仿宋" w:cs="仿宋"/>
          <w:color w:val="auto"/>
          <w:sz w:val="28"/>
          <w:szCs w:val="28"/>
        </w:rPr>
        <w:t>格式见附件，含重大违法记录声明</w:t>
      </w:r>
      <w:r>
        <w:rPr>
          <w:rFonts w:hint="eastAsia" w:ascii="仿宋" w:hAnsi="仿宋" w:cs="仿宋"/>
          <w:color w:val="auto"/>
          <w:sz w:val="28"/>
          <w:szCs w:val="28"/>
          <w:lang w:eastAsia="zh-CN"/>
        </w:rPr>
        <w:t>）</w:t>
      </w:r>
      <w:r>
        <w:rPr>
          <w:rFonts w:hint="eastAsia" w:ascii="仿宋" w:hAnsi="仿宋" w:eastAsia="仿宋" w:cs="仿宋"/>
          <w:color w:val="auto"/>
          <w:sz w:val="28"/>
          <w:szCs w:val="28"/>
        </w:rPr>
        <w:t>；</w:t>
      </w:r>
    </w:p>
    <w:p>
      <w:pPr>
        <w:snapToGrid w:val="0"/>
        <w:spacing w:line="460" w:lineRule="exact"/>
        <w:ind w:firstLine="548" w:firstLineChars="196"/>
        <w:jc w:val="left"/>
        <w:rPr>
          <w:rFonts w:hint="eastAsia" w:ascii="仿宋" w:hAnsi="仿宋" w:eastAsia="仿宋" w:cs="仿宋"/>
          <w:color w:val="auto"/>
          <w:sz w:val="28"/>
          <w:szCs w:val="28"/>
        </w:rPr>
      </w:pPr>
      <w:r>
        <w:rPr>
          <w:rFonts w:hint="eastAsia" w:ascii="仿宋" w:hAnsi="仿宋" w:eastAsia="仿宋" w:cs="仿宋"/>
          <w:color w:val="auto"/>
          <w:sz w:val="28"/>
          <w:szCs w:val="28"/>
        </w:rPr>
        <w:t>（2）法定代表人授权委托书</w:t>
      </w:r>
      <w:r>
        <w:rPr>
          <w:rFonts w:hint="eastAsia" w:ascii="仿宋" w:hAnsi="仿宋" w:cs="仿宋"/>
          <w:color w:val="auto"/>
          <w:sz w:val="28"/>
          <w:szCs w:val="28"/>
          <w:lang w:eastAsia="zh-CN"/>
        </w:rPr>
        <w:t>（</w:t>
      </w:r>
      <w:r>
        <w:rPr>
          <w:rFonts w:hint="eastAsia" w:ascii="仿宋" w:hAnsi="仿宋" w:eastAsia="仿宋" w:cs="仿宋"/>
          <w:color w:val="auto"/>
          <w:sz w:val="28"/>
          <w:szCs w:val="28"/>
        </w:rPr>
        <w:t>格式见附件</w:t>
      </w:r>
      <w:r>
        <w:rPr>
          <w:rFonts w:hint="eastAsia" w:ascii="仿宋" w:hAnsi="仿宋" w:cs="仿宋"/>
          <w:color w:val="auto"/>
          <w:sz w:val="28"/>
          <w:szCs w:val="28"/>
          <w:lang w:eastAsia="zh-CN"/>
        </w:rPr>
        <w:t>）</w:t>
      </w:r>
      <w:r>
        <w:rPr>
          <w:rFonts w:hint="eastAsia" w:ascii="仿宋" w:hAnsi="仿宋" w:eastAsia="仿宋" w:cs="仿宋"/>
          <w:color w:val="auto"/>
          <w:sz w:val="28"/>
          <w:szCs w:val="28"/>
        </w:rPr>
        <w:t>；</w:t>
      </w:r>
    </w:p>
    <w:p>
      <w:pPr>
        <w:snapToGrid w:val="0"/>
        <w:spacing w:line="460" w:lineRule="exact"/>
        <w:ind w:firstLine="548" w:firstLineChars="196"/>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（3）提供有效的营业执照复印件并加盖公司公章；事业单位的，则提供有效的《事业单位法人证书》副本复印件并加盖单位公章；自然人的，则提供有效的身份证复印件并签字（格式自拟）； </w:t>
      </w:r>
    </w:p>
    <w:p>
      <w:pPr>
        <w:autoSpaceDE w:val="0"/>
        <w:autoSpaceDN w:val="0"/>
        <w:adjustRightInd w:val="0"/>
        <w:snapToGrid w:val="0"/>
        <w:spacing w:line="500" w:lineRule="exact"/>
        <w:ind w:firstLine="600" w:firstLineChars="0"/>
        <w:rPr>
          <w:rFonts w:hint="eastAsia" w:ascii="仿宋" w:hAnsi="仿宋" w:eastAsia="仿宋" w:cs="仿宋"/>
          <w:bCs w:val="0"/>
          <w:color w:val="auto"/>
          <w:kern w:val="2"/>
          <w:sz w:val="28"/>
          <w:szCs w:val="28"/>
          <w:lang w:val="zh-CN"/>
        </w:rPr>
      </w:pPr>
      <w:r>
        <w:rPr>
          <w:rFonts w:hint="eastAsia" w:ascii="仿宋" w:hAnsi="仿宋" w:eastAsia="仿宋" w:cs="仿宋"/>
          <w:color w:val="auto"/>
          <w:sz w:val="28"/>
          <w:szCs w:val="28"/>
        </w:rPr>
        <w:t>（4）</w:t>
      </w:r>
      <w:r>
        <w:rPr>
          <w:rFonts w:hint="eastAsia" w:ascii="仿宋" w:hAnsi="仿宋" w:eastAsia="仿宋" w:cs="仿宋"/>
          <w:color w:val="auto"/>
          <w:kern w:val="0"/>
          <w:sz w:val="28"/>
          <w:szCs w:val="28"/>
          <w:shd w:val="clear" w:color="auto" w:fill="auto"/>
          <w:lang w:val="zh-CN"/>
        </w:rPr>
        <w:t>响应方为</w:t>
      </w:r>
      <w:r>
        <w:rPr>
          <w:rFonts w:hint="eastAsia" w:ascii="仿宋" w:hAnsi="仿宋" w:eastAsia="仿宋" w:cs="仿宋"/>
          <w:color w:val="auto"/>
          <w:kern w:val="0"/>
          <w:sz w:val="28"/>
          <w:szCs w:val="28"/>
          <w:shd w:val="clear" w:color="auto" w:fill="auto"/>
          <w:lang w:val="en-US" w:eastAsia="zh-CN"/>
        </w:rPr>
        <w:t>服务器</w:t>
      </w:r>
      <w:r>
        <w:rPr>
          <w:rFonts w:hint="eastAsia" w:ascii="仿宋" w:hAnsi="仿宋" w:eastAsia="仿宋" w:cs="仿宋"/>
          <w:color w:val="auto"/>
          <w:kern w:val="0"/>
          <w:sz w:val="28"/>
          <w:szCs w:val="28"/>
          <w:shd w:val="clear" w:color="auto" w:fill="auto"/>
          <w:lang w:val="zh-CN"/>
        </w:rPr>
        <w:t>生产厂家或其唯一授权供应商。由唯一授权供应商参与本项目响应的，须提供由生产厂家出具的针对本项目的唯一授权书【授权书内容应包含且不限于项目名称、项目编号、代理商证书、唯一授权事项</w:t>
      </w:r>
      <w:r>
        <w:rPr>
          <w:rFonts w:hint="eastAsia" w:ascii="仿宋" w:hAnsi="仿宋" w:cs="仿宋"/>
          <w:color w:val="auto"/>
          <w:kern w:val="0"/>
          <w:sz w:val="28"/>
          <w:szCs w:val="28"/>
          <w:shd w:val="clear" w:color="auto" w:fill="auto"/>
          <w:lang w:val="zh-CN"/>
        </w:rPr>
        <w:t>（</w:t>
      </w:r>
      <w:r>
        <w:rPr>
          <w:rFonts w:hint="eastAsia" w:ascii="仿宋" w:hAnsi="仿宋" w:eastAsia="仿宋" w:cs="仿宋"/>
          <w:color w:val="auto"/>
          <w:kern w:val="0"/>
          <w:sz w:val="28"/>
          <w:szCs w:val="28"/>
          <w:shd w:val="clear" w:color="auto" w:fill="auto"/>
          <w:lang w:val="zh-CN"/>
        </w:rPr>
        <w:t>响应、签约等具体事务、签署相关文件和政采云系统网上操作等</w:t>
      </w:r>
      <w:r>
        <w:rPr>
          <w:rFonts w:hint="eastAsia" w:ascii="仿宋" w:hAnsi="仿宋" w:cs="仿宋"/>
          <w:color w:val="auto"/>
          <w:kern w:val="0"/>
          <w:sz w:val="28"/>
          <w:szCs w:val="28"/>
          <w:shd w:val="clear" w:color="auto" w:fill="auto"/>
          <w:lang w:val="zh-CN"/>
        </w:rPr>
        <w:t>）</w:t>
      </w:r>
      <w:r>
        <w:rPr>
          <w:rFonts w:hint="eastAsia" w:ascii="仿宋" w:hAnsi="仿宋" w:eastAsia="仿宋" w:cs="仿宋"/>
          <w:color w:val="auto"/>
          <w:kern w:val="0"/>
          <w:sz w:val="28"/>
          <w:szCs w:val="28"/>
          <w:shd w:val="clear" w:color="auto" w:fill="auto"/>
          <w:lang w:val="zh-CN"/>
        </w:rPr>
        <w:t>，且必须由生产厂家加盖公司公章】。采购包1-</w:t>
      </w:r>
      <w:r>
        <w:rPr>
          <w:rFonts w:hint="eastAsia" w:ascii="仿宋" w:hAnsi="仿宋" w:cs="仿宋"/>
          <w:color w:val="auto"/>
          <w:kern w:val="0"/>
          <w:sz w:val="28"/>
          <w:szCs w:val="28"/>
          <w:shd w:val="clear" w:color="auto" w:fill="auto"/>
          <w:lang w:val="en-US" w:eastAsia="zh-CN"/>
        </w:rPr>
        <w:t>44</w:t>
      </w:r>
      <w:r>
        <w:rPr>
          <w:rFonts w:hint="eastAsia" w:ascii="仿宋" w:hAnsi="仿宋" w:eastAsia="仿宋" w:cs="仿宋"/>
          <w:color w:val="auto"/>
          <w:kern w:val="0"/>
          <w:sz w:val="28"/>
          <w:szCs w:val="28"/>
          <w:shd w:val="clear" w:color="auto" w:fill="auto"/>
          <w:lang w:val="zh-CN"/>
        </w:rPr>
        <w:t>限生产厂家或其授权的1家供应商参加；采购包</w:t>
      </w:r>
      <w:r>
        <w:rPr>
          <w:rFonts w:hint="eastAsia" w:ascii="仿宋" w:hAnsi="仿宋" w:cs="仿宋"/>
          <w:color w:val="auto"/>
          <w:kern w:val="0"/>
          <w:sz w:val="28"/>
          <w:szCs w:val="28"/>
          <w:shd w:val="clear" w:color="auto" w:fill="auto"/>
          <w:lang w:val="en-US" w:eastAsia="zh-CN"/>
        </w:rPr>
        <w:t>45</w:t>
      </w:r>
      <w:r>
        <w:rPr>
          <w:rFonts w:hint="eastAsia" w:ascii="仿宋" w:hAnsi="仿宋" w:eastAsia="仿宋" w:cs="仿宋"/>
          <w:color w:val="auto"/>
          <w:kern w:val="0"/>
          <w:sz w:val="28"/>
          <w:szCs w:val="28"/>
          <w:shd w:val="clear" w:color="auto" w:fill="auto"/>
          <w:lang w:val="zh-CN"/>
        </w:rPr>
        <w:t>-</w:t>
      </w:r>
      <w:r>
        <w:rPr>
          <w:rFonts w:hint="eastAsia" w:ascii="仿宋" w:hAnsi="仿宋" w:cs="仿宋"/>
          <w:color w:val="auto"/>
          <w:kern w:val="0"/>
          <w:sz w:val="28"/>
          <w:szCs w:val="28"/>
          <w:shd w:val="clear" w:color="auto" w:fill="auto"/>
          <w:lang w:val="en-US" w:eastAsia="zh-CN"/>
        </w:rPr>
        <w:t>59</w:t>
      </w:r>
      <w:r>
        <w:rPr>
          <w:rFonts w:hint="eastAsia" w:ascii="仿宋" w:hAnsi="仿宋" w:eastAsia="仿宋" w:cs="仿宋"/>
          <w:color w:val="auto"/>
          <w:kern w:val="0"/>
          <w:sz w:val="28"/>
          <w:szCs w:val="28"/>
          <w:shd w:val="clear" w:color="auto" w:fill="auto"/>
          <w:lang w:val="zh-CN"/>
        </w:rPr>
        <w:t>限生产厂家或其授权的1家供应商参加。</w:t>
      </w:r>
    </w:p>
    <w:p>
      <w:pPr>
        <w:snapToGrid w:val="0"/>
        <w:spacing w:line="460" w:lineRule="exact"/>
        <w:ind w:firstLine="548" w:firstLineChars="196"/>
        <w:jc w:val="left"/>
        <w:rPr>
          <w:rFonts w:hint="eastAsia" w:ascii="仿宋" w:hAnsi="仿宋" w:eastAsia="仿宋" w:cs="仿宋"/>
          <w:color w:val="auto"/>
          <w:sz w:val="28"/>
          <w:szCs w:val="28"/>
        </w:rPr>
      </w:pPr>
      <w:r>
        <w:rPr>
          <w:rFonts w:hint="eastAsia" w:ascii="仿宋" w:hAnsi="仿宋" w:eastAsia="仿宋" w:cs="仿宋"/>
          <w:color w:val="auto"/>
          <w:sz w:val="28"/>
          <w:szCs w:val="28"/>
        </w:rPr>
        <w:t>（5）提供征集公告中符合</w:t>
      </w:r>
      <w:r>
        <w:rPr>
          <w:rFonts w:hint="eastAsia" w:ascii="仿宋" w:hAnsi="仿宋" w:eastAsia="仿宋" w:cs="仿宋"/>
          <w:bCs w:val="0"/>
          <w:color w:val="auto"/>
          <w:sz w:val="28"/>
          <w:szCs w:val="28"/>
        </w:rPr>
        <w:t>响应方特定条件要求的有效的</w:t>
      </w:r>
      <w:r>
        <w:rPr>
          <w:rFonts w:hint="eastAsia" w:ascii="仿宋" w:hAnsi="仿宋" w:eastAsia="仿宋" w:cs="仿宋"/>
          <w:color w:val="auto"/>
          <w:sz w:val="28"/>
          <w:szCs w:val="28"/>
        </w:rPr>
        <w:t>其他资质复印件并加盖公司公章及需要说明的资料（格式自拟）；</w:t>
      </w:r>
    </w:p>
    <w:p>
      <w:pPr>
        <w:snapToGrid w:val="0"/>
        <w:spacing w:line="460" w:lineRule="exact"/>
        <w:ind w:firstLine="548" w:firstLineChars="196"/>
        <w:jc w:val="left"/>
        <w:rPr>
          <w:rFonts w:hint="eastAsia" w:ascii="仿宋" w:hAnsi="仿宋" w:eastAsia="仿宋" w:cs="仿宋"/>
          <w:color w:val="auto"/>
          <w:sz w:val="28"/>
          <w:szCs w:val="28"/>
        </w:rPr>
      </w:pPr>
      <w:r>
        <w:rPr>
          <w:rFonts w:hint="eastAsia" w:ascii="仿宋" w:hAnsi="仿宋" w:eastAsia="仿宋" w:cs="仿宋"/>
          <w:color w:val="auto"/>
          <w:sz w:val="28"/>
          <w:szCs w:val="28"/>
        </w:rPr>
        <w:t>（6）承诺书（格式见附件）。</w:t>
      </w:r>
    </w:p>
    <w:p>
      <w:pPr>
        <w:snapToGrid w:val="0"/>
        <w:spacing w:before="50" w:after="120" w:afterLines="50"/>
        <w:ind w:left="0" w:leftChars="0" w:firstLine="0" w:firstLineChars="0"/>
        <w:jc w:val="left"/>
        <w:rPr>
          <w:rFonts w:ascii="宋体" w:hAnsi="宋体"/>
          <w:color w:val="auto"/>
          <w:sz w:val="30"/>
          <w:szCs w:val="30"/>
        </w:rPr>
      </w:pPr>
      <w:r>
        <w:rPr>
          <w:rFonts w:hint="eastAsia" w:ascii="宋体" w:hAnsi="宋体"/>
          <w:color w:val="auto"/>
          <w:sz w:val="30"/>
          <w:szCs w:val="30"/>
        </w:rPr>
        <w:br w:type="page"/>
      </w:r>
      <w:r>
        <w:rPr>
          <w:rFonts w:hint="eastAsia" w:ascii="宋体" w:hAnsi="宋体"/>
          <w:color w:val="auto"/>
          <w:sz w:val="30"/>
          <w:szCs w:val="30"/>
        </w:rPr>
        <w:t>附件2：</w:t>
      </w:r>
    </w:p>
    <w:p>
      <w:pPr>
        <w:snapToGrid w:val="0"/>
        <w:spacing w:before="50" w:after="50"/>
        <w:ind w:left="0" w:leftChars="0" w:firstLine="0" w:firstLineChars="0"/>
        <w:jc w:val="center"/>
        <w:rPr>
          <w:rFonts w:ascii="宋体" w:hAnsi="宋体"/>
          <w:b/>
          <w:color w:val="auto"/>
          <w:sz w:val="36"/>
          <w:szCs w:val="36"/>
        </w:rPr>
      </w:pPr>
      <w:r>
        <w:rPr>
          <w:rFonts w:hint="eastAsia" w:ascii="宋体" w:hAnsi="宋体"/>
          <w:b/>
          <w:color w:val="auto"/>
          <w:sz w:val="36"/>
          <w:szCs w:val="36"/>
        </w:rPr>
        <w:t>声 明 书</w:t>
      </w:r>
    </w:p>
    <w:p>
      <w:pPr>
        <w:snapToGrid w:val="0"/>
        <w:spacing w:before="120" w:beforeLines="50" w:after="50" w:line="440" w:lineRule="exact"/>
        <w:rPr>
          <w:rFonts w:ascii="宋体" w:hAnsi="宋体"/>
          <w:b/>
          <w:color w:val="auto"/>
          <w:sz w:val="30"/>
          <w:szCs w:val="30"/>
        </w:rPr>
      </w:pPr>
      <w:r>
        <w:rPr>
          <w:rFonts w:hint="eastAsia" w:ascii="宋体" w:hAnsi="宋体"/>
          <w:b/>
          <w:color w:val="auto"/>
          <w:sz w:val="30"/>
          <w:szCs w:val="30"/>
        </w:rPr>
        <w:t>致浙江省政府采购中心：</w:t>
      </w:r>
    </w:p>
    <w:p>
      <w:pPr>
        <w:snapToGrid w:val="0"/>
        <w:spacing w:before="120" w:beforeLines="50" w:after="50" w:line="440" w:lineRule="exact"/>
        <w:ind w:firstLine="600" w:firstLineChars="200"/>
        <w:rPr>
          <w:rFonts w:ascii="宋体" w:hAnsi="宋体"/>
          <w:color w:val="auto"/>
          <w:sz w:val="30"/>
          <w:szCs w:val="30"/>
        </w:rPr>
      </w:pPr>
      <w:r>
        <w:rPr>
          <w:rFonts w:hint="eastAsia" w:ascii="宋体" w:hAnsi="宋体"/>
          <w:color w:val="auto"/>
          <w:sz w:val="30"/>
          <w:szCs w:val="30"/>
          <w:u w:val="single"/>
        </w:rPr>
        <w:t>（响应方名称）</w:t>
      </w:r>
      <w:r>
        <w:rPr>
          <w:rFonts w:hint="eastAsia" w:ascii="宋体" w:hAnsi="宋体"/>
          <w:color w:val="auto"/>
          <w:sz w:val="30"/>
          <w:szCs w:val="30"/>
        </w:rPr>
        <w:t>系中华人民共和国合法企业，经营地址</w:t>
      </w:r>
      <w:r>
        <w:rPr>
          <w:rFonts w:hint="eastAsia" w:ascii="宋体" w:hAnsi="宋体"/>
          <w:color w:val="auto"/>
          <w:sz w:val="30"/>
          <w:szCs w:val="30"/>
          <w:u w:val="single"/>
        </w:rPr>
        <w:t xml:space="preserve">             </w:t>
      </w:r>
      <w:r>
        <w:rPr>
          <w:rFonts w:hint="eastAsia" w:ascii="宋体" w:hAnsi="宋体"/>
          <w:color w:val="auto"/>
          <w:sz w:val="30"/>
          <w:szCs w:val="30"/>
        </w:rPr>
        <w:t>。</w:t>
      </w:r>
    </w:p>
    <w:p>
      <w:pPr>
        <w:snapToGrid w:val="0"/>
        <w:spacing w:before="120" w:beforeLines="50" w:after="50" w:line="440" w:lineRule="exact"/>
        <w:ind w:firstLine="600" w:firstLineChars="200"/>
        <w:rPr>
          <w:rFonts w:ascii="宋体" w:hAnsi="宋体"/>
          <w:color w:val="auto"/>
          <w:sz w:val="30"/>
          <w:szCs w:val="30"/>
        </w:rPr>
      </w:pPr>
      <w:r>
        <w:rPr>
          <w:rFonts w:hint="eastAsia" w:ascii="宋体" w:hAnsi="宋体"/>
          <w:color w:val="auto"/>
          <w:sz w:val="30"/>
          <w:szCs w:val="30"/>
        </w:rPr>
        <w:t>我</w:t>
      </w:r>
      <w:r>
        <w:rPr>
          <w:rFonts w:hint="eastAsia" w:ascii="宋体" w:hAnsi="宋体"/>
          <w:color w:val="auto"/>
          <w:sz w:val="30"/>
          <w:szCs w:val="30"/>
          <w:u w:val="single"/>
        </w:rPr>
        <w:t>（姓名）</w:t>
      </w:r>
      <w:r>
        <w:rPr>
          <w:rFonts w:hint="eastAsia" w:ascii="宋体" w:hAnsi="宋体"/>
          <w:color w:val="auto"/>
          <w:sz w:val="30"/>
          <w:szCs w:val="30"/>
        </w:rPr>
        <w:t>系</w:t>
      </w:r>
      <w:r>
        <w:rPr>
          <w:rFonts w:hint="eastAsia" w:ascii="宋体" w:hAnsi="宋体"/>
          <w:color w:val="auto"/>
          <w:sz w:val="30"/>
          <w:szCs w:val="30"/>
          <w:u w:val="single"/>
        </w:rPr>
        <w:t>（响应方名称）</w:t>
      </w:r>
      <w:r>
        <w:rPr>
          <w:rFonts w:hint="eastAsia" w:ascii="宋体" w:hAnsi="宋体"/>
          <w:color w:val="auto"/>
          <w:sz w:val="30"/>
          <w:szCs w:val="30"/>
        </w:rPr>
        <w:t>的法定代表人，我方愿意参加贵方组织的</w:t>
      </w:r>
      <w:r>
        <w:rPr>
          <w:rFonts w:hint="eastAsia" w:ascii="宋体" w:hAnsi="宋体"/>
          <w:color w:val="auto"/>
          <w:sz w:val="30"/>
          <w:szCs w:val="30"/>
          <w:u w:val="single"/>
        </w:rPr>
        <w:t>（项目名称）（编号为ZZCG202</w:t>
      </w:r>
      <w:r>
        <w:rPr>
          <w:rFonts w:hint="eastAsia" w:ascii="宋体" w:hAnsi="宋体"/>
          <w:color w:val="auto"/>
          <w:sz w:val="30"/>
          <w:szCs w:val="30"/>
          <w:u w:val="single"/>
          <w:lang w:val="en-US" w:eastAsia="zh-CN"/>
        </w:rPr>
        <w:t>4J</w:t>
      </w:r>
      <w:r>
        <w:rPr>
          <w:rFonts w:hint="eastAsia" w:ascii="宋体" w:hAnsi="宋体"/>
          <w:color w:val="auto"/>
          <w:sz w:val="30"/>
          <w:szCs w:val="30"/>
          <w:u w:val="single"/>
        </w:rPr>
        <w:t>-</w:t>
      </w:r>
      <w:r>
        <w:rPr>
          <w:rFonts w:hint="eastAsia" w:ascii="宋体" w:hAnsi="宋体"/>
          <w:color w:val="auto"/>
          <w:sz w:val="30"/>
          <w:szCs w:val="30"/>
          <w:u w:val="single"/>
          <w:lang w:val="en-US" w:eastAsia="zh-CN"/>
        </w:rPr>
        <w:t>ZJ</w:t>
      </w:r>
      <w:r>
        <w:rPr>
          <w:rFonts w:hint="eastAsia" w:ascii="宋体" w:hAnsi="宋体"/>
          <w:color w:val="auto"/>
          <w:sz w:val="30"/>
          <w:szCs w:val="30"/>
          <w:u w:val="single"/>
        </w:rPr>
        <w:t>-00</w:t>
      </w:r>
      <w:r>
        <w:rPr>
          <w:rFonts w:hint="eastAsia" w:ascii="宋体" w:hAnsi="宋体"/>
          <w:color w:val="auto"/>
          <w:sz w:val="30"/>
          <w:szCs w:val="30"/>
          <w:u w:val="single"/>
          <w:lang w:val="en-US" w:eastAsia="zh-CN"/>
        </w:rPr>
        <w:t>4</w:t>
      </w:r>
      <w:r>
        <w:rPr>
          <w:rFonts w:hint="eastAsia" w:ascii="宋体" w:hAnsi="宋体"/>
          <w:color w:val="auto"/>
          <w:sz w:val="30"/>
          <w:szCs w:val="30"/>
          <w:u w:val="single"/>
        </w:rPr>
        <w:t>）</w:t>
      </w:r>
      <w:r>
        <w:rPr>
          <w:rFonts w:hint="eastAsia" w:ascii="宋体" w:hAnsi="宋体"/>
          <w:color w:val="auto"/>
          <w:sz w:val="30"/>
          <w:szCs w:val="30"/>
        </w:rPr>
        <w:t>的征集响应，为此，我方就本次响应有关事项郑重声明如下：</w:t>
      </w:r>
    </w:p>
    <w:p>
      <w:pPr>
        <w:snapToGrid w:val="0"/>
        <w:spacing w:before="120" w:beforeLines="50" w:after="50" w:line="440" w:lineRule="exact"/>
        <w:ind w:firstLine="600" w:firstLineChars="200"/>
        <w:rPr>
          <w:rFonts w:ascii="宋体" w:hAnsi="宋体"/>
          <w:b/>
          <w:color w:val="auto"/>
          <w:sz w:val="30"/>
          <w:szCs w:val="30"/>
        </w:rPr>
      </w:pPr>
      <w:r>
        <w:rPr>
          <w:rFonts w:hint="eastAsia" w:ascii="宋体" w:hAnsi="宋体"/>
          <w:color w:val="auto"/>
          <w:sz w:val="30"/>
          <w:szCs w:val="30"/>
        </w:rPr>
        <w:t>1.我方已详细审查全部征集文件，同意征集文件的各项要求</w:t>
      </w:r>
      <w:r>
        <w:rPr>
          <w:rFonts w:hint="eastAsia" w:ascii="宋体" w:hAnsi="宋体"/>
          <w:b/>
          <w:color w:val="auto"/>
          <w:sz w:val="30"/>
          <w:szCs w:val="30"/>
        </w:rPr>
        <w:t>，对征集文件的合理性、合法性不再有异议。</w:t>
      </w:r>
    </w:p>
    <w:p>
      <w:pPr>
        <w:snapToGrid w:val="0"/>
        <w:spacing w:before="120" w:beforeLines="50" w:after="50" w:line="440" w:lineRule="exact"/>
        <w:ind w:firstLine="600" w:firstLineChars="200"/>
        <w:rPr>
          <w:rFonts w:ascii="宋体" w:hAnsi="宋体"/>
          <w:color w:val="auto"/>
          <w:sz w:val="30"/>
          <w:szCs w:val="30"/>
        </w:rPr>
      </w:pPr>
      <w:r>
        <w:rPr>
          <w:rFonts w:hint="eastAsia" w:ascii="宋体" w:hAnsi="宋体"/>
          <w:color w:val="auto"/>
          <w:sz w:val="30"/>
          <w:szCs w:val="30"/>
        </w:rPr>
        <w:t>2.我方向贵方提交的所有响应文件、资料都是准确的和真实的。</w:t>
      </w:r>
    </w:p>
    <w:p>
      <w:pPr>
        <w:snapToGrid w:val="0"/>
        <w:spacing w:before="120" w:beforeLines="50" w:after="50" w:line="440" w:lineRule="exact"/>
        <w:ind w:firstLine="600" w:firstLineChars="200"/>
        <w:rPr>
          <w:rFonts w:ascii="宋体" w:hAnsi="宋体"/>
          <w:color w:val="auto"/>
          <w:sz w:val="30"/>
          <w:szCs w:val="30"/>
        </w:rPr>
      </w:pPr>
      <w:r>
        <w:rPr>
          <w:rFonts w:hint="eastAsia" w:ascii="宋体" w:hAnsi="宋体"/>
          <w:color w:val="auto"/>
          <w:sz w:val="30"/>
          <w:szCs w:val="30"/>
        </w:rPr>
        <w:t>3.若入围，我方将按征集文件规定履行框架协议责任和义务。</w:t>
      </w:r>
    </w:p>
    <w:p>
      <w:pPr>
        <w:snapToGrid w:val="0"/>
        <w:spacing w:before="120" w:beforeLines="50" w:after="50" w:line="440" w:lineRule="exact"/>
        <w:ind w:firstLine="600" w:firstLineChars="200"/>
        <w:rPr>
          <w:rFonts w:hint="eastAsia" w:ascii="宋体" w:hAnsi="宋体" w:eastAsia="仿宋"/>
          <w:color w:val="auto"/>
          <w:sz w:val="30"/>
          <w:szCs w:val="30"/>
          <w:lang w:eastAsia="zh-CN"/>
        </w:rPr>
      </w:pPr>
      <w:r>
        <w:rPr>
          <w:rFonts w:hint="eastAsia" w:ascii="宋体" w:hAnsi="宋体"/>
          <w:color w:val="auto"/>
          <w:sz w:val="30"/>
          <w:szCs w:val="30"/>
        </w:rPr>
        <w:t>4.我方不是</w:t>
      </w:r>
      <w:r>
        <w:rPr>
          <w:rFonts w:hint="eastAsia" w:ascii="宋体" w:hAnsi="宋体"/>
          <w:color w:val="auto"/>
          <w:sz w:val="30"/>
          <w:szCs w:val="30"/>
          <w:lang w:val="en-US" w:eastAsia="zh-CN"/>
        </w:rPr>
        <w:t>征集人</w:t>
      </w:r>
      <w:r>
        <w:rPr>
          <w:rFonts w:hint="eastAsia" w:ascii="宋体" w:hAnsi="宋体"/>
          <w:color w:val="auto"/>
          <w:sz w:val="30"/>
          <w:szCs w:val="30"/>
        </w:rPr>
        <w:t>的附属机构</w:t>
      </w:r>
      <w:r>
        <w:rPr>
          <w:rFonts w:hint="eastAsia" w:ascii="宋体" w:hAnsi="宋体"/>
          <w:color w:val="auto"/>
          <w:sz w:val="30"/>
          <w:szCs w:val="30"/>
          <w:lang w:eastAsia="zh-CN"/>
        </w:rPr>
        <w:t>。</w:t>
      </w:r>
    </w:p>
    <w:p>
      <w:pPr>
        <w:snapToGrid w:val="0"/>
        <w:spacing w:before="120" w:beforeLines="50" w:after="50" w:line="440" w:lineRule="exact"/>
        <w:ind w:firstLine="600" w:firstLineChars="200"/>
        <w:rPr>
          <w:rFonts w:ascii="宋体" w:hAnsi="宋体"/>
          <w:color w:val="auto"/>
          <w:sz w:val="30"/>
          <w:szCs w:val="30"/>
        </w:rPr>
      </w:pPr>
      <w:r>
        <w:rPr>
          <w:rFonts w:hint="eastAsia" w:ascii="宋体" w:hAnsi="宋体"/>
          <w:color w:val="auto"/>
          <w:sz w:val="30"/>
          <w:szCs w:val="30"/>
        </w:rPr>
        <w:t>5.响应文件自开启响应文件</w:t>
      </w:r>
      <w:r>
        <w:rPr>
          <w:rFonts w:hint="eastAsia" w:ascii="宋体" w:hAnsi="宋体"/>
          <w:color w:val="auto"/>
          <w:sz w:val="30"/>
          <w:szCs w:val="30"/>
          <w:lang w:val="en-US" w:eastAsia="zh-CN"/>
        </w:rPr>
        <w:t>之</w:t>
      </w:r>
      <w:r>
        <w:rPr>
          <w:rFonts w:hint="eastAsia" w:ascii="宋体" w:hAnsi="宋体"/>
          <w:color w:val="auto"/>
          <w:sz w:val="30"/>
          <w:szCs w:val="30"/>
        </w:rPr>
        <w:t>日起有效期为90天。</w:t>
      </w:r>
    </w:p>
    <w:p>
      <w:pPr>
        <w:snapToGrid w:val="0"/>
        <w:spacing w:line="440" w:lineRule="exact"/>
        <w:ind w:firstLine="590" w:firstLineChars="196"/>
        <w:jc w:val="left"/>
        <w:rPr>
          <w:rFonts w:ascii="宋体" w:hAnsi="宋体"/>
          <w:b/>
          <w:color w:val="auto"/>
          <w:sz w:val="30"/>
          <w:szCs w:val="30"/>
        </w:rPr>
      </w:pPr>
      <w:r>
        <w:rPr>
          <w:rFonts w:hint="eastAsia" w:ascii="仿宋" w:hAnsi="仿宋" w:eastAsia="仿宋"/>
          <w:b/>
          <w:color w:val="auto"/>
          <w:sz w:val="30"/>
          <w:szCs w:val="30"/>
        </w:rPr>
        <w:t>6.我方承诺已经具备参与政府采购活动的资格条件并且没有税收缴纳、社会保障等方面的失信记录；</w:t>
      </w:r>
    </w:p>
    <w:p>
      <w:pPr>
        <w:snapToGrid w:val="0"/>
        <w:spacing w:before="120" w:beforeLines="50" w:after="50" w:line="440" w:lineRule="exact"/>
        <w:ind w:firstLine="600" w:firstLineChars="200"/>
        <w:rPr>
          <w:rFonts w:ascii="宋体" w:hAnsi="宋体"/>
          <w:color w:val="auto"/>
          <w:sz w:val="30"/>
          <w:szCs w:val="30"/>
        </w:rPr>
      </w:pPr>
      <w:r>
        <w:rPr>
          <w:rFonts w:hint="eastAsia" w:ascii="宋体" w:hAnsi="宋体"/>
          <w:color w:val="auto"/>
          <w:sz w:val="30"/>
          <w:szCs w:val="30"/>
        </w:rPr>
        <w:t>7.我方通过“信用中国”网站（www.creditchina.gov.cn）、中国政府采购网（www.ccgp.gov.cn）查询，未被列入失信被执行人、重大税收违法案件当事人名单、政府采购严重违法失信行为记录名单。</w:t>
      </w:r>
    </w:p>
    <w:p>
      <w:pPr>
        <w:snapToGrid w:val="0"/>
        <w:spacing w:before="120" w:beforeLines="50" w:after="50" w:line="440" w:lineRule="exact"/>
        <w:ind w:firstLine="600" w:firstLineChars="200"/>
        <w:rPr>
          <w:rFonts w:ascii="宋体" w:hAnsi="宋体"/>
          <w:color w:val="auto"/>
          <w:sz w:val="30"/>
          <w:szCs w:val="30"/>
        </w:rPr>
      </w:pPr>
      <w:r>
        <w:rPr>
          <w:rFonts w:hint="eastAsia" w:ascii="宋体" w:hAnsi="宋体"/>
          <w:color w:val="auto"/>
          <w:sz w:val="30"/>
          <w:szCs w:val="30"/>
        </w:rPr>
        <w:t>8.以上事项如有虚假或隐瞒，我方愿意承担一切后果，并不再寻求任何旨在减轻或免除法律责任的辩解。</w:t>
      </w:r>
    </w:p>
    <w:p>
      <w:pPr>
        <w:snapToGrid w:val="0"/>
        <w:spacing w:before="120" w:beforeLines="50" w:after="50" w:line="460" w:lineRule="exact"/>
        <w:ind w:right="600" w:firstLine="150" w:firstLineChars="50"/>
        <w:rPr>
          <w:rFonts w:ascii="宋体" w:hAnsi="宋体"/>
          <w:color w:val="auto"/>
          <w:sz w:val="30"/>
          <w:szCs w:val="30"/>
          <w:u w:val="single"/>
        </w:rPr>
      </w:pPr>
      <w:r>
        <w:rPr>
          <w:rFonts w:hint="eastAsia" w:ascii="宋体" w:hAnsi="宋体"/>
          <w:color w:val="auto"/>
          <w:sz w:val="30"/>
          <w:szCs w:val="30"/>
        </w:rPr>
        <w:t>法定代表人签名（或签名章）：  日 期：</w:t>
      </w:r>
    </w:p>
    <w:p>
      <w:pPr>
        <w:snapToGrid w:val="0"/>
        <w:spacing w:before="120" w:beforeLines="50" w:after="50" w:line="460" w:lineRule="exact"/>
        <w:ind w:firstLine="150" w:firstLineChars="50"/>
        <w:rPr>
          <w:rFonts w:ascii="宋体" w:hAnsi="宋体"/>
          <w:color w:val="auto"/>
          <w:sz w:val="30"/>
          <w:szCs w:val="30"/>
        </w:rPr>
      </w:pPr>
      <w:r>
        <w:rPr>
          <w:rFonts w:hint="eastAsia" w:ascii="宋体" w:hAnsi="宋体"/>
          <w:color w:val="auto"/>
          <w:sz w:val="30"/>
          <w:szCs w:val="30"/>
        </w:rPr>
        <w:t>响应方全称（公章）：</w:t>
      </w:r>
    </w:p>
    <w:p>
      <w:pPr>
        <w:snapToGrid w:val="0"/>
        <w:spacing w:before="120" w:beforeLines="50" w:after="50" w:line="460" w:lineRule="exact"/>
        <w:ind w:left="0" w:leftChars="0" w:firstLine="0" w:firstLineChars="0"/>
        <w:rPr>
          <w:rFonts w:ascii="宋体" w:hAnsi="宋体"/>
          <w:color w:val="auto"/>
          <w:sz w:val="30"/>
          <w:szCs w:val="30"/>
        </w:rPr>
      </w:pPr>
      <w:r>
        <w:rPr>
          <w:rFonts w:hint="eastAsia" w:ascii="宋体" w:hAnsi="宋体"/>
          <w:color w:val="auto"/>
          <w:sz w:val="30"/>
          <w:szCs w:val="30"/>
        </w:rPr>
        <w:br w:type="page"/>
      </w:r>
      <w:r>
        <w:rPr>
          <w:rFonts w:hint="eastAsia" w:ascii="宋体" w:hAnsi="宋体"/>
          <w:color w:val="auto"/>
          <w:sz w:val="30"/>
          <w:szCs w:val="30"/>
        </w:rPr>
        <w:t>附件3：</w:t>
      </w:r>
    </w:p>
    <w:p>
      <w:pPr>
        <w:snapToGrid w:val="0"/>
        <w:spacing w:before="50" w:after="50"/>
        <w:ind w:left="0" w:leftChars="0" w:firstLine="0" w:firstLineChars="0"/>
        <w:jc w:val="center"/>
        <w:rPr>
          <w:rFonts w:ascii="宋体" w:hAnsi="宋体"/>
          <w:b/>
          <w:color w:val="auto"/>
          <w:sz w:val="36"/>
          <w:szCs w:val="36"/>
        </w:rPr>
      </w:pPr>
      <w:r>
        <w:rPr>
          <w:rFonts w:hint="eastAsia" w:ascii="宋体" w:hAnsi="宋体"/>
          <w:b/>
          <w:color w:val="auto"/>
          <w:sz w:val="36"/>
          <w:szCs w:val="36"/>
        </w:rPr>
        <w:t>法定代表人授权委托书</w:t>
      </w:r>
    </w:p>
    <w:p>
      <w:pPr>
        <w:snapToGrid w:val="0"/>
        <w:spacing w:before="120" w:beforeLines="50" w:after="50"/>
        <w:jc w:val="center"/>
        <w:rPr>
          <w:rFonts w:ascii="宋体" w:hAnsi="宋体"/>
          <w:b/>
          <w:color w:val="auto"/>
          <w:sz w:val="30"/>
          <w:szCs w:val="30"/>
        </w:rPr>
      </w:pPr>
    </w:p>
    <w:p>
      <w:pPr>
        <w:snapToGrid w:val="0"/>
        <w:spacing w:before="120" w:beforeLines="50" w:after="50" w:line="460" w:lineRule="exact"/>
        <w:rPr>
          <w:rFonts w:ascii="宋体" w:hAnsi="宋体"/>
          <w:b/>
          <w:bCs/>
          <w:color w:val="auto"/>
          <w:sz w:val="30"/>
          <w:szCs w:val="30"/>
        </w:rPr>
      </w:pPr>
      <w:r>
        <w:rPr>
          <w:rFonts w:hint="eastAsia" w:ascii="宋体" w:hAnsi="宋体"/>
          <w:bCs/>
          <w:color w:val="auto"/>
          <w:sz w:val="30"/>
          <w:szCs w:val="30"/>
        </w:rPr>
        <w:t>浙江省政府采购中心：</w:t>
      </w:r>
    </w:p>
    <w:p>
      <w:pPr>
        <w:snapToGrid w:val="0"/>
        <w:spacing w:before="120" w:beforeLines="50" w:after="50" w:line="460" w:lineRule="exact"/>
        <w:ind w:firstLine="900" w:firstLineChars="300"/>
        <w:rPr>
          <w:rFonts w:ascii="宋体" w:hAnsi="宋体"/>
          <w:color w:val="auto"/>
          <w:sz w:val="30"/>
          <w:szCs w:val="30"/>
        </w:rPr>
      </w:pPr>
      <w:r>
        <w:rPr>
          <w:rFonts w:hint="eastAsia" w:ascii="宋体" w:hAnsi="宋体"/>
          <w:color w:val="auto"/>
          <w:sz w:val="30"/>
          <w:szCs w:val="30"/>
        </w:rPr>
        <w:t>我</w:t>
      </w:r>
      <w:r>
        <w:rPr>
          <w:rFonts w:hint="eastAsia" w:ascii="宋体" w:hAnsi="宋体"/>
          <w:color w:val="auto"/>
          <w:sz w:val="30"/>
          <w:szCs w:val="30"/>
          <w:u w:val="single"/>
        </w:rPr>
        <w:t>（姓名）</w:t>
      </w:r>
      <w:r>
        <w:rPr>
          <w:rFonts w:hint="eastAsia" w:ascii="宋体" w:hAnsi="宋体"/>
          <w:color w:val="auto"/>
          <w:sz w:val="30"/>
          <w:szCs w:val="30"/>
        </w:rPr>
        <w:t>系</w:t>
      </w:r>
      <w:r>
        <w:rPr>
          <w:rFonts w:hint="eastAsia" w:ascii="宋体" w:hAnsi="宋体"/>
          <w:color w:val="auto"/>
          <w:sz w:val="30"/>
          <w:szCs w:val="30"/>
          <w:u w:val="single"/>
        </w:rPr>
        <w:t>（响应方名称）</w:t>
      </w:r>
      <w:r>
        <w:rPr>
          <w:rFonts w:hint="eastAsia" w:ascii="宋体" w:hAnsi="宋体"/>
          <w:color w:val="auto"/>
          <w:sz w:val="30"/>
          <w:szCs w:val="30"/>
        </w:rPr>
        <w:t>的法定代表人，现授权委托本单位在职职工 （姓名）为授权代表，以我方的名义参加项目编号及</w:t>
      </w:r>
      <w:r>
        <w:rPr>
          <w:rFonts w:hint="eastAsia" w:ascii="宋体" w:hAnsi="宋体"/>
          <w:color w:val="auto"/>
          <w:sz w:val="30"/>
          <w:szCs w:val="30"/>
          <w:lang w:eastAsia="zh-CN"/>
        </w:rPr>
        <w:t>采购包</w:t>
      </w:r>
      <w:r>
        <w:rPr>
          <w:rFonts w:hint="eastAsia" w:ascii="宋体" w:hAnsi="宋体"/>
          <w:color w:val="auto"/>
          <w:sz w:val="30"/>
          <w:szCs w:val="30"/>
        </w:rPr>
        <w:t>：</w:t>
      </w:r>
      <w:r>
        <w:rPr>
          <w:rFonts w:hint="eastAsia" w:ascii="宋体" w:hAnsi="宋体"/>
          <w:color w:val="auto"/>
          <w:sz w:val="30"/>
          <w:szCs w:val="30"/>
          <w:u w:val="single"/>
        </w:rPr>
        <w:t xml:space="preserve">             </w:t>
      </w:r>
      <w:r>
        <w:rPr>
          <w:rFonts w:hint="eastAsia" w:ascii="宋体" w:hAnsi="宋体"/>
          <w:color w:val="auto"/>
          <w:sz w:val="30"/>
          <w:szCs w:val="30"/>
        </w:rPr>
        <w:t>项目名称</w:t>
      </w:r>
      <w:r>
        <w:rPr>
          <w:rFonts w:hint="eastAsia" w:ascii="宋体" w:hAnsi="宋体"/>
          <w:color w:val="auto"/>
          <w:sz w:val="30"/>
          <w:szCs w:val="30"/>
          <w:u w:val="single"/>
        </w:rPr>
        <w:t xml:space="preserve">：           </w:t>
      </w:r>
      <w:r>
        <w:rPr>
          <w:rFonts w:hint="eastAsia" w:ascii="宋体" w:hAnsi="宋体"/>
          <w:color w:val="auto"/>
          <w:sz w:val="30"/>
          <w:szCs w:val="30"/>
        </w:rPr>
        <w:t>项目的响应活动，并代表我方全权办理针对上述项目的响应、开启响应文件、评审、签约等具体事务和签署相关文件。我方对授权代表的签名事项负全部责任。</w:t>
      </w:r>
    </w:p>
    <w:p>
      <w:pPr>
        <w:snapToGrid w:val="0"/>
        <w:spacing w:before="120" w:beforeLines="50" w:after="50" w:line="460" w:lineRule="exact"/>
        <w:ind w:firstLine="480"/>
        <w:rPr>
          <w:rFonts w:ascii="宋体" w:hAnsi="宋体"/>
          <w:color w:val="auto"/>
          <w:sz w:val="30"/>
          <w:szCs w:val="30"/>
        </w:rPr>
      </w:pPr>
      <w:r>
        <w:rPr>
          <w:rFonts w:hint="eastAsia" w:ascii="宋体" w:hAnsi="宋体"/>
          <w:color w:val="auto"/>
          <w:sz w:val="30"/>
          <w:szCs w:val="30"/>
        </w:rPr>
        <w:t>在撤销授权的书面通知以前，本授权书一直有效。授权代表在授权书有效期内签署的所有文件不因授权的撤销而失效。</w:t>
      </w:r>
    </w:p>
    <w:p>
      <w:pPr>
        <w:snapToGrid w:val="0"/>
        <w:spacing w:before="120" w:beforeLines="50" w:after="50" w:line="460" w:lineRule="exact"/>
        <w:ind w:firstLine="480"/>
        <w:rPr>
          <w:rFonts w:ascii="宋体" w:hAnsi="宋体"/>
          <w:color w:val="auto"/>
          <w:sz w:val="30"/>
          <w:szCs w:val="30"/>
        </w:rPr>
      </w:pPr>
      <w:r>
        <w:rPr>
          <w:rFonts w:hint="eastAsia" w:ascii="宋体" w:hAnsi="宋体"/>
          <w:color w:val="auto"/>
          <w:sz w:val="30"/>
          <w:szCs w:val="30"/>
        </w:rPr>
        <w:t>授权代表无转委托权，特此委托。</w:t>
      </w:r>
    </w:p>
    <w:p>
      <w:pPr>
        <w:snapToGrid w:val="0"/>
        <w:spacing w:before="120" w:beforeLines="50" w:after="50" w:line="460" w:lineRule="exact"/>
        <w:ind w:firstLine="480"/>
        <w:rPr>
          <w:rFonts w:ascii="宋体" w:hAnsi="宋体"/>
          <w:color w:val="auto"/>
          <w:sz w:val="30"/>
          <w:szCs w:val="30"/>
        </w:rPr>
      </w:pPr>
    </w:p>
    <w:p>
      <w:pPr>
        <w:snapToGrid w:val="0"/>
        <w:spacing w:before="120" w:beforeLines="50" w:after="50" w:line="460" w:lineRule="exact"/>
        <w:ind w:firstLine="480"/>
        <w:rPr>
          <w:rFonts w:ascii="宋体" w:hAnsi="宋体"/>
          <w:color w:val="auto"/>
          <w:sz w:val="30"/>
          <w:szCs w:val="30"/>
        </w:rPr>
      </w:pPr>
    </w:p>
    <w:p>
      <w:pPr>
        <w:snapToGrid w:val="0"/>
        <w:spacing w:before="120" w:beforeLines="50" w:after="50" w:line="460" w:lineRule="exact"/>
        <w:rPr>
          <w:rFonts w:ascii="宋体" w:hAnsi="宋体"/>
          <w:color w:val="auto"/>
          <w:sz w:val="30"/>
          <w:szCs w:val="30"/>
        </w:rPr>
      </w:pPr>
      <w:r>
        <w:rPr>
          <w:rFonts w:hint="eastAsia" w:ascii="宋体" w:hAnsi="宋体"/>
          <w:color w:val="auto"/>
          <w:sz w:val="30"/>
          <w:szCs w:val="30"/>
        </w:rPr>
        <w:t>授权代表签名：     职务：       联系方式（手机号码）：</w:t>
      </w:r>
    </w:p>
    <w:p>
      <w:pPr>
        <w:snapToGrid w:val="0"/>
        <w:spacing w:before="120" w:beforeLines="50" w:after="50" w:line="460" w:lineRule="exact"/>
        <w:rPr>
          <w:rFonts w:hint="eastAsia" w:ascii="宋体" w:hAnsi="宋体"/>
          <w:color w:val="auto"/>
          <w:sz w:val="30"/>
          <w:szCs w:val="30"/>
        </w:rPr>
      </w:pPr>
      <w:r>
        <w:rPr>
          <w:rFonts w:hint="eastAsia" w:ascii="宋体" w:hAnsi="宋体"/>
          <w:color w:val="auto"/>
          <w:sz w:val="30"/>
          <w:szCs w:val="30"/>
        </w:rPr>
        <w:t>授权代表身份证号码（提供）</w:t>
      </w:r>
    </w:p>
    <w:p>
      <w:pPr>
        <w:snapToGrid w:val="0"/>
        <w:spacing w:before="120" w:beforeLines="50" w:after="50" w:line="460" w:lineRule="exact"/>
        <w:rPr>
          <w:rFonts w:hint="eastAsia" w:ascii="宋体" w:hAnsi="宋体"/>
          <w:color w:val="auto"/>
          <w:sz w:val="30"/>
          <w:szCs w:val="30"/>
        </w:rPr>
      </w:pPr>
      <w:r>
        <w:rPr>
          <w:rFonts w:hint="eastAsia" w:ascii="宋体" w:hAnsi="宋体"/>
          <w:color w:val="auto"/>
          <w:sz w:val="30"/>
          <w:szCs w:val="30"/>
        </w:rPr>
        <w:t>授权代表身份证复印件正反面：</w:t>
      </w:r>
    </w:p>
    <w:p>
      <w:pPr>
        <w:snapToGrid w:val="0"/>
        <w:spacing w:before="120" w:beforeLines="50" w:after="50" w:line="460" w:lineRule="exact"/>
        <w:rPr>
          <w:rFonts w:hint="eastAsia" w:ascii="宋体" w:hAnsi="宋体"/>
          <w:color w:val="auto"/>
          <w:sz w:val="30"/>
          <w:szCs w:val="30"/>
        </w:rPr>
      </w:pPr>
    </w:p>
    <w:p>
      <w:pPr>
        <w:snapToGrid w:val="0"/>
        <w:spacing w:before="120" w:beforeLines="50" w:after="50" w:line="460" w:lineRule="exact"/>
        <w:rPr>
          <w:rFonts w:hint="eastAsia" w:ascii="宋体" w:hAnsi="宋体"/>
          <w:color w:val="auto"/>
          <w:sz w:val="30"/>
          <w:szCs w:val="30"/>
        </w:rPr>
      </w:pPr>
    </w:p>
    <w:p>
      <w:pPr>
        <w:snapToGrid w:val="0"/>
        <w:spacing w:before="120" w:beforeLines="50" w:after="50" w:line="460" w:lineRule="exact"/>
        <w:rPr>
          <w:rFonts w:ascii="宋体" w:hAnsi="宋体"/>
          <w:color w:val="auto"/>
          <w:sz w:val="30"/>
          <w:szCs w:val="30"/>
        </w:rPr>
      </w:pPr>
      <w:r>
        <w:rPr>
          <w:rFonts w:hint="eastAsia" w:ascii="宋体" w:hAnsi="宋体"/>
          <w:color w:val="auto"/>
          <w:sz w:val="30"/>
          <w:szCs w:val="30"/>
        </w:rPr>
        <w:t>法定代表人签名（或签名章）：   职务：</w:t>
      </w:r>
    </w:p>
    <w:p>
      <w:pPr>
        <w:snapToGrid w:val="0"/>
        <w:spacing w:before="120" w:beforeLines="50" w:after="50" w:line="460" w:lineRule="exact"/>
        <w:rPr>
          <w:rFonts w:ascii="宋体" w:hAnsi="宋体"/>
          <w:color w:val="auto"/>
          <w:sz w:val="30"/>
          <w:szCs w:val="30"/>
        </w:rPr>
      </w:pPr>
    </w:p>
    <w:p>
      <w:pPr>
        <w:snapToGrid w:val="0"/>
        <w:spacing w:before="120" w:beforeLines="50" w:after="50" w:line="460" w:lineRule="exact"/>
        <w:ind w:firstLine="6150" w:firstLineChars="2050"/>
        <w:rPr>
          <w:rFonts w:ascii="宋体" w:hAnsi="宋体"/>
          <w:color w:val="auto"/>
          <w:sz w:val="30"/>
          <w:szCs w:val="30"/>
        </w:rPr>
      </w:pPr>
    </w:p>
    <w:p>
      <w:pPr>
        <w:snapToGrid w:val="0"/>
        <w:spacing w:before="120" w:beforeLines="50" w:after="50" w:line="460" w:lineRule="exact"/>
        <w:rPr>
          <w:rFonts w:hint="eastAsia" w:ascii="宋体" w:hAnsi="宋体"/>
          <w:color w:val="auto"/>
          <w:sz w:val="30"/>
          <w:szCs w:val="30"/>
        </w:rPr>
      </w:pPr>
      <w:r>
        <w:rPr>
          <w:rFonts w:hint="eastAsia" w:ascii="宋体" w:hAnsi="宋体"/>
          <w:color w:val="auto"/>
          <w:sz w:val="30"/>
          <w:szCs w:val="30"/>
        </w:rPr>
        <w:t>响应方全称（公章）：         日  期：</w:t>
      </w:r>
    </w:p>
    <w:p>
      <w:pPr>
        <w:snapToGrid w:val="0"/>
        <w:spacing w:line="440" w:lineRule="exact"/>
        <w:ind w:left="0" w:leftChars="0" w:firstLine="0" w:firstLineChars="0"/>
        <w:rPr>
          <w:rFonts w:hint="eastAsia" w:ascii="宋体" w:hAnsi="宋体"/>
          <w:color w:val="auto"/>
          <w:sz w:val="30"/>
          <w:szCs w:val="30"/>
        </w:rPr>
      </w:pPr>
      <w:r>
        <w:rPr>
          <w:rFonts w:hint="eastAsia" w:ascii="宋体" w:hAnsi="宋体"/>
          <w:color w:val="auto"/>
          <w:sz w:val="30"/>
          <w:szCs w:val="30"/>
        </w:rPr>
        <w:t>附件4：</w:t>
      </w:r>
    </w:p>
    <w:p>
      <w:pPr>
        <w:bidi w:val="0"/>
        <w:ind w:left="0" w:leftChars="0" w:firstLine="0" w:firstLineChars="0"/>
        <w:jc w:val="center"/>
        <w:rPr>
          <w:b/>
          <w:bCs/>
          <w:color w:val="auto"/>
          <w:sz w:val="40"/>
          <w:szCs w:val="28"/>
        </w:rPr>
      </w:pPr>
      <w:r>
        <w:rPr>
          <w:rFonts w:hint="eastAsia"/>
          <w:b/>
          <w:bCs/>
          <w:color w:val="auto"/>
          <w:sz w:val="40"/>
          <w:szCs w:val="28"/>
        </w:rPr>
        <w:t>承 诺 书</w:t>
      </w:r>
    </w:p>
    <w:p>
      <w:pPr>
        <w:pStyle w:val="9"/>
        <w:snapToGrid w:val="0"/>
        <w:jc w:val="center"/>
        <w:rPr>
          <w:rFonts w:ascii="宋体" w:hAnsi="宋体" w:cs="宋体"/>
          <w:b/>
          <w:color w:val="auto"/>
          <w:sz w:val="30"/>
          <w:szCs w:val="30"/>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b/>
          <w:bCs/>
          <w:color w:val="auto"/>
          <w:sz w:val="32"/>
          <w:szCs w:val="28"/>
        </w:rPr>
      </w:pPr>
      <w:bookmarkStart w:id="23" w:name="_Toc26147"/>
      <w:r>
        <w:rPr>
          <w:rFonts w:hint="eastAsia"/>
          <w:b/>
          <w:bCs/>
          <w:color w:val="auto"/>
          <w:sz w:val="32"/>
          <w:szCs w:val="28"/>
        </w:rPr>
        <w:t>浙江省政府采购中心：</w:t>
      </w:r>
      <w:bookmarkEnd w:id="23"/>
    </w:p>
    <w:p>
      <w:pPr>
        <w:keepNext w:val="0"/>
        <w:keepLines w:val="0"/>
        <w:pageBreakBefore w:val="0"/>
        <w:widowControl w:val="0"/>
        <w:kinsoku/>
        <w:wordWrap/>
        <w:overflowPunct/>
        <w:topLinePunct w:val="0"/>
        <w:autoSpaceDE/>
        <w:autoSpaceDN/>
        <w:bidi w:val="0"/>
        <w:adjustRightInd/>
        <w:snapToGrid/>
        <w:ind w:firstLine="640" w:firstLineChars="200"/>
        <w:textAlignment w:val="auto"/>
        <w:rPr>
          <w:color w:val="auto"/>
          <w:sz w:val="32"/>
          <w:szCs w:val="28"/>
        </w:rPr>
      </w:pPr>
      <w:r>
        <w:rPr>
          <w:rFonts w:hint="eastAsia"/>
          <w:color w:val="auto"/>
          <w:sz w:val="32"/>
          <w:szCs w:val="28"/>
        </w:rPr>
        <w:t>根据</w:t>
      </w:r>
      <w:r>
        <w:rPr>
          <w:rFonts w:hint="eastAsia"/>
          <w:color w:val="auto"/>
          <w:sz w:val="32"/>
          <w:szCs w:val="28"/>
          <w:lang w:eastAsia="zh-CN"/>
        </w:rPr>
        <w:t>2025年度浙江省预算单位服务器封闭式框架协议采购</w:t>
      </w:r>
      <w:r>
        <w:rPr>
          <w:rFonts w:hint="eastAsia"/>
          <w:color w:val="auto"/>
          <w:sz w:val="32"/>
          <w:szCs w:val="28"/>
        </w:rPr>
        <w:t>（项目编号：</w:t>
      </w:r>
      <w:r>
        <w:rPr>
          <w:rFonts w:hint="eastAsia"/>
          <w:color w:val="auto"/>
          <w:sz w:val="32"/>
          <w:szCs w:val="28"/>
          <w:u w:val="single"/>
        </w:rPr>
        <w:t xml:space="preserve">                  </w:t>
      </w:r>
      <w:r>
        <w:rPr>
          <w:rFonts w:hint="eastAsia"/>
          <w:color w:val="auto"/>
          <w:sz w:val="32"/>
          <w:szCs w:val="28"/>
          <w:lang w:eastAsia="zh-CN"/>
        </w:rPr>
        <w:t>采购包</w:t>
      </w:r>
      <w:r>
        <w:rPr>
          <w:rFonts w:hint="eastAsia"/>
          <w:color w:val="auto"/>
          <w:sz w:val="32"/>
          <w:szCs w:val="28"/>
          <w:u w:val="single"/>
        </w:rPr>
        <w:t xml:space="preserve">    </w:t>
      </w:r>
      <w:r>
        <w:rPr>
          <w:rFonts w:hint="eastAsia"/>
          <w:color w:val="auto"/>
          <w:sz w:val="32"/>
          <w:szCs w:val="28"/>
        </w:rPr>
        <w:t>）要求，我公司及代表代理商在入围范围内郑重承诺如下：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一、我公司为□生产制造厂商□</w:t>
      </w:r>
      <w:r>
        <w:rPr>
          <w:rFonts w:hint="eastAsia"/>
          <w:color w:val="auto"/>
          <w:sz w:val="32"/>
          <w:szCs w:val="28"/>
          <w:lang w:val="en-US" w:eastAsia="zh-CN"/>
        </w:rPr>
        <w:t>或</w:t>
      </w:r>
      <w:r>
        <w:rPr>
          <w:rFonts w:hint="eastAsia"/>
          <w:color w:val="auto"/>
          <w:sz w:val="32"/>
          <w:szCs w:val="28"/>
          <w:lang w:val="zh-CN"/>
        </w:rPr>
        <w:t>其唯一授权供应商</w:t>
      </w:r>
      <w:r>
        <w:rPr>
          <w:rFonts w:hint="eastAsia"/>
          <w:color w:val="auto"/>
          <w:sz w:val="32"/>
          <w:szCs w:val="28"/>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color w:val="auto"/>
          <w:sz w:val="32"/>
          <w:szCs w:val="28"/>
        </w:rPr>
      </w:pPr>
      <w:r>
        <w:rPr>
          <w:rFonts w:hint="eastAsia"/>
          <w:color w:val="auto"/>
          <w:sz w:val="32"/>
          <w:szCs w:val="28"/>
        </w:rPr>
        <w:t>二、我公司及代表代理商保证对自身及在协议履行期间的行为（销售、结算、售后服务等）承担责任，保证如发现我公司或代理商因自身原因违反征集文件、响应文件、协议的有关规定或承诺，浙江省财政厅、浙江省政府采购中心可以根据上述文件材料规定作出处理，各级政府采购监督管理部门有权根据《中华人民共和国政府采购法》等法律法规对我公司、代理供应商进行处罚，直至取消我公司入围资格、代理商供货资格，情节严重的，列入政府采购不良供应商名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color w:val="auto"/>
          <w:sz w:val="32"/>
          <w:szCs w:val="28"/>
        </w:rPr>
      </w:pPr>
      <w:r>
        <w:rPr>
          <w:rFonts w:hint="eastAsia"/>
          <w:color w:val="auto"/>
          <w:sz w:val="32"/>
          <w:szCs w:val="28"/>
        </w:rPr>
        <w:t>三、我公司及代表代理商承诺按照征集文件、《</w:t>
      </w:r>
      <w:r>
        <w:rPr>
          <w:rFonts w:hint="eastAsia"/>
          <w:color w:val="auto"/>
          <w:sz w:val="32"/>
          <w:szCs w:val="28"/>
          <w:lang w:eastAsia="zh-CN"/>
        </w:rPr>
        <w:t>2025年度浙江省预算单位服务器封闭式框架协议</w:t>
      </w:r>
      <w:r>
        <w:rPr>
          <w:rFonts w:hint="eastAsia"/>
          <w:color w:val="auto"/>
          <w:sz w:val="32"/>
          <w:szCs w:val="28"/>
        </w:rPr>
        <w:t>》</w:t>
      </w:r>
      <w:r>
        <w:rPr>
          <w:rFonts w:hint="eastAsia"/>
          <w:color w:val="auto"/>
          <w:sz w:val="32"/>
          <w:szCs w:val="28"/>
          <w:lang w:eastAsia="zh-CN"/>
        </w:rPr>
        <w:t>、财库〔2023〕29号文件相关</w:t>
      </w:r>
      <w:r>
        <w:rPr>
          <w:rFonts w:hint="eastAsia"/>
          <w:color w:val="auto"/>
          <w:sz w:val="32"/>
          <w:szCs w:val="28"/>
        </w:rPr>
        <w:t>要求执行。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四、我公司及代表代理商承诺本协议中所供</w:t>
      </w:r>
      <w:r>
        <w:rPr>
          <w:rFonts w:hint="eastAsia"/>
          <w:color w:val="auto"/>
          <w:sz w:val="32"/>
          <w:szCs w:val="28"/>
          <w:lang w:eastAsia="zh-CN"/>
        </w:rPr>
        <w:t>产品</w:t>
      </w:r>
      <w:r>
        <w:rPr>
          <w:rFonts w:hint="eastAsia"/>
          <w:color w:val="auto"/>
          <w:sz w:val="32"/>
          <w:szCs w:val="28"/>
        </w:rPr>
        <w:t>均可在中国境内合法销售，并具有相应的经营资质。</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b/>
          <w:bCs/>
          <w:color w:val="auto"/>
          <w:sz w:val="32"/>
          <w:szCs w:val="28"/>
          <w:lang w:eastAsia="zh-CN"/>
        </w:rPr>
      </w:pPr>
      <w:r>
        <w:rPr>
          <w:rFonts w:hint="eastAsia"/>
          <w:b/>
          <w:bCs/>
          <w:color w:val="auto"/>
          <w:sz w:val="32"/>
          <w:szCs w:val="28"/>
          <w:lang w:eastAsia="zh-CN"/>
        </w:rPr>
        <w:t>五、我公司承诺所有产品价格不高于市场价，承诺在本次采购项目中，我公司的响应产品在同一地方的报价低于其他任何非政府采购或市场平均价格。框架协议有效期内，如果入围产品降价，自发布调整通知或媒体广告起计算，不超过两个工作日向采购中心申请降低价格，且承诺调整后的价格低于其他任何非政府采购或市场平均价格。</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b/>
          <w:bCs/>
          <w:color w:val="auto"/>
          <w:sz w:val="32"/>
          <w:szCs w:val="28"/>
        </w:rPr>
      </w:pPr>
      <w:r>
        <w:rPr>
          <w:rFonts w:hint="eastAsia"/>
          <w:b/>
          <w:bCs/>
          <w:color w:val="auto"/>
          <w:sz w:val="32"/>
          <w:szCs w:val="28"/>
        </w:rPr>
        <w:t>六、我公司承诺若被查到产品价格高于市场价，将于</w:t>
      </w:r>
      <w:r>
        <w:rPr>
          <w:rFonts w:hint="eastAsia"/>
          <w:b/>
          <w:bCs/>
          <w:color w:val="auto"/>
          <w:sz w:val="32"/>
          <w:szCs w:val="28"/>
          <w:lang w:val="en-US" w:eastAsia="zh-CN"/>
        </w:rPr>
        <w:t>两</w:t>
      </w:r>
      <w:r>
        <w:rPr>
          <w:rFonts w:hint="eastAsia"/>
          <w:b/>
          <w:bCs/>
          <w:color w:val="auto"/>
          <w:sz w:val="32"/>
          <w:szCs w:val="28"/>
        </w:rPr>
        <w:t>个工作日内完成调价，如未按时调整，接受暂停本项目框架协议资格的处理。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color w:val="auto"/>
          <w:sz w:val="32"/>
          <w:szCs w:val="28"/>
        </w:rPr>
      </w:pPr>
      <w:r>
        <w:rPr>
          <w:rFonts w:hint="eastAsia"/>
          <w:color w:val="auto"/>
          <w:sz w:val="32"/>
          <w:szCs w:val="28"/>
          <w:lang w:val="en-US" w:eastAsia="zh-CN"/>
        </w:rPr>
        <w:t>七</w:t>
      </w:r>
      <w:r>
        <w:rPr>
          <w:rFonts w:hint="eastAsia"/>
          <w:color w:val="auto"/>
          <w:sz w:val="32"/>
          <w:szCs w:val="28"/>
        </w:rPr>
        <w:t>、我公司24小时服务电话</w:t>
      </w:r>
      <w:r>
        <w:rPr>
          <w:rFonts w:hint="eastAsia"/>
          <w:color w:val="auto"/>
          <w:sz w:val="32"/>
          <w:szCs w:val="28"/>
          <w:lang w:eastAsia="zh-CN"/>
        </w:rPr>
        <w:t>：</w:t>
      </w:r>
      <w:r>
        <w:rPr>
          <w:rFonts w:hint="eastAsia"/>
          <w:color w:val="auto"/>
          <w:sz w:val="32"/>
          <w:szCs w:val="28"/>
          <w:u w:val="single"/>
        </w:rPr>
        <w:t xml:space="preserve">               </w:t>
      </w:r>
      <w:r>
        <w:rPr>
          <w:rFonts w:hint="eastAsia"/>
          <w:color w:val="auto"/>
          <w:sz w:val="32"/>
          <w:szCs w:val="28"/>
        </w:rPr>
        <w:t>，浙江省总协调人：</w:t>
      </w:r>
      <w:r>
        <w:rPr>
          <w:rFonts w:hint="eastAsia"/>
          <w:color w:val="auto"/>
          <w:sz w:val="32"/>
          <w:szCs w:val="28"/>
          <w:u w:val="single"/>
        </w:rPr>
        <w:t xml:space="preserve">               </w:t>
      </w:r>
      <w:r>
        <w:rPr>
          <w:rFonts w:hint="eastAsia"/>
          <w:color w:val="auto"/>
          <w:sz w:val="32"/>
          <w:szCs w:val="28"/>
        </w:rPr>
        <w:t>，职务：</w:t>
      </w:r>
      <w:r>
        <w:rPr>
          <w:rFonts w:hint="eastAsia"/>
          <w:color w:val="auto"/>
          <w:sz w:val="32"/>
          <w:szCs w:val="28"/>
          <w:u w:val="single"/>
        </w:rPr>
        <w:t xml:space="preserve">               </w:t>
      </w:r>
      <w:r>
        <w:rPr>
          <w:rFonts w:hint="eastAsia"/>
          <w:color w:val="auto"/>
          <w:sz w:val="32"/>
          <w:szCs w:val="28"/>
        </w:rPr>
        <w:t>，办公电话：</w:t>
      </w:r>
      <w:r>
        <w:rPr>
          <w:rFonts w:hint="eastAsia"/>
          <w:color w:val="auto"/>
          <w:sz w:val="32"/>
          <w:szCs w:val="28"/>
          <w:u w:val="single"/>
        </w:rPr>
        <w:t xml:space="preserve">               </w:t>
      </w:r>
      <w:r>
        <w:rPr>
          <w:rFonts w:hint="eastAsia"/>
          <w:color w:val="auto"/>
          <w:sz w:val="32"/>
          <w:szCs w:val="28"/>
        </w:rPr>
        <w:t>，手机：</w:t>
      </w:r>
      <w:r>
        <w:rPr>
          <w:rFonts w:hint="eastAsia"/>
          <w:color w:val="auto"/>
          <w:sz w:val="32"/>
          <w:szCs w:val="28"/>
          <w:u w:val="single"/>
        </w:rPr>
        <w:t xml:space="preserve">               </w:t>
      </w:r>
      <w:r>
        <w:rPr>
          <w:rFonts w:hint="eastAsia"/>
          <w:color w:val="auto"/>
          <w:sz w:val="32"/>
          <w:szCs w:val="28"/>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color w:val="auto"/>
          <w:sz w:val="32"/>
          <w:szCs w:val="28"/>
        </w:rPr>
      </w:pPr>
      <w:r>
        <w:rPr>
          <w:rFonts w:hint="eastAsia"/>
          <w:color w:val="auto"/>
          <w:sz w:val="32"/>
          <w:szCs w:val="28"/>
          <w:lang w:val="en-US" w:eastAsia="zh-CN"/>
        </w:rPr>
        <w:t>八</w:t>
      </w:r>
      <w:r>
        <w:rPr>
          <w:rFonts w:hint="eastAsia"/>
          <w:color w:val="auto"/>
          <w:sz w:val="32"/>
          <w:szCs w:val="28"/>
        </w:rPr>
        <w:t>、我公司同意为实施政府采购工作的需要，贵方可以在有关网站和相关文件上公布</w:t>
      </w:r>
      <w:r>
        <w:rPr>
          <w:rFonts w:hint="eastAsia"/>
          <w:color w:val="auto"/>
          <w:sz w:val="32"/>
          <w:szCs w:val="28"/>
          <w:lang w:val="en-US" w:eastAsia="zh-CN"/>
        </w:rPr>
        <w:t>服务器</w:t>
      </w:r>
      <w:r>
        <w:rPr>
          <w:rFonts w:hint="eastAsia"/>
          <w:color w:val="auto"/>
          <w:sz w:val="32"/>
          <w:szCs w:val="28"/>
        </w:rPr>
        <w:t>的型号、价格以及相关信息。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color w:val="auto"/>
          <w:sz w:val="32"/>
          <w:szCs w:val="28"/>
        </w:rPr>
      </w:pPr>
      <w:bookmarkStart w:id="24" w:name="_Toc31982"/>
      <w:r>
        <w:rPr>
          <w:rFonts w:hint="eastAsia"/>
          <w:color w:val="auto"/>
          <w:sz w:val="32"/>
          <w:szCs w:val="28"/>
          <w:lang w:val="en-US" w:eastAsia="zh-CN"/>
        </w:rPr>
        <w:t>九</w:t>
      </w:r>
      <w:r>
        <w:rPr>
          <w:rFonts w:hint="eastAsia"/>
          <w:color w:val="auto"/>
          <w:sz w:val="32"/>
          <w:szCs w:val="28"/>
        </w:rPr>
        <w:t>、贵方决定延长供货有效期，可通过“浙江政府采购网”公示，我公司及代表代理商承诺若未在七日内提出书面异议的，即为接受贵方的要求。</w:t>
      </w:r>
      <w:bookmarkEnd w:id="24"/>
    </w:p>
    <w:p>
      <w:pPr>
        <w:keepNext w:val="0"/>
        <w:keepLines w:val="0"/>
        <w:pageBreakBefore w:val="0"/>
        <w:widowControl w:val="0"/>
        <w:kinsoku/>
        <w:wordWrap/>
        <w:overflowPunct/>
        <w:topLinePunct w:val="0"/>
        <w:autoSpaceDE/>
        <w:autoSpaceDN/>
        <w:bidi w:val="0"/>
        <w:adjustRightInd/>
        <w:snapToGrid/>
        <w:ind w:firstLine="640" w:firstLineChars="200"/>
        <w:textAlignment w:val="auto"/>
        <w:rPr>
          <w:color w:val="auto"/>
          <w:sz w:val="32"/>
          <w:szCs w:val="28"/>
        </w:rPr>
      </w:pPr>
      <w:bookmarkStart w:id="25" w:name="_Toc24488"/>
      <w:r>
        <w:rPr>
          <w:rFonts w:hint="eastAsia"/>
          <w:color w:val="auto"/>
          <w:sz w:val="32"/>
          <w:szCs w:val="28"/>
          <w:lang w:val="en-US" w:eastAsia="zh-CN"/>
        </w:rPr>
        <w:t>十</w:t>
      </w:r>
      <w:r>
        <w:rPr>
          <w:rFonts w:hint="eastAsia"/>
          <w:color w:val="auto"/>
          <w:sz w:val="32"/>
          <w:szCs w:val="28"/>
        </w:rPr>
        <w:t>、我公司及代表代理商承诺无条件满足征集文件的各项要求。</w:t>
      </w:r>
      <w:bookmarkEnd w:id="25"/>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bookmarkStart w:id="26" w:name="_Toc22172"/>
      <w:r>
        <w:rPr>
          <w:rFonts w:hint="eastAsia"/>
          <w:color w:val="auto"/>
          <w:sz w:val="32"/>
          <w:szCs w:val="28"/>
        </w:rPr>
        <w:t>十</w:t>
      </w:r>
      <w:r>
        <w:rPr>
          <w:rFonts w:hint="eastAsia"/>
          <w:color w:val="auto"/>
          <w:sz w:val="32"/>
          <w:szCs w:val="28"/>
          <w:lang w:val="en-US" w:eastAsia="zh-CN"/>
        </w:rPr>
        <w:t>一</w:t>
      </w:r>
      <w:r>
        <w:rPr>
          <w:rFonts w:hint="eastAsia"/>
          <w:color w:val="auto"/>
          <w:sz w:val="32"/>
          <w:szCs w:val="28"/>
        </w:rPr>
        <w:t>、我公司及代表代理商承诺按照国家、地方最新政策标准执行。</w:t>
      </w:r>
      <w:bookmarkEnd w:id="26"/>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bookmarkStart w:id="27" w:name="_Toc5901"/>
      <w:r>
        <w:rPr>
          <w:rFonts w:hint="eastAsia"/>
          <w:color w:val="auto"/>
          <w:sz w:val="32"/>
          <w:szCs w:val="28"/>
        </w:rPr>
        <w:t>十</w:t>
      </w:r>
      <w:r>
        <w:rPr>
          <w:rFonts w:hint="eastAsia"/>
          <w:color w:val="auto"/>
          <w:sz w:val="32"/>
          <w:szCs w:val="28"/>
          <w:lang w:val="en-US" w:eastAsia="zh-CN"/>
        </w:rPr>
        <w:t>二</w:t>
      </w:r>
      <w:r>
        <w:rPr>
          <w:rFonts w:hint="eastAsia"/>
          <w:color w:val="auto"/>
          <w:sz w:val="32"/>
          <w:szCs w:val="28"/>
        </w:rPr>
        <w:t>、我公司及代表代理商承诺向采购人提供商品及相关快递服务的，其包装要参考财政部办公厅、生态环境部办公厅、国家邮政局办公室印发的《商品包装政府采购需求标准（试行）</w:t>
      </w:r>
      <w:r>
        <w:rPr>
          <w:rFonts w:hint="eastAsia"/>
          <w:color w:val="auto"/>
          <w:sz w:val="32"/>
          <w:szCs w:val="28"/>
          <w:lang w:eastAsia="zh-CN"/>
        </w:rPr>
        <w:t>》《</w:t>
      </w:r>
      <w:r>
        <w:rPr>
          <w:rFonts w:hint="eastAsia"/>
          <w:color w:val="auto"/>
          <w:sz w:val="32"/>
          <w:szCs w:val="28"/>
        </w:rPr>
        <w:t>快递包装政府采购需求标准（试行）》（财办库〔2020〕123号文件）。</w:t>
      </w:r>
      <w:bookmarkEnd w:id="27"/>
    </w:p>
    <w:p>
      <w:pPr>
        <w:keepNext w:val="0"/>
        <w:keepLines w:val="0"/>
        <w:pageBreakBefore w:val="0"/>
        <w:widowControl w:val="0"/>
        <w:kinsoku/>
        <w:wordWrap/>
        <w:overflowPunct/>
        <w:topLinePunct w:val="0"/>
        <w:autoSpaceDE/>
        <w:autoSpaceDN/>
        <w:bidi w:val="0"/>
        <w:adjustRightInd/>
        <w:snapToGrid/>
        <w:ind w:firstLine="640" w:firstLineChars="200"/>
        <w:textAlignment w:val="auto"/>
        <w:rPr>
          <w:color w:val="auto"/>
          <w:sz w:val="32"/>
          <w:szCs w:val="28"/>
        </w:rPr>
      </w:pPr>
      <w:bookmarkStart w:id="28" w:name="_Toc7618"/>
      <w:r>
        <w:rPr>
          <w:rFonts w:hint="eastAsia"/>
          <w:color w:val="auto"/>
          <w:sz w:val="32"/>
          <w:szCs w:val="28"/>
        </w:rPr>
        <w:t>十</w:t>
      </w:r>
      <w:r>
        <w:rPr>
          <w:rFonts w:hint="eastAsia"/>
          <w:color w:val="auto"/>
          <w:sz w:val="32"/>
          <w:szCs w:val="28"/>
          <w:lang w:val="en-US" w:eastAsia="zh-CN"/>
        </w:rPr>
        <w:t>三</w:t>
      </w:r>
      <w:r>
        <w:rPr>
          <w:rFonts w:hint="eastAsia"/>
          <w:color w:val="auto"/>
          <w:sz w:val="32"/>
          <w:szCs w:val="28"/>
        </w:rPr>
        <w:t>、我公司及代表代理商承诺对获知的所有有形、无形的信息及资料（包括但不限于双方的往来书面文字文件、电子邮件及信息、软盘资料等）中的商业秘密或国家秘密承担保密义务。我公司承诺按照采购人的需要签订保密协议。</w:t>
      </w:r>
      <w:bookmarkEnd w:id="28"/>
    </w:p>
    <w:p>
      <w:pPr>
        <w:keepNext w:val="0"/>
        <w:keepLines w:val="0"/>
        <w:pageBreakBefore w:val="0"/>
        <w:widowControl w:val="0"/>
        <w:kinsoku/>
        <w:wordWrap/>
        <w:overflowPunct/>
        <w:topLinePunct w:val="0"/>
        <w:autoSpaceDE/>
        <w:autoSpaceDN/>
        <w:bidi w:val="0"/>
        <w:adjustRightInd/>
        <w:snapToGrid/>
        <w:ind w:firstLine="640" w:firstLineChars="200"/>
        <w:textAlignment w:val="auto"/>
        <w:rPr>
          <w:color w:val="auto"/>
          <w:sz w:val="32"/>
          <w:szCs w:val="28"/>
        </w:rPr>
      </w:pPr>
      <w:bookmarkStart w:id="29" w:name="_Toc18873"/>
      <w:r>
        <w:rPr>
          <w:rFonts w:hint="eastAsia"/>
          <w:color w:val="auto"/>
          <w:sz w:val="32"/>
          <w:szCs w:val="28"/>
        </w:rPr>
        <w:t>十</w:t>
      </w:r>
      <w:r>
        <w:rPr>
          <w:rFonts w:hint="eastAsia"/>
          <w:color w:val="auto"/>
          <w:sz w:val="32"/>
          <w:szCs w:val="28"/>
          <w:lang w:val="en-US" w:eastAsia="zh-CN"/>
        </w:rPr>
        <w:t>四</w:t>
      </w:r>
      <w:r>
        <w:rPr>
          <w:rFonts w:hint="eastAsia"/>
          <w:color w:val="auto"/>
          <w:sz w:val="32"/>
          <w:szCs w:val="28"/>
        </w:rPr>
        <w:t>、我公司及代表代理商谨承诺，除上述内容外，响应文件中全部信息及承诺内容以及在浙江政府采购网所填报的全部信息将成为本协议不可分割的一部分。</w:t>
      </w:r>
      <w:bookmarkEnd w:id="29"/>
    </w:p>
    <w:p>
      <w:pPr>
        <w:keepNext w:val="0"/>
        <w:keepLines w:val="0"/>
        <w:pageBreakBefore w:val="0"/>
        <w:widowControl w:val="0"/>
        <w:kinsoku/>
        <w:wordWrap/>
        <w:overflowPunct/>
        <w:topLinePunct w:val="0"/>
        <w:autoSpaceDE/>
        <w:autoSpaceDN/>
        <w:bidi w:val="0"/>
        <w:adjustRightInd/>
        <w:snapToGrid/>
        <w:ind w:firstLine="640" w:firstLineChars="200"/>
        <w:textAlignment w:val="auto"/>
        <w:rPr>
          <w:color w:val="auto"/>
          <w:sz w:val="32"/>
          <w:szCs w:val="28"/>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28"/>
        </w:rPr>
      </w:pPr>
      <w:r>
        <w:rPr>
          <w:rFonts w:hint="eastAsia"/>
          <w:color w:val="auto"/>
          <w:sz w:val="32"/>
          <w:szCs w:val="28"/>
        </w:rPr>
        <w:t>生产制造厂商授权的所有代理商视同承诺以上内容，本协议自我公司签字之日起至协议期满有效。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color w:val="auto"/>
          <w:sz w:val="32"/>
          <w:szCs w:val="28"/>
        </w:rPr>
      </w:pP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color w:val="auto"/>
          <w:sz w:val="32"/>
          <w:szCs w:val="28"/>
        </w:rPr>
      </w:pPr>
      <w:r>
        <w:rPr>
          <w:rFonts w:hint="eastAsia"/>
          <w:color w:val="auto"/>
          <w:sz w:val="32"/>
          <w:szCs w:val="28"/>
        </w:rPr>
        <w:t>承诺单位（盖章）：</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color w:val="auto"/>
          <w:sz w:val="32"/>
          <w:szCs w:val="28"/>
        </w:rPr>
      </w:pPr>
      <w:r>
        <w:rPr>
          <w:rFonts w:hint="eastAsia"/>
          <w:color w:val="auto"/>
          <w:sz w:val="32"/>
          <w:szCs w:val="28"/>
        </w:rPr>
        <w:t>日期：   年  月  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color w:val="auto"/>
          <w:sz w:val="32"/>
          <w:szCs w:val="28"/>
        </w:rPr>
      </w:pPr>
      <w:r>
        <w:rPr>
          <w:rFonts w:hint="eastAsia"/>
          <w:color w:val="auto"/>
          <w:sz w:val="32"/>
          <w:szCs w:val="28"/>
        </w:rPr>
        <w:t>（注： 1.□为 “√”打勾单选项，响应方不得删除和改动上述内容）</w:t>
      </w:r>
    </w:p>
    <w:p>
      <w:pPr>
        <w:snapToGrid w:val="0"/>
        <w:spacing w:before="120" w:beforeLines="50" w:after="50"/>
        <w:ind w:left="0" w:leftChars="0" w:firstLine="0" w:firstLineChars="0"/>
        <w:rPr>
          <w:rFonts w:ascii="宋体" w:hAnsi="宋体"/>
          <w:b/>
          <w:color w:val="auto"/>
          <w:sz w:val="30"/>
          <w:szCs w:val="30"/>
        </w:rPr>
      </w:pPr>
      <w:r>
        <w:rPr>
          <w:rFonts w:ascii="宋体" w:hAnsi="宋体"/>
          <w:color w:val="auto"/>
          <w:sz w:val="30"/>
          <w:szCs w:val="30"/>
        </w:rPr>
        <w:br w:type="page"/>
      </w:r>
      <w:r>
        <w:rPr>
          <w:rFonts w:hint="eastAsia" w:ascii="宋体" w:hAnsi="宋体"/>
          <w:color w:val="auto"/>
          <w:sz w:val="30"/>
          <w:szCs w:val="30"/>
        </w:rPr>
        <w:t>附件5</w:t>
      </w:r>
      <w:r>
        <w:rPr>
          <w:rFonts w:hint="eastAsia" w:ascii="宋体" w:hAnsi="宋体"/>
          <w:b/>
          <w:color w:val="auto"/>
          <w:sz w:val="30"/>
          <w:szCs w:val="30"/>
        </w:rPr>
        <w:t xml:space="preserve">：                                          </w:t>
      </w:r>
      <w:r>
        <w:rPr>
          <w:rFonts w:hint="eastAsia" w:ascii="宋体" w:hAnsi="宋体"/>
          <w:bCs/>
          <w:color w:val="auto"/>
          <w:sz w:val="30"/>
          <w:szCs w:val="30"/>
        </w:rPr>
        <w:t>正本或副本</w:t>
      </w:r>
    </w:p>
    <w:p>
      <w:pPr>
        <w:keepNext w:val="0"/>
        <w:keepLines w:val="0"/>
        <w:pageBreakBefore w:val="0"/>
        <w:widowControl w:val="0"/>
        <w:kinsoku/>
        <w:wordWrap/>
        <w:overflowPunct/>
        <w:topLinePunct w:val="0"/>
        <w:autoSpaceDE/>
        <w:autoSpaceDN/>
        <w:bidi w:val="0"/>
        <w:adjustRightInd/>
        <w:spacing w:line="1000" w:lineRule="exact"/>
        <w:ind w:left="0" w:leftChars="0" w:right="-110" w:firstLine="0" w:firstLineChars="0"/>
        <w:jc w:val="center"/>
        <w:textAlignment w:val="auto"/>
        <w:rPr>
          <w:rFonts w:ascii="宋体" w:hAnsi="宋体"/>
          <w:color w:val="auto"/>
          <w:spacing w:val="40"/>
          <w:sz w:val="52"/>
          <w:szCs w:val="52"/>
        </w:rPr>
      </w:pPr>
      <w:r>
        <w:rPr>
          <w:rFonts w:hint="eastAsia" w:ascii="宋体" w:hAnsi="宋体"/>
          <w:color w:val="auto"/>
          <w:spacing w:val="40"/>
          <w:sz w:val="52"/>
          <w:szCs w:val="52"/>
        </w:rPr>
        <w:t>项目名称</w:t>
      </w:r>
    </w:p>
    <w:p>
      <w:pPr>
        <w:keepNext w:val="0"/>
        <w:keepLines w:val="0"/>
        <w:pageBreakBefore w:val="0"/>
        <w:widowControl w:val="0"/>
        <w:kinsoku/>
        <w:wordWrap/>
        <w:overflowPunct/>
        <w:topLinePunct w:val="0"/>
        <w:autoSpaceDE/>
        <w:autoSpaceDN/>
        <w:bidi w:val="0"/>
        <w:adjustRightInd/>
        <w:spacing w:before="240" w:beforeLines="100" w:line="1000" w:lineRule="exact"/>
        <w:ind w:left="0" w:leftChars="0" w:firstLine="0" w:firstLineChars="0"/>
        <w:jc w:val="center"/>
        <w:textAlignment w:val="auto"/>
        <w:rPr>
          <w:rFonts w:hint="eastAsia" w:ascii="宋体" w:hAnsi="宋体"/>
          <w:color w:val="auto"/>
          <w:sz w:val="36"/>
          <w:szCs w:val="36"/>
        </w:rPr>
      </w:pPr>
      <w:r>
        <w:rPr>
          <w:rFonts w:hint="eastAsia" w:ascii="宋体" w:hAnsi="宋体"/>
          <w:color w:val="auto"/>
          <w:sz w:val="36"/>
          <w:szCs w:val="36"/>
        </w:rPr>
        <w:t>项目编号：ZZCG202</w:t>
      </w:r>
      <w:r>
        <w:rPr>
          <w:rFonts w:hint="eastAsia" w:ascii="宋体" w:hAnsi="宋体"/>
          <w:color w:val="auto"/>
          <w:sz w:val="36"/>
          <w:szCs w:val="36"/>
          <w:lang w:val="en-US" w:eastAsia="zh-CN"/>
        </w:rPr>
        <w:t>4J</w:t>
      </w:r>
      <w:r>
        <w:rPr>
          <w:rFonts w:hint="eastAsia" w:ascii="宋体" w:hAnsi="宋体"/>
          <w:color w:val="auto"/>
          <w:sz w:val="36"/>
          <w:szCs w:val="36"/>
        </w:rPr>
        <w:t>-</w:t>
      </w:r>
      <w:r>
        <w:rPr>
          <w:rFonts w:hint="eastAsia" w:ascii="宋体" w:hAnsi="宋体"/>
          <w:color w:val="auto"/>
          <w:sz w:val="36"/>
          <w:szCs w:val="36"/>
          <w:lang w:val="en-US" w:eastAsia="zh-CN"/>
        </w:rPr>
        <w:t>ZJ</w:t>
      </w:r>
      <w:r>
        <w:rPr>
          <w:rFonts w:hint="eastAsia" w:ascii="宋体" w:hAnsi="宋体"/>
          <w:color w:val="auto"/>
          <w:sz w:val="36"/>
          <w:szCs w:val="36"/>
        </w:rPr>
        <w:t>-00</w:t>
      </w:r>
      <w:r>
        <w:rPr>
          <w:rFonts w:hint="eastAsia" w:ascii="宋体" w:hAnsi="宋体"/>
          <w:color w:val="auto"/>
          <w:sz w:val="36"/>
          <w:szCs w:val="36"/>
          <w:lang w:val="en-US" w:eastAsia="zh-CN"/>
        </w:rPr>
        <w:t>4</w:t>
      </w:r>
      <w:r>
        <w:rPr>
          <w:rFonts w:hint="eastAsia" w:ascii="宋体" w:hAnsi="宋体"/>
          <w:color w:val="auto"/>
          <w:sz w:val="36"/>
          <w:szCs w:val="36"/>
        </w:rPr>
        <w:t>（</w:t>
      </w:r>
      <w:r>
        <w:rPr>
          <w:rFonts w:hint="eastAsia" w:ascii="宋体" w:hAnsi="宋体"/>
          <w:color w:val="auto"/>
          <w:sz w:val="36"/>
          <w:szCs w:val="36"/>
          <w:lang w:eastAsia="zh-CN"/>
        </w:rPr>
        <w:t>采购包</w:t>
      </w:r>
      <w:r>
        <w:rPr>
          <w:rFonts w:hint="eastAsia" w:ascii="宋体" w:hAnsi="宋体"/>
          <w:color w:val="auto"/>
          <w:sz w:val="36"/>
          <w:szCs w:val="36"/>
        </w:rPr>
        <w:t>）</w:t>
      </w:r>
    </w:p>
    <w:p>
      <w:pPr>
        <w:keepNext w:val="0"/>
        <w:keepLines w:val="0"/>
        <w:pageBreakBefore w:val="0"/>
        <w:widowControl w:val="0"/>
        <w:kinsoku/>
        <w:wordWrap/>
        <w:overflowPunct/>
        <w:topLinePunct w:val="0"/>
        <w:autoSpaceDE/>
        <w:autoSpaceDN/>
        <w:bidi w:val="0"/>
        <w:adjustRightInd/>
        <w:spacing w:before="240" w:beforeLines="100" w:line="1000" w:lineRule="exact"/>
        <w:ind w:left="0" w:leftChars="0" w:firstLine="0" w:firstLineChars="0"/>
        <w:jc w:val="center"/>
        <w:textAlignment w:val="auto"/>
        <w:rPr>
          <w:rFonts w:hint="eastAsia" w:ascii="宋体" w:hAnsi="宋体"/>
          <w:color w:val="auto"/>
          <w:sz w:val="36"/>
          <w:szCs w:val="36"/>
        </w:rPr>
      </w:pPr>
    </w:p>
    <w:p>
      <w:pPr>
        <w:keepNext w:val="0"/>
        <w:keepLines w:val="0"/>
        <w:pageBreakBefore w:val="0"/>
        <w:widowControl w:val="0"/>
        <w:kinsoku/>
        <w:wordWrap/>
        <w:overflowPunct/>
        <w:topLinePunct w:val="0"/>
        <w:autoSpaceDE/>
        <w:autoSpaceDN/>
        <w:bidi w:val="0"/>
        <w:adjustRightInd/>
        <w:snapToGrid w:val="0"/>
        <w:spacing w:line="1300" w:lineRule="exact"/>
        <w:ind w:right="-108" w:firstLine="0" w:firstLineChars="0"/>
        <w:jc w:val="center"/>
        <w:textAlignment w:val="auto"/>
        <w:rPr>
          <w:rFonts w:ascii="宋体" w:hAnsi="宋体"/>
          <w:b/>
          <w:color w:val="auto"/>
          <w:spacing w:val="40"/>
          <w:sz w:val="84"/>
          <w:szCs w:val="84"/>
        </w:rPr>
      </w:pPr>
      <w:r>
        <w:rPr>
          <w:rFonts w:hint="eastAsia" w:ascii="宋体" w:hAnsi="宋体"/>
          <w:b/>
          <w:color w:val="auto"/>
          <w:spacing w:val="40"/>
          <w:sz w:val="84"/>
          <w:szCs w:val="84"/>
        </w:rPr>
        <w:t>技</w:t>
      </w:r>
    </w:p>
    <w:p>
      <w:pPr>
        <w:keepNext w:val="0"/>
        <w:keepLines w:val="0"/>
        <w:pageBreakBefore w:val="0"/>
        <w:widowControl w:val="0"/>
        <w:kinsoku/>
        <w:wordWrap/>
        <w:overflowPunct/>
        <w:topLinePunct w:val="0"/>
        <w:autoSpaceDE/>
        <w:autoSpaceDN/>
        <w:bidi w:val="0"/>
        <w:adjustRightInd/>
        <w:snapToGrid w:val="0"/>
        <w:spacing w:line="1300" w:lineRule="exact"/>
        <w:ind w:right="-108" w:firstLine="0" w:firstLineChars="0"/>
        <w:jc w:val="center"/>
        <w:textAlignment w:val="auto"/>
        <w:rPr>
          <w:rFonts w:ascii="宋体" w:hAnsi="宋体"/>
          <w:b/>
          <w:color w:val="auto"/>
          <w:spacing w:val="40"/>
          <w:sz w:val="84"/>
          <w:szCs w:val="84"/>
        </w:rPr>
      </w:pPr>
      <w:r>
        <w:rPr>
          <w:rFonts w:hint="eastAsia" w:ascii="宋体" w:hAnsi="宋体"/>
          <w:b/>
          <w:color w:val="auto"/>
          <w:spacing w:val="40"/>
          <w:sz w:val="84"/>
          <w:szCs w:val="84"/>
        </w:rPr>
        <w:t>术</w:t>
      </w:r>
    </w:p>
    <w:p>
      <w:pPr>
        <w:keepNext w:val="0"/>
        <w:keepLines w:val="0"/>
        <w:pageBreakBefore w:val="0"/>
        <w:widowControl w:val="0"/>
        <w:kinsoku/>
        <w:wordWrap/>
        <w:overflowPunct/>
        <w:topLinePunct w:val="0"/>
        <w:autoSpaceDE/>
        <w:autoSpaceDN/>
        <w:bidi w:val="0"/>
        <w:adjustRightInd/>
        <w:snapToGrid w:val="0"/>
        <w:spacing w:line="1300" w:lineRule="exact"/>
        <w:ind w:right="-108" w:firstLine="0" w:firstLineChars="0"/>
        <w:jc w:val="center"/>
        <w:textAlignment w:val="auto"/>
        <w:rPr>
          <w:rFonts w:ascii="宋体" w:hAnsi="宋体"/>
          <w:b/>
          <w:color w:val="auto"/>
          <w:spacing w:val="40"/>
          <w:sz w:val="84"/>
          <w:szCs w:val="84"/>
        </w:rPr>
      </w:pPr>
      <w:r>
        <w:rPr>
          <w:rFonts w:hint="eastAsia" w:ascii="宋体" w:hAnsi="宋体"/>
          <w:b/>
          <w:color w:val="auto"/>
          <w:spacing w:val="40"/>
          <w:sz w:val="84"/>
          <w:szCs w:val="84"/>
        </w:rPr>
        <w:t>商</w:t>
      </w:r>
    </w:p>
    <w:p>
      <w:pPr>
        <w:keepNext w:val="0"/>
        <w:keepLines w:val="0"/>
        <w:pageBreakBefore w:val="0"/>
        <w:widowControl w:val="0"/>
        <w:kinsoku/>
        <w:wordWrap/>
        <w:overflowPunct/>
        <w:topLinePunct w:val="0"/>
        <w:autoSpaceDE/>
        <w:autoSpaceDN/>
        <w:bidi w:val="0"/>
        <w:adjustRightInd/>
        <w:snapToGrid w:val="0"/>
        <w:spacing w:line="1300" w:lineRule="exact"/>
        <w:ind w:right="-108" w:firstLine="0" w:firstLineChars="0"/>
        <w:jc w:val="center"/>
        <w:textAlignment w:val="auto"/>
        <w:rPr>
          <w:rFonts w:ascii="宋体" w:hAnsi="宋体"/>
          <w:b/>
          <w:color w:val="auto"/>
          <w:spacing w:val="40"/>
          <w:sz w:val="84"/>
          <w:szCs w:val="84"/>
        </w:rPr>
      </w:pPr>
      <w:r>
        <w:rPr>
          <w:rFonts w:hint="eastAsia" w:ascii="宋体" w:hAnsi="宋体"/>
          <w:b/>
          <w:color w:val="auto"/>
          <w:spacing w:val="40"/>
          <w:sz w:val="84"/>
          <w:szCs w:val="84"/>
        </w:rPr>
        <w:t>务</w:t>
      </w:r>
    </w:p>
    <w:p>
      <w:pPr>
        <w:keepNext w:val="0"/>
        <w:keepLines w:val="0"/>
        <w:pageBreakBefore w:val="0"/>
        <w:widowControl w:val="0"/>
        <w:kinsoku/>
        <w:wordWrap/>
        <w:overflowPunct/>
        <w:topLinePunct w:val="0"/>
        <w:autoSpaceDE/>
        <w:autoSpaceDN/>
        <w:bidi w:val="0"/>
        <w:adjustRightInd/>
        <w:snapToGrid w:val="0"/>
        <w:spacing w:line="1300" w:lineRule="exact"/>
        <w:ind w:right="-108" w:firstLine="0" w:firstLineChars="0"/>
        <w:jc w:val="center"/>
        <w:textAlignment w:val="auto"/>
        <w:rPr>
          <w:rFonts w:ascii="宋体" w:hAnsi="宋体"/>
          <w:b/>
          <w:color w:val="auto"/>
          <w:spacing w:val="40"/>
          <w:sz w:val="84"/>
          <w:szCs w:val="84"/>
        </w:rPr>
      </w:pPr>
      <w:r>
        <w:rPr>
          <w:rFonts w:hint="eastAsia" w:ascii="宋体" w:hAnsi="宋体"/>
          <w:b/>
          <w:color w:val="auto"/>
          <w:spacing w:val="40"/>
          <w:sz w:val="84"/>
          <w:szCs w:val="84"/>
        </w:rPr>
        <w:t>文</w:t>
      </w:r>
    </w:p>
    <w:p>
      <w:pPr>
        <w:keepNext w:val="0"/>
        <w:keepLines w:val="0"/>
        <w:pageBreakBefore w:val="0"/>
        <w:widowControl w:val="0"/>
        <w:kinsoku/>
        <w:wordWrap/>
        <w:overflowPunct/>
        <w:topLinePunct w:val="0"/>
        <w:autoSpaceDE/>
        <w:autoSpaceDN/>
        <w:bidi w:val="0"/>
        <w:adjustRightInd/>
        <w:snapToGrid w:val="0"/>
        <w:spacing w:line="1300" w:lineRule="exact"/>
        <w:ind w:right="-108" w:firstLine="0" w:firstLineChars="0"/>
        <w:jc w:val="center"/>
        <w:textAlignment w:val="auto"/>
        <w:rPr>
          <w:rFonts w:ascii="宋体" w:hAnsi="宋体"/>
          <w:b/>
          <w:color w:val="auto"/>
          <w:spacing w:val="40"/>
          <w:sz w:val="84"/>
          <w:szCs w:val="84"/>
        </w:rPr>
      </w:pPr>
      <w:r>
        <w:rPr>
          <w:rFonts w:hint="eastAsia" w:ascii="宋体" w:hAnsi="宋体"/>
          <w:b/>
          <w:color w:val="auto"/>
          <w:spacing w:val="40"/>
          <w:sz w:val="84"/>
          <w:szCs w:val="84"/>
        </w:rPr>
        <w:t>件</w:t>
      </w:r>
    </w:p>
    <w:p>
      <w:pPr>
        <w:keepNext w:val="0"/>
        <w:keepLines w:val="0"/>
        <w:pageBreakBefore w:val="0"/>
        <w:widowControl w:val="0"/>
        <w:kinsoku/>
        <w:wordWrap/>
        <w:overflowPunct/>
        <w:topLinePunct w:val="0"/>
        <w:autoSpaceDE/>
        <w:autoSpaceDN/>
        <w:bidi w:val="0"/>
        <w:adjustRightInd/>
        <w:snapToGrid/>
        <w:spacing w:line="500" w:lineRule="exact"/>
        <w:ind w:right="533" w:firstLine="720" w:firstLineChars="200"/>
        <w:textAlignment w:val="auto"/>
        <w:rPr>
          <w:rFonts w:ascii="宋体" w:hAnsi="宋体"/>
          <w:color w:val="auto"/>
          <w:sz w:val="36"/>
          <w:szCs w:val="36"/>
        </w:rPr>
      </w:pPr>
      <w:r>
        <w:rPr>
          <w:rFonts w:hint="eastAsia" w:ascii="宋体" w:hAnsi="宋体"/>
          <w:color w:val="auto"/>
          <w:sz w:val="36"/>
          <w:szCs w:val="36"/>
        </w:rPr>
        <w:t>响应方全称：</w:t>
      </w:r>
    </w:p>
    <w:p>
      <w:pPr>
        <w:keepNext w:val="0"/>
        <w:keepLines w:val="0"/>
        <w:pageBreakBefore w:val="0"/>
        <w:widowControl w:val="0"/>
        <w:kinsoku/>
        <w:wordWrap/>
        <w:overflowPunct/>
        <w:topLinePunct w:val="0"/>
        <w:autoSpaceDE/>
        <w:autoSpaceDN/>
        <w:bidi w:val="0"/>
        <w:adjustRightInd/>
        <w:snapToGrid/>
        <w:spacing w:line="500" w:lineRule="exact"/>
        <w:ind w:right="533" w:firstLine="720" w:firstLineChars="200"/>
        <w:textAlignment w:val="auto"/>
        <w:rPr>
          <w:rFonts w:ascii="宋体" w:hAnsi="宋体"/>
          <w:color w:val="auto"/>
          <w:sz w:val="36"/>
          <w:szCs w:val="36"/>
        </w:rPr>
      </w:pPr>
      <w:r>
        <w:rPr>
          <w:rFonts w:hint="eastAsia" w:ascii="宋体" w:hAnsi="宋体"/>
          <w:color w:val="auto"/>
          <w:sz w:val="36"/>
          <w:szCs w:val="36"/>
        </w:rPr>
        <w:t>地    址：</w:t>
      </w:r>
    </w:p>
    <w:p>
      <w:pPr>
        <w:keepNext w:val="0"/>
        <w:keepLines w:val="0"/>
        <w:pageBreakBefore w:val="0"/>
        <w:widowControl w:val="0"/>
        <w:kinsoku/>
        <w:wordWrap/>
        <w:overflowPunct/>
        <w:topLinePunct w:val="0"/>
        <w:autoSpaceDE/>
        <w:autoSpaceDN/>
        <w:bidi w:val="0"/>
        <w:adjustRightInd/>
        <w:snapToGrid/>
        <w:spacing w:line="500" w:lineRule="exact"/>
        <w:ind w:right="533" w:firstLine="720" w:firstLineChars="200"/>
        <w:textAlignment w:val="auto"/>
        <w:rPr>
          <w:rFonts w:ascii="宋体" w:hAnsi="宋体"/>
          <w:b/>
          <w:color w:val="auto"/>
          <w:sz w:val="36"/>
          <w:szCs w:val="36"/>
        </w:rPr>
      </w:pPr>
      <w:r>
        <w:rPr>
          <w:rFonts w:hint="eastAsia" w:ascii="宋体" w:hAnsi="宋体"/>
          <w:color w:val="auto"/>
          <w:sz w:val="36"/>
          <w:szCs w:val="36"/>
        </w:rPr>
        <w:t xml:space="preserve">时    间： </w:t>
      </w:r>
    </w:p>
    <w:p>
      <w:pPr>
        <w:rPr>
          <w:rFonts w:hint="eastAsia" w:ascii="宋体" w:hAnsi="宋体"/>
          <w:b/>
          <w:color w:val="auto"/>
          <w:sz w:val="36"/>
          <w:szCs w:val="36"/>
        </w:rPr>
      </w:pPr>
      <w:r>
        <w:rPr>
          <w:rFonts w:hint="eastAsia" w:ascii="宋体" w:hAnsi="宋体"/>
          <w:b/>
          <w:color w:val="auto"/>
          <w:sz w:val="36"/>
          <w:szCs w:val="36"/>
        </w:rPr>
        <w:br w:type="page"/>
      </w:r>
    </w:p>
    <w:p>
      <w:pPr>
        <w:snapToGrid w:val="0"/>
        <w:spacing w:before="50" w:after="50"/>
        <w:rPr>
          <w:rFonts w:ascii="宋体" w:hAnsi="宋体"/>
          <w:b/>
          <w:bCs/>
          <w:color w:val="auto"/>
          <w:sz w:val="36"/>
          <w:szCs w:val="36"/>
        </w:rPr>
      </w:pPr>
      <w:r>
        <w:rPr>
          <w:rFonts w:hint="eastAsia" w:ascii="宋体" w:hAnsi="宋体"/>
          <w:b/>
          <w:color w:val="auto"/>
          <w:sz w:val="36"/>
          <w:szCs w:val="36"/>
        </w:rPr>
        <w:t>1.</w:t>
      </w:r>
      <w:r>
        <w:rPr>
          <w:rFonts w:hint="eastAsia" w:ascii="宋体" w:hAnsi="宋体"/>
          <w:b/>
          <w:bCs/>
          <w:color w:val="auto"/>
          <w:sz w:val="36"/>
          <w:szCs w:val="36"/>
        </w:rPr>
        <w:t>技术商务文件目录</w:t>
      </w:r>
    </w:p>
    <w:p>
      <w:pPr>
        <w:snapToGrid w:val="0"/>
        <w:spacing w:line="4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w:t>
      </w:r>
      <w:r>
        <w:rPr>
          <w:rFonts w:hint="eastAsia" w:ascii="宋体" w:hAnsi="宋体" w:cs="宋体"/>
          <w:color w:val="auto"/>
          <w:sz w:val="28"/>
          <w:szCs w:val="28"/>
          <w:lang w:val="en-US" w:eastAsia="zh-CN"/>
        </w:rPr>
        <w:t>1</w:t>
      </w:r>
      <w:r>
        <w:rPr>
          <w:rFonts w:hint="eastAsia" w:ascii="宋体" w:hAnsi="宋体" w:cs="宋体"/>
          <w:color w:val="auto"/>
          <w:sz w:val="28"/>
          <w:szCs w:val="28"/>
        </w:rPr>
        <w:t>）主要技术指标明细表（格式见附件）；</w:t>
      </w:r>
    </w:p>
    <w:p>
      <w:pPr>
        <w:snapToGrid w:val="0"/>
        <w:spacing w:line="4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w:t>
      </w:r>
      <w:r>
        <w:rPr>
          <w:rFonts w:hint="eastAsia" w:ascii="宋体" w:hAnsi="宋体" w:cs="宋体"/>
          <w:color w:val="auto"/>
          <w:sz w:val="28"/>
          <w:szCs w:val="28"/>
          <w:lang w:val="en-US" w:eastAsia="zh-CN"/>
        </w:rPr>
        <w:t>2</w:t>
      </w:r>
      <w:r>
        <w:rPr>
          <w:rFonts w:hint="eastAsia" w:ascii="宋体" w:hAnsi="宋体" w:cs="宋体"/>
          <w:color w:val="auto"/>
          <w:sz w:val="28"/>
          <w:szCs w:val="28"/>
        </w:rPr>
        <w:t>）节能环保相关证明材料（格式自拟）；</w:t>
      </w:r>
    </w:p>
    <w:p>
      <w:pPr>
        <w:snapToGrid w:val="0"/>
        <w:spacing w:line="4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w:t>
      </w:r>
      <w:r>
        <w:rPr>
          <w:rFonts w:hint="eastAsia" w:ascii="宋体" w:hAnsi="宋体" w:cs="宋体"/>
          <w:color w:val="auto"/>
          <w:sz w:val="28"/>
          <w:szCs w:val="28"/>
          <w:lang w:val="en-US" w:eastAsia="zh-CN"/>
        </w:rPr>
        <w:t>3</w:t>
      </w:r>
      <w:r>
        <w:rPr>
          <w:rFonts w:hint="eastAsia" w:ascii="宋体" w:hAnsi="宋体" w:cs="宋体"/>
          <w:color w:val="auto"/>
          <w:sz w:val="28"/>
          <w:szCs w:val="28"/>
        </w:rPr>
        <w:t>）售后服务方案（格式自拟）；</w:t>
      </w:r>
    </w:p>
    <w:p>
      <w:pPr>
        <w:snapToGrid w:val="0"/>
        <w:spacing w:line="4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w:t>
      </w:r>
      <w:r>
        <w:rPr>
          <w:rFonts w:hint="eastAsia" w:ascii="宋体" w:hAnsi="宋体" w:cs="宋体"/>
          <w:color w:val="auto"/>
          <w:sz w:val="28"/>
          <w:szCs w:val="28"/>
          <w:lang w:val="en-US" w:eastAsia="zh-CN"/>
        </w:rPr>
        <w:t>4</w:t>
      </w:r>
      <w:r>
        <w:rPr>
          <w:rFonts w:hint="eastAsia" w:ascii="宋体" w:hAnsi="宋体" w:cs="宋体"/>
          <w:color w:val="auto"/>
          <w:sz w:val="28"/>
          <w:szCs w:val="28"/>
        </w:rPr>
        <w:t>）质保方案（格式自拟）；</w:t>
      </w:r>
    </w:p>
    <w:p>
      <w:pPr>
        <w:snapToGrid w:val="0"/>
        <w:spacing w:line="460" w:lineRule="exact"/>
        <w:ind w:firstLine="560" w:firstLineChars="200"/>
        <w:jc w:val="left"/>
        <w:rPr>
          <w:rFonts w:hint="eastAsia" w:ascii="宋体" w:hAnsi="宋体" w:cs="宋体"/>
          <w:color w:val="auto"/>
          <w:sz w:val="28"/>
          <w:szCs w:val="28"/>
        </w:rPr>
      </w:pPr>
      <w:r>
        <w:rPr>
          <w:rFonts w:hint="eastAsia" w:ascii="宋体" w:hAnsi="宋体" w:cs="宋体"/>
          <w:color w:val="auto"/>
          <w:sz w:val="28"/>
          <w:szCs w:val="28"/>
        </w:rPr>
        <w:t>（</w:t>
      </w:r>
      <w:r>
        <w:rPr>
          <w:rFonts w:hint="eastAsia" w:ascii="宋体" w:hAnsi="宋体" w:cs="宋体"/>
          <w:color w:val="auto"/>
          <w:sz w:val="28"/>
          <w:szCs w:val="28"/>
          <w:lang w:val="en-US" w:eastAsia="zh-CN"/>
        </w:rPr>
        <w:t>5</w:t>
      </w:r>
      <w:r>
        <w:rPr>
          <w:rFonts w:hint="eastAsia" w:ascii="宋体" w:hAnsi="宋体" w:cs="宋体"/>
          <w:color w:val="auto"/>
          <w:sz w:val="28"/>
          <w:szCs w:val="28"/>
        </w:rPr>
        <w:t>）服务网点情况（格式见附件）；</w:t>
      </w:r>
    </w:p>
    <w:p>
      <w:pPr>
        <w:snapToGrid w:val="0"/>
        <w:spacing w:line="460" w:lineRule="exact"/>
        <w:ind w:firstLine="560" w:firstLineChars="200"/>
        <w:jc w:val="left"/>
        <w:rPr>
          <w:rFonts w:hint="default" w:ascii="宋体" w:hAnsi="宋体" w:eastAsia="仿宋" w:cs="宋体"/>
          <w:color w:val="auto"/>
          <w:sz w:val="28"/>
          <w:szCs w:val="28"/>
          <w:lang w:val="en-US" w:eastAsia="zh-CN"/>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6）代理商一览表（</w:t>
      </w:r>
      <w:r>
        <w:rPr>
          <w:rFonts w:hint="eastAsia" w:ascii="宋体" w:hAnsi="宋体" w:cs="宋体"/>
          <w:color w:val="auto"/>
          <w:sz w:val="28"/>
          <w:szCs w:val="28"/>
        </w:rPr>
        <w:t>格式见附件）</w:t>
      </w:r>
    </w:p>
    <w:p>
      <w:pPr>
        <w:snapToGrid w:val="0"/>
        <w:spacing w:line="4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w:t>
      </w:r>
      <w:r>
        <w:rPr>
          <w:rFonts w:hint="eastAsia" w:ascii="宋体" w:hAnsi="宋体" w:cs="宋体"/>
          <w:color w:val="auto"/>
          <w:sz w:val="28"/>
          <w:szCs w:val="28"/>
          <w:lang w:val="en-US" w:eastAsia="zh-CN"/>
        </w:rPr>
        <w:t>7</w:t>
      </w:r>
      <w:r>
        <w:rPr>
          <w:rFonts w:hint="eastAsia" w:ascii="宋体" w:hAnsi="宋体" w:cs="宋体"/>
          <w:color w:val="auto"/>
          <w:sz w:val="28"/>
          <w:szCs w:val="28"/>
        </w:rPr>
        <w:t>）技术力量情况（格式自拟）；</w:t>
      </w:r>
    </w:p>
    <w:p>
      <w:pPr>
        <w:snapToGrid w:val="0"/>
        <w:spacing w:line="4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w:t>
      </w:r>
      <w:r>
        <w:rPr>
          <w:rFonts w:hint="eastAsia" w:ascii="宋体" w:hAnsi="宋体" w:cs="宋体"/>
          <w:color w:val="auto"/>
          <w:sz w:val="28"/>
          <w:szCs w:val="28"/>
          <w:lang w:val="en-US" w:eastAsia="zh-CN"/>
        </w:rPr>
        <w:t>8</w:t>
      </w:r>
      <w:r>
        <w:rPr>
          <w:rFonts w:hint="eastAsia" w:ascii="宋体" w:hAnsi="宋体" w:cs="宋体"/>
          <w:color w:val="auto"/>
          <w:sz w:val="28"/>
          <w:szCs w:val="28"/>
        </w:rPr>
        <w:t>）响应方认为需要的其他文件资料（格式自拟）。</w:t>
      </w:r>
    </w:p>
    <w:p>
      <w:pPr>
        <w:spacing w:line="600" w:lineRule="exact"/>
        <w:ind w:right="532" w:firstLine="720" w:firstLineChars="200"/>
        <w:rPr>
          <w:rFonts w:ascii="宋体" w:hAnsi="宋体"/>
          <w:color w:val="auto"/>
          <w:sz w:val="36"/>
          <w:szCs w:val="36"/>
        </w:rPr>
      </w:pPr>
    </w:p>
    <w:p>
      <w:pPr>
        <w:snapToGrid w:val="0"/>
        <w:spacing w:before="120" w:beforeLines="50" w:after="50" w:line="460" w:lineRule="exact"/>
        <w:rPr>
          <w:rFonts w:ascii="宋体" w:hAnsi="宋体"/>
          <w:color w:val="auto"/>
          <w:sz w:val="30"/>
          <w:szCs w:val="30"/>
          <w:u w:val="single"/>
        </w:rPr>
        <w:sectPr>
          <w:pgSz w:w="11906" w:h="16838"/>
          <w:pgMar w:top="1558" w:right="1531" w:bottom="468" w:left="1531" w:header="851" w:footer="851" w:gutter="0"/>
          <w:pgNumType w:fmt="decimal" w:chapStyle="1" w:chapSep="colon"/>
          <w:cols w:space="720" w:num="1"/>
        </w:sectPr>
      </w:pPr>
    </w:p>
    <w:p>
      <w:pPr>
        <w:snapToGrid w:val="0"/>
        <w:spacing w:before="50" w:after="120" w:afterLines="50"/>
        <w:ind w:left="0" w:leftChars="0" w:firstLine="0" w:firstLineChars="0"/>
        <w:jc w:val="left"/>
        <w:rPr>
          <w:rFonts w:hint="eastAsia" w:ascii="宋体" w:hAnsi="宋体"/>
          <w:color w:val="auto"/>
          <w:sz w:val="30"/>
          <w:szCs w:val="30"/>
        </w:rPr>
      </w:pPr>
      <w:r>
        <w:rPr>
          <w:rFonts w:hint="eastAsia" w:ascii="宋体" w:hAnsi="宋体"/>
          <w:color w:val="auto"/>
          <w:sz w:val="30"/>
          <w:szCs w:val="30"/>
        </w:rPr>
        <w:t>附件6：</w:t>
      </w:r>
    </w:p>
    <w:p>
      <w:pPr>
        <w:pStyle w:val="10"/>
        <w:spacing w:before="240" w:line="560" w:lineRule="exact"/>
        <w:ind w:left="0" w:leftChars="0" w:firstLine="0" w:firstLineChars="0"/>
        <w:jc w:val="center"/>
        <w:rPr>
          <w:rFonts w:hAnsi="宋体"/>
          <w:b/>
          <w:color w:val="auto"/>
          <w:sz w:val="40"/>
          <w:szCs w:val="40"/>
        </w:rPr>
      </w:pPr>
      <w:r>
        <w:rPr>
          <w:rFonts w:hint="eastAsia" w:hAnsi="宋体"/>
          <w:b/>
          <w:color w:val="auto"/>
          <w:sz w:val="40"/>
          <w:szCs w:val="40"/>
        </w:rPr>
        <w:t>代理商一览表</w:t>
      </w:r>
    </w:p>
    <w:p>
      <w:pPr>
        <w:pStyle w:val="7"/>
        <w:snapToGrid w:val="0"/>
        <w:ind w:left="0" w:leftChars="0" w:firstLine="0" w:firstLineChars="0"/>
        <w:rPr>
          <w:rFonts w:hint="eastAsia" w:ascii="宋体" w:hAnsi="宋体" w:eastAsia="宋体"/>
          <w:color w:val="auto"/>
          <w:sz w:val="30"/>
          <w:szCs w:val="30"/>
        </w:rPr>
      </w:pPr>
    </w:p>
    <w:tbl>
      <w:tblPr>
        <w:tblStyle w:val="18"/>
        <w:tblpPr w:leftFromText="180" w:rightFromText="180" w:vertAnchor="text" w:horzAnchor="page" w:tblpX="1342" w:tblpY="729"/>
        <w:tblOverlap w:val="never"/>
        <w:tblW w:w="9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2282"/>
        <w:gridCol w:w="2880"/>
        <w:gridCol w:w="126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4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宋体" w:hAnsi="宋体"/>
                <w:color w:val="auto"/>
                <w:sz w:val="28"/>
                <w:szCs w:val="28"/>
              </w:rPr>
            </w:pPr>
            <w:r>
              <w:rPr>
                <w:rFonts w:hint="eastAsia" w:ascii="宋体" w:hAnsi="宋体"/>
                <w:color w:val="auto"/>
                <w:sz w:val="28"/>
                <w:szCs w:val="28"/>
              </w:rPr>
              <w:t>序号</w:t>
            </w:r>
          </w:p>
        </w:tc>
        <w:tc>
          <w:tcPr>
            <w:tcW w:w="22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宋体" w:hAnsi="宋体"/>
                <w:color w:val="auto"/>
                <w:sz w:val="28"/>
                <w:szCs w:val="28"/>
              </w:rPr>
            </w:pPr>
            <w:r>
              <w:rPr>
                <w:rFonts w:hint="eastAsia" w:ascii="宋体" w:hAnsi="宋体"/>
                <w:color w:val="auto"/>
                <w:sz w:val="28"/>
                <w:szCs w:val="28"/>
              </w:rPr>
              <w:t>代理商名称</w:t>
            </w:r>
          </w:p>
        </w:tc>
        <w:tc>
          <w:tcPr>
            <w:tcW w:w="28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宋体" w:hAnsi="宋体"/>
                <w:color w:val="auto"/>
                <w:sz w:val="28"/>
                <w:szCs w:val="28"/>
              </w:rPr>
            </w:pPr>
            <w:r>
              <w:rPr>
                <w:rFonts w:hint="eastAsia" w:ascii="宋体" w:hAnsi="宋体"/>
                <w:color w:val="auto"/>
                <w:sz w:val="28"/>
                <w:szCs w:val="28"/>
              </w:rPr>
              <w:t>详 细 地 址</w:t>
            </w:r>
          </w:p>
        </w:tc>
        <w:tc>
          <w:tcPr>
            <w:tcW w:w="378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宋体" w:hAnsi="宋体"/>
                <w:color w:val="auto"/>
                <w:sz w:val="28"/>
                <w:szCs w:val="28"/>
              </w:rPr>
            </w:pPr>
            <w:r>
              <w:rPr>
                <w:rFonts w:hint="eastAsia" w:ascii="宋体" w:hAnsi="宋体"/>
                <w:color w:val="auto"/>
                <w:sz w:val="28"/>
                <w:szCs w:val="28"/>
              </w:rPr>
              <w:t>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宋体" w:hAnsi="宋体"/>
                <w:color w:val="auto"/>
                <w:sz w:val="28"/>
                <w:szCs w:val="28"/>
              </w:rPr>
            </w:pPr>
          </w:p>
        </w:tc>
        <w:tc>
          <w:tcPr>
            <w:tcW w:w="22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宋体" w:hAnsi="宋体"/>
                <w:color w:val="auto"/>
                <w:sz w:val="28"/>
                <w:szCs w:val="28"/>
              </w:rPr>
            </w:pPr>
          </w:p>
        </w:tc>
        <w:tc>
          <w:tcPr>
            <w:tcW w:w="28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宋体" w:hAnsi="宋体"/>
                <w:color w:val="auto"/>
                <w:sz w:val="28"/>
                <w:szCs w:val="28"/>
              </w:rPr>
            </w:pP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宋体" w:hAnsi="宋体"/>
                <w:color w:val="auto"/>
                <w:spacing w:val="-10"/>
                <w:sz w:val="28"/>
                <w:szCs w:val="28"/>
              </w:rPr>
            </w:pPr>
            <w:r>
              <w:rPr>
                <w:rFonts w:hint="eastAsia" w:ascii="宋体" w:hAnsi="宋体"/>
                <w:color w:val="auto"/>
                <w:spacing w:val="-10"/>
                <w:sz w:val="28"/>
                <w:szCs w:val="28"/>
              </w:rPr>
              <w:t>联系人</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宋体" w:hAnsi="宋体"/>
                <w:color w:val="auto"/>
                <w:spacing w:val="-10"/>
                <w:sz w:val="28"/>
                <w:szCs w:val="28"/>
              </w:rPr>
            </w:pPr>
            <w:r>
              <w:rPr>
                <w:rFonts w:hint="eastAsia" w:ascii="宋体" w:hAnsi="宋体"/>
                <w:color w:val="auto"/>
                <w:spacing w:val="-10"/>
                <w:sz w:val="28"/>
                <w:szCs w:val="28"/>
              </w:rPr>
              <w:t>固定电话</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宋体" w:hAnsi="宋体"/>
                <w:color w:val="auto"/>
                <w:spacing w:val="-10"/>
                <w:sz w:val="28"/>
                <w:szCs w:val="28"/>
              </w:rPr>
            </w:pPr>
            <w:r>
              <w:rPr>
                <w:rFonts w:hint="eastAsia" w:ascii="宋体" w:hAnsi="宋体"/>
                <w:color w:val="auto"/>
                <w:spacing w:val="-10"/>
                <w:sz w:val="28"/>
                <w:szCs w:val="28"/>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宋体" w:hAnsi="宋体"/>
                <w:color w:val="auto"/>
                <w:sz w:val="18"/>
              </w:rPr>
            </w:pPr>
          </w:p>
        </w:tc>
        <w:tc>
          <w:tcPr>
            <w:tcW w:w="22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宋体" w:hAnsi="宋体"/>
                <w:color w:val="auto"/>
                <w:sz w:val="18"/>
              </w:rPr>
            </w:pP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宋体" w:hAnsi="宋体"/>
                <w:color w:val="auto"/>
                <w:sz w:val="18"/>
              </w:rPr>
            </w:pPr>
          </w:p>
        </w:tc>
        <w:tc>
          <w:tcPr>
            <w:tcW w:w="28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宋体" w:hAnsi="宋体"/>
                <w:color w:val="auto"/>
                <w:sz w:val="18"/>
              </w:rPr>
            </w:pP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宋体" w:hAnsi="宋体"/>
                <w:color w:val="auto"/>
                <w:spacing w:val="-10"/>
                <w:sz w:val="18"/>
              </w:rPr>
            </w:pP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宋体" w:hAnsi="宋体"/>
                <w:color w:val="auto"/>
                <w:spacing w:val="-10"/>
                <w:sz w:val="18"/>
              </w:rPr>
            </w:pP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宋体" w:hAnsi="宋体"/>
                <w:color w:val="auto"/>
                <w:spacing w:val="-1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宋体" w:hAnsi="宋体"/>
                <w:color w:val="auto"/>
                <w:sz w:val="18"/>
              </w:rPr>
            </w:pPr>
          </w:p>
        </w:tc>
        <w:tc>
          <w:tcPr>
            <w:tcW w:w="22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宋体" w:hAnsi="宋体"/>
                <w:color w:val="auto"/>
                <w:sz w:val="18"/>
              </w:rPr>
            </w:pP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宋体" w:hAnsi="宋体"/>
                <w:color w:val="auto"/>
                <w:sz w:val="18"/>
              </w:rPr>
            </w:pPr>
          </w:p>
        </w:tc>
        <w:tc>
          <w:tcPr>
            <w:tcW w:w="28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宋体" w:hAnsi="宋体"/>
                <w:color w:val="auto"/>
                <w:sz w:val="18"/>
              </w:rPr>
            </w:pP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宋体" w:hAnsi="宋体"/>
                <w:color w:val="auto"/>
                <w:spacing w:val="-10"/>
                <w:sz w:val="18"/>
              </w:rPr>
            </w:pP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宋体" w:hAnsi="宋体"/>
                <w:color w:val="auto"/>
                <w:spacing w:val="-10"/>
                <w:sz w:val="18"/>
              </w:rPr>
            </w:pP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宋体" w:hAnsi="宋体"/>
                <w:color w:val="auto"/>
                <w:spacing w:val="-1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宋体" w:hAnsi="宋体"/>
                <w:color w:val="auto"/>
                <w:sz w:val="18"/>
              </w:rPr>
            </w:pPr>
          </w:p>
        </w:tc>
        <w:tc>
          <w:tcPr>
            <w:tcW w:w="22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宋体" w:hAnsi="宋体"/>
                <w:color w:val="auto"/>
                <w:sz w:val="18"/>
              </w:rPr>
            </w:pP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宋体" w:hAnsi="宋体"/>
                <w:color w:val="auto"/>
                <w:sz w:val="18"/>
              </w:rPr>
            </w:pPr>
          </w:p>
        </w:tc>
        <w:tc>
          <w:tcPr>
            <w:tcW w:w="2880" w:type="dxa"/>
            <w:noWrap w:val="0"/>
            <w:vAlign w:val="center"/>
          </w:tcPr>
          <w:p>
            <w:pPr>
              <w:pStyle w:val="1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exact"/>
              <w:ind w:firstLine="0" w:firstLineChars="0"/>
              <w:textAlignment w:val="auto"/>
              <w:rPr>
                <w:rFonts w:ascii="宋体" w:hAnsi="宋体"/>
                <w:color w:val="auto"/>
                <w:szCs w:val="24"/>
              </w:rPr>
            </w:pP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宋体" w:hAnsi="宋体"/>
                <w:color w:val="auto"/>
                <w:spacing w:val="-10"/>
                <w:sz w:val="18"/>
              </w:rPr>
            </w:pP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宋体" w:hAnsi="宋体"/>
                <w:color w:val="auto"/>
                <w:spacing w:val="-10"/>
                <w:sz w:val="18"/>
              </w:rPr>
            </w:pP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宋体" w:hAnsi="宋体"/>
                <w:color w:val="auto"/>
                <w:spacing w:val="-10"/>
                <w:sz w:val="18"/>
              </w:rPr>
            </w:pPr>
          </w:p>
        </w:tc>
      </w:tr>
    </w:tbl>
    <w:p>
      <w:pPr>
        <w:pStyle w:val="7"/>
        <w:snapToGrid w:val="0"/>
        <w:ind w:left="0" w:leftChars="0" w:firstLine="0" w:firstLineChars="0"/>
        <w:jc w:val="left"/>
        <w:rPr>
          <w:rFonts w:ascii="宋体" w:hAnsi="宋体" w:eastAsia="宋体"/>
          <w:color w:val="auto"/>
          <w:kern w:val="0"/>
          <w:sz w:val="30"/>
          <w:szCs w:val="30"/>
          <w:u w:val="single"/>
        </w:rPr>
      </w:pPr>
      <w:r>
        <w:rPr>
          <w:rFonts w:hint="eastAsia" w:ascii="宋体" w:hAnsi="宋体" w:eastAsia="宋体"/>
          <w:color w:val="auto"/>
          <w:sz w:val="30"/>
          <w:szCs w:val="30"/>
        </w:rPr>
        <w:t xml:space="preserve">响应方全称（公章）：       </w:t>
      </w:r>
      <w:r>
        <w:rPr>
          <w:rFonts w:hint="eastAsia" w:ascii="宋体" w:hAnsi="宋体" w:eastAsia="宋体"/>
          <w:color w:val="auto"/>
          <w:sz w:val="30"/>
          <w:szCs w:val="30"/>
          <w:lang w:eastAsia="zh-CN"/>
        </w:rPr>
        <w:t>采购包</w:t>
      </w:r>
      <w:r>
        <w:rPr>
          <w:rFonts w:hint="eastAsia" w:ascii="宋体" w:hAnsi="宋体" w:eastAsia="宋体"/>
          <w:color w:val="auto"/>
          <w:sz w:val="30"/>
          <w:szCs w:val="30"/>
        </w:rPr>
        <w:t>：</w:t>
      </w:r>
    </w:p>
    <w:p>
      <w:pPr>
        <w:widowControl/>
        <w:spacing w:before="19" w:line="460" w:lineRule="exact"/>
        <w:rPr>
          <w:rFonts w:ascii="宋体" w:hAnsi="宋体"/>
          <w:color w:val="auto"/>
          <w:sz w:val="30"/>
          <w:szCs w:val="30"/>
        </w:rPr>
      </w:pPr>
    </w:p>
    <w:p>
      <w:pPr>
        <w:widowControl/>
        <w:spacing w:before="19" w:line="460" w:lineRule="exact"/>
        <w:ind w:left="-686" w:leftChars="-286" w:firstLine="602" w:firstLineChars="200"/>
        <w:rPr>
          <w:rFonts w:ascii="宋体" w:hAnsi="宋体"/>
          <w:b/>
          <w:bCs/>
          <w:color w:val="auto"/>
          <w:sz w:val="30"/>
          <w:szCs w:val="30"/>
        </w:rPr>
      </w:pPr>
      <w:r>
        <w:rPr>
          <w:rFonts w:hint="eastAsia" w:ascii="宋体" w:hAnsi="宋体"/>
          <w:b/>
          <w:bCs/>
          <w:color w:val="auto"/>
          <w:sz w:val="30"/>
          <w:szCs w:val="30"/>
        </w:rPr>
        <w:t>注：在填写时，如上表不适合本项目的实际情况，可在确保</w:t>
      </w:r>
      <w:r>
        <w:rPr>
          <w:rFonts w:hint="eastAsia" w:ascii="宋体" w:hAnsi="宋体"/>
          <w:b/>
          <w:bCs/>
          <w:color w:val="auto"/>
          <w:sz w:val="30"/>
          <w:szCs w:val="30"/>
          <w:lang w:eastAsia="zh-CN"/>
        </w:rPr>
        <w:t>响应</w:t>
      </w:r>
      <w:r>
        <w:rPr>
          <w:rFonts w:hint="eastAsia" w:ascii="宋体" w:hAnsi="宋体"/>
          <w:b/>
          <w:bCs/>
          <w:color w:val="auto"/>
          <w:sz w:val="30"/>
          <w:szCs w:val="30"/>
        </w:rPr>
        <w:t>明细内容完整的情况下，根据上表格式自行划表填写。</w:t>
      </w:r>
    </w:p>
    <w:p>
      <w:pPr>
        <w:widowControl/>
        <w:spacing w:before="19" w:line="460" w:lineRule="exact"/>
        <w:rPr>
          <w:rFonts w:ascii="宋体" w:hAnsi="宋体"/>
          <w:color w:val="auto"/>
          <w:sz w:val="30"/>
          <w:szCs w:val="30"/>
        </w:rPr>
      </w:pPr>
    </w:p>
    <w:p>
      <w:pPr>
        <w:widowControl/>
        <w:spacing w:before="19" w:line="460" w:lineRule="exact"/>
        <w:ind w:left="-686" w:leftChars="-286" w:firstLine="602" w:firstLineChars="200"/>
        <w:rPr>
          <w:rFonts w:ascii="宋体" w:hAnsi="宋体"/>
          <w:b/>
          <w:color w:val="auto"/>
          <w:sz w:val="30"/>
          <w:szCs w:val="30"/>
        </w:rPr>
      </w:pPr>
    </w:p>
    <w:p>
      <w:pPr>
        <w:widowControl/>
        <w:spacing w:before="19" w:line="460" w:lineRule="exact"/>
        <w:rPr>
          <w:rFonts w:ascii="宋体" w:hAnsi="宋体"/>
          <w:color w:val="auto"/>
          <w:sz w:val="30"/>
          <w:szCs w:val="30"/>
        </w:rPr>
      </w:pPr>
      <w:r>
        <w:rPr>
          <w:rFonts w:hint="eastAsia" w:ascii="宋体" w:hAnsi="宋体"/>
          <w:color w:val="auto"/>
          <w:sz w:val="30"/>
          <w:szCs w:val="30"/>
        </w:rPr>
        <w:t xml:space="preserve">响应方全称：（盖章）：          </w:t>
      </w:r>
    </w:p>
    <w:p>
      <w:pPr>
        <w:widowControl/>
        <w:spacing w:before="19" w:line="460" w:lineRule="exact"/>
        <w:rPr>
          <w:rFonts w:ascii="宋体" w:hAnsi="宋体"/>
          <w:color w:val="auto"/>
          <w:sz w:val="30"/>
          <w:szCs w:val="30"/>
        </w:rPr>
      </w:pPr>
    </w:p>
    <w:p>
      <w:pPr>
        <w:widowControl/>
        <w:spacing w:before="19" w:line="460" w:lineRule="exact"/>
        <w:rPr>
          <w:rFonts w:ascii="宋体" w:hAnsi="宋体"/>
          <w:color w:val="auto"/>
          <w:sz w:val="30"/>
          <w:szCs w:val="30"/>
        </w:rPr>
      </w:pPr>
    </w:p>
    <w:p>
      <w:pPr>
        <w:widowControl/>
        <w:spacing w:before="19" w:line="460" w:lineRule="exact"/>
        <w:rPr>
          <w:rFonts w:ascii="宋体" w:hAnsi="宋体"/>
          <w:color w:val="auto"/>
          <w:sz w:val="30"/>
          <w:szCs w:val="30"/>
        </w:rPr>
      </w:pPr>
    </w:p>
    <w:p>
      <w:pPr>
        <w:widowControl/>
        <w:spacing w:before="19" w:line="460" w:lineRule="exact"/>
        <w:rPr>
          <w:rFonts w:hint="eastAsia" w:ascii="宋体" w:hAnsi="宋体"/>
          <w:color w:val="auto"/>
          <w:sz w:val="30"/>
          <w:szCs w:val="30"/>
        </w:rPr>
      </w:pPr>
    </w:p>
    <w:p>
      <w:pPr>
        <w:widowControl/>
        <w:spacing w:before="19" w:line="460" w:lineRule="exact"/>
        <w:rPr>
          <w:rFonts w:hint="eastAsia" w:ascii="宋体" w:hAnsi="宋体"/>
          <w:color w:val="auto"/>
          <w:sz w:val="30"/>
          <w:szCs w:val="30"/>
        </w:rPr>
      </w:pPr>
    </w:p>
    <w:p>
      <w:pPr>
        <w:widowControl/>
        <w:spacing w:before="19" w:line="460" w:lineRule="exact"/>
        <w:rPr>
          <w:rFonts w:ascii="宋体" w:hAnsi="宋体"/>
          <w:color w:val="auto"/>
          <w:sz w:val="30"/>
          <w:szCs w:val="30"/>
        </w:rPr>
      </w:pPr>
    </w:p>
    <w:p>
      <w:pPr>
        <w:rPr>
          <w:rFonts w:hint="eastAsia" w:ascii="宋体" w:hAnsi="宋体"/>
          <w:color w:val="auto"/>
          <w:sz w:val="30"/>
          <w:szCs w:val="30"/>
        </w:rPr>
      </w:pPr>
      <w:r>
        <w:rPr>
          <w:rFonts w:hint="eastAsia" w:ascii="宋体" w:hAnsi="宋体"/>
          <w:color w:val="auto"/>
          <w:sz w:val="30"/>
          <w:szCs w:val="30"/>
        </w:rPr>
        <w:br w:type="page"/>
      </w:r>
    </w:p>
    <w:p>
      <w:pPr>
        <w:snapToGrid w:val="0"/>
        <w:spacing w:before="50" w:after="120" w:afterLines="50"/>
        <w:ind w:left="0" w:leftChars="0" w:firstLine="0" w:firstLineChars="0"/>
        <w:jc w:val="left"/>
        <w:rPr>
          <w:rFonts w:ascii="宋体" w:hAnsi="宋体"/>
          <w:color w:val="auto"/>
          <w:sz w:val="30"/>
          <w:szCs w:val="30"/>
        </w:rPr>
      </w:pPr>
      <w:r>
        <w:rPr>
          <w:rFonts w:hint="eastAsia" w:ascii="宋体" w:hAnsi="宋体"/>
          <w:color w:val="auto"/>
          <w:sz w:val="30"/>
          <w:szCs w:val="30"/>
        </w:rPr>
        <w:t>附件7：</w:t>
      </w:r>
    </w:p>
    <w:p>
      <w:pPr>
        <w:spacing w:line="400" w:lineRule="exact"/>
        <w:ind w:left="0" w:leftChars="0" w:firstLine="0" w:firstLineChars="0"/>
        <w:jc w:val="center"/>
        <w:rPr>
          <w:rFonts w:ascii="宋体" w:hAnsi="宋体"/>
          <w:b/>
          <w:bCs/>
          <w:color w:val="auto"/>
          <w:spacing w:val="2"/>
          <w:sz w:val="40"/>
          <w:szCs w:val="40"/>
        </w:rPr>
      </w:pPr>
      <w:r>
        <w:rPr>
          <w:rFonts w:hint="eastAsia" w:ascii="宋体" w:hAnsi="宋体"/>
          <w:b/>
          <w:bCs/>
          <w:color w:val="auto"/>
          <w:sz w:val="40"/>
          <w:szCs w:val="40"/>
        </w:rPr>
        <w:t>主要技术指标明细表</w:t>
      </w:r>
    </w:p>
    <w:tbl>
      <w:tblPr>
        <w:tblStyle w:val="18"/>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87"/>
        <w:gridCol w:w="987"/>
        <w:gridCol w:w="487"/>
        <w:gridCol w:w="1682"/>
        <w:gridCol w:w="1442"/>
        <w:gridCol w:w="1442"/>
        <w:gridCol w:w="1300"/>
        <w:gridCol w:w="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293"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ascii="Microsoft JhengHei" w:eastAsia="Microsoft JhengHei"/>
                <w:b/>
                <w:color w:val="auto"/>
                <w:sz w:val="18"/>
              </w:rPr>
            </w:pPr>
            <w:r>
              <w:rPr>
                <w:rFonts w:hint="eastAsia" w:ascii="等线" w:hAnsi="等线" w:eastAsia="等线" w:cs="等线"/>
                <w:i w:val="0"/>
                <w:iCs w:val="0"/>
                <w:color w:val="auto"/>
                <w:sz w:val="22"/>
                <w:szCs w:val="22"/>
                <w:u w:val="none"/>
                <w:lang w:val="en-US" w:eastAsia="zh-CN"/>
              </w:rPr>
              <w:t>采购包</w:t>
            </w:r>
          </w:p>
        </w:tc>
        <w:tc>
          <w:tcPr>
            <w:tcW w:w="593"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Microsoft JhengHei" w:eastAsia="宋体"/>
                <w:b/>
                <w:color w:val="auto"/>
                <w:sz w:val="18"/>
                <w:lang w:eastAsia="zh-CN"/>
              </w:rPr>
            </w:pPr>
            <w:r>
              <w:rPr>
                <w:rFonts w:hint="eastAsia" w:ascii="等线" w:hAnsi="等线" w:eastAsia="等线" w:cs="等线"/>
                <w:i w:val="0"/>
                <w:iCs w:val="0"/>
                <w:color w:val="auto"/>
                <w:kern w:val="0"/>
                <w:sz w:val="22"/>
                <w:szCs w:val="22"/>
                <w:u w:val="none"/>
                <w:lang w:val="en-US" w:eastAsia="zh-CN" w:bidi="ar"/>
              </w:rPr>
              <w:t>CPU型号</w:t>
            </w:r>
          </w:p>
        </w:tc>
        <w:tc>
          <w:tcPr>
            <w:tcW w:w="293"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ascii="Microsoft JhengHei" w:eastAsia="Microsoft JhengHei"/>
                <w:b/>
                <w:color w:val="auto"/>
                <w:sz w:val="18"/>
              </w:rPr>
            </w:pPr>
            <w:r>
              <w:rPr>
                <w:rFonts w:hint="eastAsia" w:ascii="等线" w:hAnsi="等线" w:eastAsia="等线" w:cs="等线"/>
                <w:i w:val="0"/>
                <w:iCs w:val="0"/>
                <w:color w:val="auto"/>
                <w:kern w:val="0"/>
                <w:sz w:val="22"/>
                <w:szCs w:val="22"/>
                <w:u w:val="none"/>
                <w:lang w:val="en-US" w:eastAsia="zh-CN" w:bidi="ar"/>
              </w:rPr>
              <w:t>类别</w:t>
            </w:r>
          </w:p>
        </w:tc>
        <w:tc>
          <w:tcPr>
            <w:tcW w:w="1011"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ascii="Microsoft JhengHei" w:eastAsia="Microsoft JhengHei"/>
                <w:b/>
                <w:color w:val="auto"/>
                <w:sz w:val="18"/>
              </w:rPr>
            </w:pPr>
            <w:r>
              <w:rPr>
                <w:rFonts w:hint="eastAsia" w:ascii="等线" w:hAnsi="等线" w:eastAsia="等线" w:cs="等线"/>
                <w:i w:val="0"/>
                <w:iCs w:val="0"/>
                <w:color w:val="auto"/>
                <w:kern w:val="0"/>
                <w:sz w:val="22"/>
                <w:szCs w:val="22"/>
                <w:u w:val="none"/>
                <w:lang w:val="en-US" w:eastAsia="zh-CN" w:bidi="ar"/>
              </w:rPr>
              <w:t>主板内存槽数量</w:t>
            </w:r>
          </w:p>
        </w:tc>
        <w:tc>
          <w:tcPr>
            <w:tcW w:w="867"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ascii="Microsoft JhengHei" w:eastAsia="Microsoft JhengHei"/>
                <w:b/>
                <w:color w:val="auto"/>
                <w:sz w:val="18"/>
              </w:rPr>
            </w:pPr>
            <w:r>
              <w:rPr>
                <w:rFonts w:hint="eastAsia" w:ascii="等线" w:hAnsi="等线" w:eastAsia="等线" w:cs="等线"/>
                <w:i w:val="0"/>
                <w:iCs w:val="0"/>
                <w:color w:val="auto"/>
                <w:kern w:val="0"/>
                <w:sz w:val="22"/>
                <w:szCs w:val="22"/>
                <w:u w:val="none"/>
                <w:lang w:val="en-US" w:eastAsia="zh-CN" w:bidi="ar"/>
              </w:rPr>
              <w:t>硬盘插槽数量</w:t>
            </w:r>
          </w:p>
        </w:tc>
        <w:tc>
          <w:tcPr>
            <w:tcW w:w="867"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ascii="Microsoft JhengHei" w:eastAsia="Microsoft JhengHei"/>
                <w:b/>
                <w:color w:val="auto"/>
                <w:sz w:val="18"/>
              </w:rPr>
            </w:pPr>
            <w:r>
              <w:rPr>
                <w:rFonts w:hint="eastAsia" w:ascii="等线" w:hAnsi="等线" w:eastAsia="等线" w:cs="等线"/>
                <w:i w:val="0"/>
                <w:iCs w:val="0"/>
                <w:color w:val="auto"/>
                <w:kern w:val="0"/>
                <w:sz w:val="22"/>
                <w:szCs w:val="22"/>
                <w:u w:val="none"/>
                <w:lang w:val="en-US" w:eastAsia="zh-CN" w:bidi="ar"/>
              </w:rPr>
              <w:t>主板存储接口</w:t>
            </w:r>
          </w:p>
        </w:tc>
        <w:tc>
          <w:tcPr>
            <w:tcW w:w="781"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ascii="Microsoft JhengHei" w:eastAsia="Microsoft JhengHei"/>
                <w:b/>
                <w:color w:val="auto"/>
                <w:sz w:val="18"/>
              </w:rPr>
            </w:pPr>
            <w:r>
              <w:rPr>
                <w:rFonts w:hint="eastAsia" w:ascii="等线" w:hAnsi="等线" w:eastAsia="等线" w:cs="等线"/>
                <w:i w:val="0"/>
                <w:iCs w:val="0"/>
                <w:color w:val="auto"/>
                <w:kern w:val="0"/>
                <w:sz w:val="22"/>
                <w:szCs w:val="22"/>
                <w:u w:val="none"/>
                <w:lang w:val="en-US" w:eastAsia="zh-CN" w:bidi="ar"/>
              </w:rPr>
              <w:t>支持GPU数</w:t>
            </w:r>
          </w:p>
        </w:tc>
        <w:tc>
          <w:tcPr>
            <w:tcW w:w="293"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ascii="Microsoft JhengHei" w:eastAsia="Microsoft JhengHei"/>
                <w:b/>
                <w:color w:val="auto"/>
                <w:sz w:val="18"/>
              </w:rPr>
            </w:pPr>
            <w:r>
              <w:rPr>
                <w:rFonts w:hint="eastAsia" w:ascii="等线" w:hAnsi="等线" w:eastAsia="等线" w:cs="等线"/>
                <w:i w:val="0"/>
                <w:iCs w:val="0"/>
                <w:color w:val="auto"/>
                <w:kern w:val="0"/>
                <w:sz w:val="22"/>
                <w:szCs w:val="22"/>
                <w:u w:val="none"/>
                <w:lang w:val="en-US" w:eastAsia="zh-CN" w:bidi="ar"/>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293" w:type="pct"/>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auto"/>
                <w:sz w:val="18"/>
              </w:rPr>
            </w:pPr>
          </w:p>
        </w:tc>
        <w:tc>
          <w:tcPr>
            <w:tcW w:w="593" w:type="pct"/>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auto"/>
                <w:sz w:val="18"/>
              </w:rPr>
            </w:pPr>
          </w:p>
        </w:tc>
        <w:tc>
          <w:tcPr>
            <w:tcW w:w="293" w:type="pct"/>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auto"/>
                <w:sz w:val="18"/>
              </w:rPr>
            </w:pPr>
          </w:p>
        </w:tc>
        <w:tc>
          <w:tcPr>
            <w:tcW w:w="1011" w:type="pct"/>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auto"/>
                <w:sz w:val="18"/>
              </w:rPr>
            </w:pPr>
          </w:p>
        </w:tc>
        <w:tc>
          <w:tcPr>
            <w:tcW w:w="867" w:type="pct"/>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auto"/>
                <w:sz w:val="18"/>
              </w:rPr>
            </w:pPr>
          </w:p>
        </w:tc>
        <w:tc>
          <w:tcPr>
            <w:tcW w:w="867" w:type="pct"/>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auto"/>
                <w:sz w:val="18"/>
              </w:rPr>
            </w:pPr>
          </w:p>
        </w:tc>
        <w:tc>
          <w:tcPr>
            <w:tcW w:w="781" w:type="pct"/>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auto"/>
                <w:sz w:val="18"/>
              </w:rPr>
            </w:pPr>
          </w:p>
        </w:tc>
        <w:tc>
          <w:tcPr>
            <w:tcW w:w="293" w:type="pct"/>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293" w:type="pct"/>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auto"/>
                <w:sz w:val="18"/>
              </w:rPr>
            </w:pPr>
          </w:p>
        </w:tc>
        <w:tc>
          <w:tcPr>
            <w:tcW w:w="593" w:type="pct"/>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auto"/>
                <w:sz w:val="18"/>
              </w:rPr>
            </w:pPr>
          </w:p>
        </w:tc>
        <w:tc>
          <w:tcPr>
            <w:tcW w:w="293" w:type="pct"/>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auto"/>
                <w:sz w:val="18"/>
              </w:rPr>
            </w:pPr>
          </w:p>
        </w:tc>
        <w:tc>
          <w:tcPr>
            <w:tcW w:w="1011" w:type="pct"/>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auto"/>
                <w:sz w:val="18"/>
              </w:rPr>
            </w:pPr>
          </w:p>
        </w:tc>
        <w:tc>
          <w:tcPr>
            <w:tcW w:w="867" w:type="pct"/>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auto"/>
                <w:sz w:val="18"/>
              </w:rPr>
            </w:pPr>
          </w:p>
        </w:tc>
        <w:tc>
          <w:tcPr>
            <w:tcW w:w="867" w:type="pct"/>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auto"/>
                <w:sz w:val="18"/>
              </w:rPr>
            </w:pPr>
          </w:p>
        </w:tc>
        <w:tc>
          <w:tcPr>
            <w:tcW w:w="781" w:type="pct"/>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auto"/>
                <w:sz w:val="18"/>
              </w:rPr>
            </w:pPr>
          </w:p>
        </w:tc>
        <w:tc>
          <w:tcPr>
            <w:tcW w:w="293" w:type="pct"/>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293" w:type="pct"/>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auto"/>
                <w:sz w:val="18"/>
              </w:rPr>
            </w:pPr>
          </w:p>
        </w:tc>
        <w:tc>
          <w:tcPr>
            <w:tcW w:w="593" w:type="pct"/>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auto"/>
                <w:sz w:val="18"/>
              </w:rPr>
            </w:pPr>
          </w:p>
        </w:tc>
        <w:tc>
          <w:tcPr>
            <w:tcW w:w="293" w:type="pct"/>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auto"/>
                <w:sz w:val="18"/>
              </w:rPr>
            </w:pPr>
          </w:p>
        </w:tc>
        <w:tc>
          <w:tcPr>
            <w:tcW w:w="1011" w:type="pct"/>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auto"/>
                <w:sz w:val="18"/>
              </w:rPr>
            </w:pPr>
          </w:p>
        </w:tc>
        <w:tc>
          <w:tcPr>
            <w:tcW w:w="867" w:type="pct"/>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auto"/>
                <w:sz w:val="18"/>
              </w:rPr>
            </w:pPr>
          </w:p>
        </w:tc>
        <w:tc>
          <w:tcPr>
            <w:tcW w:w="867" w:type="pct"/>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auto"/>
                <w:sz w:val="18"/>
              </w:rPr>
            </w:pPr>
          </w:p>
        </w:tc>
        <w:tc>
          <w:tcPr>
            <w:tcW w:w="781" w:type="pct"/>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auto"/>
                <w:sz w:val="18"/>
              </w:rPr>
            </w:pPr>
          </w:p>
        </w:tc>
        <w:tc>
          <w:tcPr>
            <w:tcW w:w="293" w:type="pct"/>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293" w:type="pct"/>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auto"/>
                <w:sz w:val="18"/>
              </w:rPr>
            </w:pPr>
          </w:p>
        </w:tc>
        <w:tc>
          <w:tcPr>
            <w:tcW w:w="593" w:type="pct"/>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auto"/>
                <w:sz w:val="18"/>
              </w:rPr>
            </w:pPr>
          </w:p>
        </w:tc>
        <w:tc>
          <w:tcPr>
            <w:tcW w:w="293" w:type="pct"/>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auto"/>
                <w:sz w:val="18"/>
              </w:rPr>
            </w:pPr>
          </w:p>
        </w:tc>
        <w:tc>
          <w:tcPr>
            <w:tcW w:w="1011" w:type="pct"/>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auto"/>
                <w:sz w:val="18"/>
              </w:rPr>
            </w:pPr>
          </w:p>
        </w:tc>
        <w:tc>
          <w:tcPr>
            <w:tcW w:w="867" w:type="pct"/>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auto"/>
                <w:sz w:val="18"/>
              </w:rPr>
            </w:pPr>
          </w:p>
        </w:tc>
        <w:tc>
          <w:tcPr>
            <w:tcW w:w="867" w:type="pct"/>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auto"/>
                <w:sz w:val="18"/>
              </w:rPr>
            </w:pPr>
          </w:p>
        </w:tc>
        <w:tc>
          <w:tcPr>
            <w:tcW w:w="781" w:type="pct"/>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auto"/>
                <w:sz w:val="18"/>
              </w:rPr>
            </w:pPr>
          </w:p>
        </w:tc>
        <w:tc>
          <w:tcPr>
            <w:tcW w:w="293" w:type="pct"/>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auto"/>
                <w:sz w:val="18"/>
              </w:rPr>
            </w:pPr>
          </w:p>
        </w:tc>
      </w:tr>
    </w:tbl>
    <w:p>
      <w:pPr>
        <w:snapToGrid w:val="0"/>
        <w:rPr>
          <w:rFonts w:hint="default" w:ascii="宋体" w:hAnsi="宋体" w:eastAsia="宋体"/>
          <w:b/>
          <w:color w:val="auto"/>
          <w:szCs w:val="21"/>
          <w:lang w:val="en-US" w:eastAsia="zh-CN"/>
        </w:rPr>
      </w:pPr>
      <w:r>
        <w:rPr>
          <w:rFonts w:hint="eastAsia" w:ascii="宋体" w:hAnsi="宋体"/>
          <w:b/>
          <w:color w:val="auto"/>
          <w:szCs w:val="21"/>
        </w:rPr>
        <w:t>注：如上表不适合本项目的实际情况，可在确保</w:t>
      </w:r>
      <w:r>
        <w:rPr>
          <w:rFonts w:hint="eastAsia" w:ascii="宋体" w:hAnsi="宋体"/>
          <w:b/>
          <w:color w:val="auto"/>
          <w:szCs w:val="21"/>
          <w:lang w:eastAsia="zh-CN"/>
        </w:rPr>
        <w:t>响应</w:t>
      </w:r>
      <w:r>
        <w:rPr>
          <w:rFonts w:hint="eastAsia" w:ascii="宋体" w:hAnsi="宋体"/>
          <w:b/>
          <w:color w:val="auto"/>
          <w:szCs w:val="21"/>
        </w:rPr>
        <w:t>明细内容完整的情况下，</w:t>
      </w:r>
      <w:r>
        <w:rPr>
          <w:rFonts w:hint="eastAsia" w:ascii="宋体" w:hAnsi="宋体"/>
          <w:b/>
          <w:color w:val="auto"/>
          <w:szCs w:val="21"/>
          <w:lang w:val="en-US" w:eastAsia="zh-CN"/>
        </w:rPr>
        <w:t>格式自拟。</w:t>
      </w:r>
    </w:p>
    <w:p>
      <w:pPr>
        <w:snapToGrid w:val="0"/>
        <w:spacing w:before="120" w:beforeLines="50"/>
        <w:ind w:firstLine="2550" w:firstLineChars="850"/>
        <w:rPr>
          <w:rFonts w:ascii="宋体" w:hAnsi="宋体"/>
          <w:color w:val="auto"/>
          <w:sz w:val="30"/>
          <w:szCs w:val="30"/>
          <w:u w:val="single"/>
        </w:rPr>
      </w:pPr>
      <w:r>
        <w:rPr>
          <w:rFonts w:hint="eastAsia" w:ascii="宋体" w:hAnsi="宋体"/>
          <w:color w:val="auto"/>
          <w:sz w:val="30"/>
          <w:szCs w:val="30"/>
        </w:rPr>
        <w:t xml:space="preserve">                    日期：</w:t>
      </w:r>
    </w:p>
    <w:p>
      <w:pPr>
        <w:rPr>
          <w:rFonts w:hint="eastAsia" w:ascii="宋体" w:hAnsi="宋体"/>
          <w:color w:val="auto"/>
          <w:sz w:val="30"/>
          <w:szCs w:val="30"/>
        </w:rPr>
      </w:pPr>
      <w:r>
        <w:rPr>
          <w:rFonts w:hint="eastAsia" w:ascii="宋体" w:hAnsi="宋体"/>
          <w:color w:val="auto"/>
          <w:sz w:val="30"/>
          <w:szCs w:val="30"/>
        </w:rPr>
        <w:br w:type="page"/>
      </w:r>
    </w:p>
    <w:p>
      <w:pPr>
        <w:widowControl/>
        <w:spacing w:line="440" w:lineRule="exact"/>
        <w:ind w:left="0" w:leftChars="0" w:firstLine="0" w:firstLineChars="0"/>
        <w:jc w:val="left"/>
        <w:rPr>
          <w:rFonts w:ascii="宋体" w:hAnsi="宋体"/>
          <w:color w:val="auto"/>
          <w:sz w:val="30"/>
          <w:szCs w:val="30"/>
        </w:rPr>
      </w:pPr>
      <w:r>
        <w:rPr>
          <w:rFonts w:hint="eastAsia" w:ascii="宋体" w:hAnsi="宋体"/>
          <w:color w:val="auto"/>
          <w:sz w:val="30"/>
          <w:szCs w:val="30"/>
        </w:rPr>
        <w:t>附件8：</w:t>
      </w:r>
    </w:p>
    <w:p>
      <w:pPr>
        <w:widowControl/>
        <w:snapToGrid w:val="0"/>
        <w:ind w:left="0" w:leftChars="0" w:firstLine="0" w:firstLineChars="0"/>
        <w:jc w:val="center"/>
        <w:rPr>
          <w:rFonts w:ascii="宋体" w:hAnsi="宋体" w:cs="Arial"/>
          <w:b/>
          <w:bCs/>
          <w:color w:val="auto"/>
          <w:kern w:val="0"/>
          <w:sz w:val="36"/>
          <w:szCs w:val="36"/>
        </w:rPr>
      </w:pPr>
      <w:r>
        <w:rPr>
          <w:rFonts w:hint="eastAsia" w:ascii="宋体" w:hAnsi="宋体" w:cs="Arial"/>
          <w:b/>
          <w:bCs/>
          <w:color w:val="auto"/>
          <w:kern w:val="0"/>
          <w:sz w:val="36"/>
          <w:szCs w:val="36"/>
        </w:rPr>
        <w:t>服务网点清单</w:t>
      </w:r>
    </w:p>
    <w:p>
      <w:pPr>
        <w:pStyle w:val="7"/>
        <w:snapToGrid w:val="0"/>
        <w:ind w:left="0" w:leftChars="0" w:firstLine="0" w:firstLineChars="0"/>
        <w:jc w:val="both"/>
        <w:rPr>
          <w:rFonts w:ascii="宋体" w:hAnsi="宋体" w:eastAsia="宋体"/>
          <w:color w:val="auto"/>
          <w:sz w:val="30"/>
          <w:szCs w:val="30"/>
          <w:u w:val="single"/>
        </w:rPr>
      </w:pPr>
      <w:r>
        <w:rPr>
          <w:rFonts w:hint="eastAsia" w:ascii="宋体" w:hAnsi="宋体" w:eastAsia="宋体"/>
          <w:color w:val="auto"/>
          <w:sz w:val="30"/>
          <w:szCs w:val="30"/>
        </w:rPr>
        <w:t xml:space="preserve">响应方全称（公章）：            </w:t>
      </w:r>
      <w:r>
        <w:rPr>
          <w:rFonts w:hint="eastAsia" w:ascii="宋体" w:hAnsi="宋体" w:eastAsia="宋体"/>
          <w:color w:val="auto"/>
          <w:sz w:val="30"/>
          <w:szCs w:val="30"/>
          <w:lang w:eastAsia="zh-CN"/>
        </w:rPr>
        <w:t>采购包</w:t>
      </w:r>
      <w:r>
        <w:rPr>
          <w:rFonts w:hint="eastAsia" w:ascii="宋体" w:hAnsi="宋体" w:eastAsia="宋体"/>
          <w:color w:val="auto"/>
          <w:sz w:val="30"/>
          <w:szCs w:val="30"/>
        </w:rPr>
        <w:t>：</w:t>
      </w:r>
    </w:p>
    <w:tbl>
      <w:tblPr>
        <w:tblStyle w:val="18"/>
        <w:tblW w:w="8580" w:type="dxa"/>
        <w:tblInd w:w="-269" w:type="dxa"/>
        <w:tblLayout w:type="fixed"/>
        <w:tblCellMar>
          <w:top w:w="15" w:type="dxa"/>
          <w:left w:w="15" w:type="dxa"/>
          <w:bottom w:w="15" w:type="dxa"/>
          <w:right w:w="15" w:type="dxa"/>
        </w:tblCellMar>
      </w:tblPr>
      <w:tblGrid>
        <w:gridCol w:w="1428"/>
        <w:gridCol w:w="1835"/>
        <w:gridCol w:w="1594"/>
        <w:gridCol w:w="1278"/>
        <w:gridCol w:w="2445"/>
      </w:tblGrid>
      <w:tr>
        <w:tblPrEx>
          <w:tblCellMar>
            <w:top w:w="15" w:type="dxa"/>
            <w:left w:w="15" w:type="dxa"/>
            <w:bottom w:w="15" w:type="dxa"/>
            <w:right w:w="15" w:type="dxa"/>
          </w:tblCellMar>
        </w:tblPrEx>
        <w:trPr>
          <w:trHeight w:val="634" w:hRule="atLeast"/>
        </w:trPr>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宋体" w:hAnsi="宋体" w:cs="宋体"/>
                <w:b/>
                <w:color w:val="auto"/>
                <w:sz w:val="24"/>
              </w:rPr>
            </w:pPr>
            <w:r>
              <w:rPr>
                <w:rFonts w:hint="eastAsia" w:ascii="宋体" w:hAnsi="宋体" w:cs="宋体"/>
                <w:b/>
                <w:color w:val="auto"/>
                <w:kern w:val="0"/>
                <w:sz w:val="24"/>
              </w:rPr>
              <w:t>所属地市</w:t>
            </w:r>
          </w:p>
        </w:tc>
        <w:tc>
          <w:tcPr>
            <w:tcW w:w="1835" w:type="dxa"/>
            <w:tcBorders>
              <w:top w:val="single" w:color="000000" w:sz="4" w:space="0"/>
              <w:left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ascii="宋体" w:hAnsi="宋体" w:cs="宋体"/>
                <w:b/>
                <w:color w:val="auto"/>
                <w:sz w:val="24"/>
              </w:rPr>
            </w:pPr>
            <w:r>
              <w:rPr>
                <w:rFonts w:hint="eastAsia" w:ascii="宋体" w:hAnsi="宋体" w:cs="宋体"/>
                <w:b/>
                <w:color w:val="auto"/>
                <w:sz w:val="24"/>
              </w:rPr>
              <w:t>公司名称</w:t>
            </w:r>
          </w:p>
        </w:tc>
        <w:tc>
          <w:tcPr>
            <w:tcW w:w="1594" w:type="dxa"/>
            <w:tcBorders>
              <w:top w:val="single" w:color="000000" w:sz="4" w:space="0"/>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ascii="宋体" w:hAnsi="宋体" w:cs="宋体"/>
                <w:b/>
                <w:color w:val="auto"/>
                <w:sz w:val="24"/>
              </w:rPr>
            </w:pPr>
            <w:r>
              <w:rPr>
                <w:rFonts w:hint="eastAsia" w:ascii="宋体" w:hAnsi="宋体" w:cs="宋体"/>
                <w:b/>
                <w:color w:val="auto"/>
                <w:sz w:val="24"/>
              </w:rPr>
              <w:t>公司地址</w:t>
            </w:r>
          </w:p>
        </w:tc>
        <w:tc>
          <w:tcPr>
            <w:tcW w:w="1278" w:type="dxa"/>
            <w:tcBorders>
              <w:top w:val="single" w:color="000000" w:sz="4" w:space="0"/>
              <w:left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ascii="宋体" w:hAnsi="宋体" w:cs="宋体"/>
                <w:b/>
                <w:color w:val="auto"/>
                <w:sz w:val="24"/>
              </w:rPr>
            </w:pPr>
            <w:r>
              <w:rPr>
                <w:rFonts w:hint="eastAsia" w:ascii="宋体" w:hAnsi="宋体" w:cs="宋体"/>
                <w:b/>
                <w:color w:val="auto"/>
                <w:sz w:val="24"/>
              </w:rPr>
              <w:t>联系人</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ascii="宋体" w:hAnsi="宋体" w:cs="宋体"/>
                <w:b/>
                <w:color w:val="auto"/>
                <w:sz w:val="24"/>
              </w:rPr>
            </w:pPr>
            <w:r>
              <w:rPr>
                <w:rFonts w:hint="eastAsia" w:ascii="宋体" w:hAnsi="宋体" w:cs="宋体"/>
                <w:b/>
                <w:color w:val="auto"/>
                <w:sz w:val="24"/>
              </w:rPr>
              <w:t>（协调人）</w:t>
            </w:r>
          </w:p>
        </w:tc>
        <w:tc>
          <w:tcPr>
            <w:tcW w:w="2445" w:type="dxa"/>
            <w:tcBorders>
              <w:top w:val="single" w:color="000000" w:sz="4" w:space="0"/>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ascii="宋体" w:hAnsi="宋体" w:cs="宋体"/>
                <w:b/>
                <w:color w:val="auto"/>
                <w:sz w:val="24"/>
              </w:rPr>
            </w:pPr>
            <w:r>
              <w:rPr>
                <w:rFonts w:hint="eastAsia" w:ascii="宋体" w:hAnsi="宋体" w:cs="宋体"/>
                <w:b/>
                <w:color w:val="auto"/>
                <w:sz w:val="24"/>
              </w:rPr>
              <w:t>联系电话（手机）</w:t>
            </w:r>
          </w:p>
        </w:tc>
      </w:tr>
      <w:tr>
        <w:tblPrEx>
          <w:tblCellMar>
            <w:top w:w="15" w:type="dxa"/>
            <w:left w:w="15" w:type="dxa"/>
            <w:bottom w:w="15" w:type="dxa"/>
            <w:right w:w="15" w:type="dxa"/>
          </w:tblCellMar>
        </w:tblPrEx>
        <w:trPr>
          <w:trHeight w:val="364" w:hRule="atLeast"/>
        </w:trPr>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宋体" w:hAnsi="宋体" w:cs="宋体"/>
                <w:b/>
                <w:color w:val="auto"/>
                <w:kern w:val="0"/>
                <w:szCs w:val="21"/>
              </w:rPr>
            </w:pPr>
            <w:r>
              <w:rPr>
                <w:rFonts w:hint="eastAsia" w:ascii="宋体" w:hAnsi="宋体" w:cs="宋体"/>
                <w:b/>
                <w:bCs w:val="0"/>
                <w:color w:val="auto"/>
                <w:kern w:val="0"/>
                <w:sz w:val="24"/>
                <w:szCs w:val="18"/>
              </w:rPr>
              <w:t>浙江省总协调人</w:t>
            </w:r>
          </w:p>
        </w:tc>
        <w:tc>
          <w:tcPr>
            <w:tcW w:w="1835" w:type="dxa"/>
            <w:tcBorders>
              <w:top w:val="single" w:color="000000" w:sz="4" w:space="0"/>
              <w:left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ascii="宋体" w:hAnsi="宋体" w:cs="宋体"/>
                <w:b/>
                <w:color w:val="auto"/>
                <w:sz w:val="24"/>
              </w:rPr>
            </w:pPr>
          </w:p>
        </w:tc>
        <w:tc>
          <w:tcPr>
            <w:tcW w:w="1594" w:type="dxa"/>
            <w:tcBorders>
              <w:top w:val="single" w:color="000000" w:sz="4" w:space="0"/>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ascii="宋体" w:hAnsi="宋体" w:cs="宋体"/>
                <w:b/>
                <w:color w:val="auto"/>
                <w:sz w:val="24"/>
              </w:rPr>
            </w:pPr>
          </w:p>
        </w:tc>
        <w:tc>
          <w:tcPr>
            <w:tcW w:w="1278" w:type="dxa"/>
            <w:tcBorders>
              <w:top w:val="single" w:color="000000" w:sz="4" w:space="0"/>
              <w:left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ascii="宋体" w:hAnsi="宋体" w:cs="宋体"/>
                <w:b/>
                <w:color w:val="auto"/>
                <w:sz w:val="24"/>
              </w:rPr>
            </w:pPr>
          </w:p>
        </w:tc>
        <w:tc>
          <w:tcPr>
            <w:tcW w:w="2445" w:type="dxa"/>
            <w:tcBorders>
              <w:top w:val="single" w:color="000000" w:sz="4" w:space="0"/>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ascii="宋体" w:hAnsi="宋体" w:cs="宋体"/>
                <w:b/>
                <w:color w:val="auto"/>
                <w:sz w:val="24"/>
              </w:rPr>
            </w:pPr>
          </w:p>
        </w:tc>
      </w:tr>
      <w:tr>
        <w:tblPrEx>
          <w:tblCellMar>
            <w:top w:w="15" w:type="dxa"/>
            <w:left w:w="15" w:type="dxa"/>
            <w:bottom w:w="15" w:type="dxa"/>
            <w:right w:w="15" w:type="dxa"/>
          </w:tblCellMar>
        </w:tblPrEx>
        <w:trPr>
          <w:trHeight w:val="364" w:hRule="atLeast"/>
        </w:trPr>
        <w:tc>
          <w:tcPr>
            <w:tcW w:w="142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宋体" w:hAnsi="宋体" w:cs="宋体"/>
                <w:color w:val="auto"/>
                <w:sz w:val="24"/>
              </w:rPr>
            </w:pPr>
            <w:r>
              <w:rPr>
                <w:rFonts w:hint="eastAsia" w:ascii="宋体" w:hAnsi="宋体" w:cs="宋体"/>
                <w:color w:val="auto"/>
                <w:kern w:val="0"/>
                <w:sz w:val="24"/>
              </w:rPr>
              <w:t>省本级</w:t>
            </w:r>
          </w:p>
        </w:tc>
        <w:tc>
          <w:tcPr>
            <w:tcW w:w="1835" w:type="dxa"/>
            <w:tcBorders>
              <w:top w:val="single" w:color="000000" w:sz="4" w:space="0"/>
              <w:left w:val="single" w:color="000000"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ascii="宋体" w:hAnsi="宋体" w:cs="宋体"/>
                <w:color w:val="auto"/>
                <w:kern w:val="0"/>
                <w:sz w:val="24"/>
              </w:rPr>
            </w:pPr>
          </w:p>
        </w:tc>
        <w:tc>
          <w:tcPr>
            <w:tcW w:w="1594" w:type="dxa"/>
            <w:tcBorders>
              <w:top w:val="single" w:color="000000" w:sz="4" w:space="0"/>
              <w:left w:val="single" w:color="auto" w:sz="4" w:space="0"/>
              <w:bottom w:val="single" w:color="auto"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ascii="宋体" w:hAnsi="宋体" w:cs="宋体"/>
                <w:color w:val="auto"/>
                <w:kern w:val="0"/>
                <w:sz w:val="24"/>
              </w:rPr>
            </w:pPr>
          </w:p>
        </w:tc>
        <w:tc>
          <w:tcPr>
            <w:tcW w:w="1278" w:type="dxa"/>
            <w:tcBorders>
              <w:top w:val="single" w:color="000000" w:sz="4" w:space="0"/>
              <w:left w:val="single" w:color="000000"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ascii="宋体" w:hAnsi="宋体" w:cs="宋体"/>
                <w:color w:val="auto"/>
                <w:kern w:val="0"/>
                <w:sz w:val="24"/>
              </w:rPr>
            </w:pPr>
          </w:p>
        </w:tc>
        <w:tc>
          <w:tcPr>
            <w:tcW w:w="2445" w:type="dxa"/>
            <w:tcBorders>
              <w:top w:val="single" w:color="000000" w:sz="4" w:space="0"/>
              <w:left w:val="single" w:color="auto" w:sz="4" w:space="0"/>
              <w:bottom w:val="single" w:color="auto"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ascii="宋体" w:hAnsi="宋体" w:cs="宋体"/>
                <w:color w:val="auto"/>
                <w:kern w:val="0"/>
                <w:sz w:val="24"/>
              </w:rPr>
            </w:pPr>
          </w:p>
        </w:tc>
      </w:tr>
      <w:tr>
        <w:trPr>
          <w:trHeight w:val="372" w:hRule="atLeast"/>
        </w:trPr>
        <w:tc>
          <w:tcPr>
            <w:tcW w:w="1428"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宋体" w:hAnsi="宋体" w:cs="宋体"/>
                <w:color w:val="auto"/>
                <w:kern w:val="0"/>
                <w:sz w:val="24"/>
              </w:rPr>
            </w:pPr>
          </w:p>
        </w:tc>
        <w:tc>
          <w:tcPr>
            <w:tcW w:w="1835" w:type="dxa"/>
            <w:tcBorders>
              <w:top w:val="single" w:color="auto"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ascii="宋体" w:hAnsi="宋体" w:cs="宋体"/>
                <w:color w:val="auto"/>
                <w:kern w:val="0"/>
                <w:sz w:val="24"/>
              </w:rPr>
            </w:pPr>
          </w:p>
        </w:tc>
        <w:tc>
          <w:tcPr>
            <w:tcW w:w="1594" w:type="dxa"/>
            <w:tcBorders>
              <w:top w:val="single" w:color="auto"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ascii="宋体" w:hAnsi="宋体" w:cs="宋体"/>
                <w:color w:val="auto"/>
                <w:kern w:val="0"/>
                <w:sz w:val="24"/>
              </w:rPr>
            </w:pPr>
          </w:p>
        </w:tc>
        <w:tc>
          <w:tcPr>
            <w:tcW w:w="1278" w:type="dxa"/>
            <w:tcBorders>
              <w:top w:val="single" w:color="auto"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ascii="宋体" w:hAnsi="宋体" w:cs="宋体"/>
                <w:color w:val="auto"/>
                <w:kern w:val="0"/>
                <w:sz w:val="24"/>
              </w:rPr>
            </w:pPr>
          </w:p>
        </w:tc>
        <w:tc>
          <w:tcPr>
            <w:tcW w:w="2445" w:type="dxa"/>
            <w:tcBorders>
              <w:top w:val="single" w:color="auto"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ascii="宋体" w:hAnsi="宋体" w:cs="宋体"/>
                <w:color w:val="auto"/>
                <w:kern w:val="0"/>
                <w:sz w:val="24"/>
              </w:rPr>
            </w:pPr>
          </w:p>
        </w:tc>
      </w:tr>
      <w:tr>
        <w:tblPrEx>
          <w:tblCellMar>
            <w:top w:w="15" w:type="dxa"/>
            <w:left w:w="15" w:type="dxa"/>
            <w:bottom w:w="15" w:type="dxa"/>
            <w:right w:w="15" w:type="dxa"/>
          </w:tblCellMar>
        </w:tblPrEx>
        <w:trPr>
          <w:trHeight w:val="372" w:hRule="atLeast"/>
        </w:trPr>
        <w:tc>
          <w:tcPr>
            <w:tcW w:w="14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宋体" w:hAnsi="宋体" w:cs="宋体"/>
                <w:color w:val="auto"/>
                <w:sz w:val="24"/>
              </w:rPr>
            </w:pPr>
            <w:r>
              <w:rPr>
                <w:rFonts w:hint="eastAsia" w:ascii="宋体" w:hAnsi="宋体" w:cs="宋体"/>
                <w:color w:val="auto"/>
                <w:kern w:val="0"/>
                <w:sz w:val="24"/>
              </w:rPr>
              <w:t>杭州</w:t>
            </w:r>
          </w:p>
        </w:tc>
        <w:tc>
          <w:tcPr>
            <w:tcW w:w="1835"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r>
      <w:tr>
        <w:tblPrEx>
          <w:tblCellMar>
            <w:top w:w="15" w:type="dxa"/>
            <w:left w:w="15" w:type="dxa"/>
            <w:bottom w:w="15" w:type="dxa"/>
            <w:right w:w="15" w:type="dxa"/>
          </w:tblCellMar>
        </w:tblPrEx>
        <w:trPr>
          <w:trHeight w:val="372" w:hRule="atLeast"/>
        </w:trPr>
        <w:tc>
          <w:tcPr>
            <w:tcW w:w="14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ascii="宋体" w:hAnsi="宋体" w:cs="宋体"/>
                <w:color w:val="auto"/>
                <w:sz w:val="24"/>
              </w:rPr>
            </w:pPr>
          </w:p>
        </w:tc>
        <w:tc>
          <w:tcPr>
            <w:tcW w:w="1835"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r>
      <w:tr>
        <w:tblPrEx>
          <w:tblCellMar>
            <w:top w:w="15" w:type="dxa"/>
            <w:left w:w="15" w:type="dxa"/>
            <w:bottom w:w="15" w:type="dxa"/>
            <w:right w:w="15" w:type="dxa"/>
          </w:tblCellMar>
        </w:tblPrEx>
        <w:trPr>
          <w:trHeight w:val="372" w:hRule="atLeast"/>
        </w:trPr>
        <w:tc>
          <w:tcPr>
            <w:tcW w:w="14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宋体" w:hAnsi="宋体" w:cs="宋体"/>
                <w:color w:val="auto"/>
                <w:sz w:val="24"/>
              </w:rPr>
            </w:pPr>
            <w:r>
              <w:rPr>
                <w:rFonts w:hint="eastAsia" w:ascii="宋体" w:hAnsi="宋体" w:cs="宋体"/>
                <w:color w:val="auto"/>
                <w:kern w:val="0"/>
                <w:sz w:val="24"/>
              </w:rPr>
              <w:t>宁波</w:t>
            </w:r>
          </w:p>
        </w:tc>
        <w:tc>
          <w:tcPr>
            <w:tcW w:w="1835"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r>
      <w:tr>
        <w:tblPrEx>
          <w:tblCellMar>
            <w:top w:w="15" w:type="dxa"/>
            <w:left w:w="15" w:type="dxa"/>
            <w:bottom w:w="15" w:type="dxa"/>
            <w:right w:w="15" w:type="dxa"/>
          </w:tblCellMar>
        </w:tblPrEx>
        <w:trPr>
          <w:trHeight w:val="372" w:hRule="atLeast"/>
        </w:trPr>
        <w:tc>
          <w:tcPr>
            <w:tcW w:w="14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ascii="宋体" w:hAnsi="宋体" w:cs="宋体"/>
                <w:color w:val="auto"/>
                <w:sz w:val="24"/>
              </w:rPr>
            </w:pPr>
          </w:p>
        </w:tc>
        <w:tc>
          <w:tcPr>
            <w:tcW w:w="1835"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r>
      <w:tr>
        <w:tblPrEx>
          <w:tblCellMar>
            <w:top w:w="15" w:type="dxa"/>
            <w:left w:w="15" w:type="dxa"/>
            <w:bottom w:w="15" w:type="dxa"/>
            <w:right w:w="15" w:type="dxa"/>
          </w:tblCellMar>
        </w:tblPrEx>
        <w:trPr>
          <w:trHeight w:val="372" w:hRule="atLeast"/>
        </w:trPr>
        <w:tc>
          <w:tcPr>
            <w:tcW w:w="14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宋体" w:hAnsi="宋体" w:cs="宋体"/>
                <w:color w:val="auto"/>
                <w:sz w:val="24"/>
              </w:rPr>
            </w:pPr>
            <w:r>
              <w:rPr>
                <w:rFonts w:hint="eastAsia" w:ascii="宋体" w:hAnsi="宋体" w:cs="宋体"/>
                <w:color w:val="auto"/>
                <w:kern w:val="0"/>
                <w:sz w:val="24"/>
              </w:rPr>
              <w:t>温州</w:t>
            </w:r>
          </w:p>
        </w:tc>
        <w:tc>
          <w:tcPr>
            <w:tcW w:w="1835"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r>
      <w:tr>
        <w:tblPrEx>
          <w:tblCellMar>
            <w:top w:w="15" w:type="dxa"/>
            <w:left w:w="15" w:type="dxa"/>
            <w:bottom w:w="15" w:type="dxa"/>
            <w:right w:w="15" w:type="dxa"/>
          </w:tblCellMar>
        </w:tblPrEx>
        <w:trPr>
          <w:trHeight w:val="372" w:hRule="atLeast"/>
        </w:trPr>
        <w:tc>
          <w:tcPr>
            <w:tcW w:w="14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ascii="宋体" w:hAnsi="宋体" w:cs="宋体"/>
                <w:color w:val="auto"/>
                <w:sz w:val="24"/>
              </w:rPr>
            </w:pPr>
          </w:p>
        </w:tc>
        <w:tc>
          <w:tcPr>
            <w:tcW w:w="1835"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r>
      <w:tr>
        <w:tblPrEx>
          <w:tblCellMar>
            <w:top w:w="15" w:type="dxa"/>
            <w:left w:w="15" w:type="dxa"/>
            <w:bottom w:w="15" w:type="dxa"/>
            <w:right w:w="15" w:type="dxa"/>
          </w:tblCellMar>
        </w:tblPrEx>
        <w:trPr>
          <w:trHeight w:val="372" w:hRule="atLeast"/>
        </w:trPr>
        <w:tc>
          <w:tcPr>
            <w:tcW w:w="14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宋体" w:hAnsi="宋体" w:cs="宋体"/>
                <w:color w:val="auto"/>
                <w:sz w:val="24"/>
              </w:rPr>
            </w:pPr>
            <w:r>
              <w:rPr>
                <w:rFonts w:hint="eastAsia" w:ascii="宋体" w:hAnsi="宋体" w:cs="宋体"/>
                <w:color w:val="auto"/>
                <w:kern w:val="0"/>
                <w:sz w:val="24"/>
              </w:rPr>
              <w:t>嘉兴</w:t>
            </w:r>
          </w:p>
        </w:tc>
        <w:tc>
          <w:tcPr>
            <w:tcW w:w="1835"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r>
      <w:tr>
        <w:tblPrEx>
          <w:tblCellMar>
            <w:top w:w="15" w:type="dxa"/>
            <w:left w:w="15" w:type="dxa"/>
            <w:bottom w:w="15" w:type="dxa"/>
            <w:right w:w="15" w:type="dxa"/>
          </w:tblCellMar>
        </w:tblPrEx>
        <w:trPr>
          <w:trHeight w:val="372" w:hRule="atLeast"/>
        </w:trPr>
        <w:tc>
          <w:tcPr>
            <w:tcW w:w="14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ascii="宋体" w:hAnsi="宋体" w:cs="宋体"/>
                <w:color w:val="auto"/>
                <w:sz w:val="24"/>
              </w:rPr>
            </w:pPr>
          </w:p>
        </w:tc>
        <w:tc>
          <w:tcPr>
            <w:tcW w:w="1835"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r>
      <w:tr>
        <w:tblPrEx>
          <w:tblCellMar>
            <w:top w:w="15" w:type="dxa"/>
            <w:left w:w="15" w:type="dxa"/>
            <w:bottom w:w="15" w:type="dxa"/>
            <w:right w:w="15" w:type="dxa"/>
          </w:tblCellMar>
        </w:tblPrEx>
        <w:trPr>
          <w:trHeight w:val="372" w:hRule="atLeast"/>
        </w:trPr>
        <w:tc>
          <w:tcPr>
            <w:tcW w:w="14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宋体" w:hAnsi="宋体" w:cs="宋体"/>
                <w:color w:val="auto"/>
                <w:sz w:val="24"/>
              </w:rPr>
            </w:pPr>
            <w:r>
              <w:rPr>
                <w:rFonts w:hint="eastAsia" w:ascii="宋体" w:hAnsi="宋体" w:cs="宋体"/>
                <w:color w:val="auto"/>
                <w:kern w:val="0"/>
                <w:sz w:val="24"/>
              </w:rPr>
              <w:t>湖州</w:t>
            </w:r>
          </w:p>
        </w:tc>
        <w:tc>
          <w:tcPr>
            <w:tcW w:w="1835"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r>
      <w:tr>
        <w:tblPrEx>
          <w:tblCellMar>
            <w:top w:w="15" w:type="dxa"/>
            <w:left w:w="15" w:type="dxa"/>
            <w:bottom w:w="15" w:type="dxa"/>
            <w:right w:w="15" w:type="dxa"/>
          </w:tblCellMar>
        </w:tblPrEx>
        <w:trPr>
          <w:trHeight w:val="372" w:hRule="atLeast"/>
        </w:trPr>
        <w:tc>
          <w:tcPr>
            <w:tcW w:w="14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ascii="宋体" w:hAnsi="宋体" w:cs="宋体"/>
                <w:color w:val="auto"/>
                <w:sz w:val="24"/>
              </w:rPr>
            </w:pPr>
          </w:p>
        </w:tc>
        <w:tc>
          <w:tcPr>
            <w:tcW w:w="1835"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r>
      <w:tr>
        <w:tblPrEx>
          <w:tblCellMar>
            <w:top w:w="15" w:type="dxa"/>
            <w:left w:w="15" w:type="dxa"/>
            <w:bottom w:w="15" w:type="dxa"/>
            <w:right w:w="15" w:type="dxa"/>
          </w:tblCellMar>
        </w:tblPrEx>
        <w:trPr>
          <w:trHeight w:val="372" w:hRule="atLeast"/>
        </w:trPr>
        <w:tc>
          <w:tcPr>
            <w:tcW w:w="14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宋体" w:hAnsi="宋体" w:cs="宋体"/>
                <w:color w:val="auto"/>
                <w:sz w:val="24"/>
              </w:rPr>
            </w:pPr>
            <w:r>
              <w:rPr>
                <w:rFonts w:hint="eastAsia" w:ascii="宋体" w:hAnsi="宋体" w:cs="宋体"/>
                <w:color w:val="auto"/>
                <w:kern w:val="0"/>
                <w:sz w:val="24"/>
              </w:rPr>
              <w:t>绍兴</w:t>
            </w:r>
          </w:p>
        </w:tc>
        <w:tc>
          <w:tcPr>
            <w:tcW w:w="1835"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r>
      <w:tr>
        <w:tblPrEx>
          <w:tblCellMar>
            <w:top w:w="15" w:type="dxa"/>
            <w:left w:w="15" w:type="dxa"/>
            <w:bottom w:w="15" w:type="dxa"/>
            <w:right w:w="15" w:type="dxa"/>
          </w:tblCellMar>
        </w:tblPrEx>
        <w:trPr>
          <w:trHeight w:val="372" w:hRule="atLeast"/>
        </w:trPr>
        <w:tc>
          <w:tcPr>
            <w:tcW w:w="14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ascii="宋体" w:hAnsi="宋体" w:cs="宋体"/>
                <w:color w:val="auto"/>
                <w:sz w:val="24"/>
              </w:rPr>
            </w:pPr>
          </w:p>
        </w:tc>
        <w:tc>
          <w:tcPr>
            <w:tcW w:w="1835"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r>
      <w:tr>
        <w:tblPrEx>
          <w:tblCellMar>
            <w:top w:w="15" w:type="dxa"/>
            <w:left w:w="15" w:type="dxa"/>
            <w:bottom w:w="15" w:type="dxa"/>
            <w:right w:w="15" w:type="dxa"/>
          </w:tblCellMar>
        </w:tblPrEx>
        <w:trPr>
          <w:trHeight w:val="372" w:hRule="atLeast"/>
        </w:trPr>
        <w:tc>
          <w:tcPr>
            <w:tcW w:w="14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宋体" w:hAnsi="宋体" w:cs="宋体"/>
                <w:color w:val="auto"/>
                <w:sz w:val="24"/>
              </w:rPr>
            </w:pPr>
            <w:r>
              <w:rPr>
                <w:rFonts w:hint="eastAsia" w:ascii="宋体" w:hAnsi="宋体" w:cs="宋体"/>
                <w:color w:val="auto"/>
                <w:kern w:val="0"/>
                <w:sz w:val="24"/>
              </w:rPr>
              <w:t>金华</w:t>
            </w:r>
          </w:p>
        </w:tc>
        <w:tc>
          <w:tcPr>
            <w:tcW w:w="1835"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r>
      <w:tr>
        <w:tblPrEx>
          <w:tblCellMar>
            <w:top w:w="15" w:type="dxa"/>
            <w:left w:w="15" w:type="dxa"/>
            <w:bottom w:w="15" w:type="dxa"/>
            <w:right w:w="15" w:type="dxa"/>
          </w:tblCellMar>
        </w:tblPrEx>
        <w:trPr>
          <w:trHeight w:val="372" w:hRule="atLeast"/>
        </w:trPr>
        <w:tc>
          <w:tcPr>
            <w:tcW w:w="14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ascii="宋体" w:hAnsi="宋体" w:cs="宋体"/>
                <w:color w:val="auto"/>
                <w:sz w:val="24"/>
              </w:rPr>
            </w:pPr>
          </w:p>
        </w:tc>
        <w:tc>
          <w:tcPr>
            <w:tcW w:w="1835"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r>
      <w:tr>
        <w:tblPrEx>
          <w:tblCellMar>
            <w:top w:w="15" w:type="dxa"/>
            <w:left w:w="15" w:type="dxa"/>
            <w:bottom w:w="15" w:type="dxa"/>
            <w:right w:w="15" w:type="dxa"/>
          </w:tblCellMar>
        </w:tblPrEx>
        <w:trPr>
          <w:trHeight w:val="372" w:hRule="atLeast"/>
        </w:trPr>
        <w:tc>
          <w:tcPr>
            <w:tcW w:w="14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宋体" w:hAnsi="宋体" w:cs="宋体"/>
                <w:color w:val="auto"/>
                <w:sz w:val="24"/>
              </w:rPr>
            </w:pPr>
            <w:r>
              <w:rPr>
                <w:rFonts w:hint="eastAsia" w:ascii="宋体" w:hAnsi="宋体" w:cs="宋体"/>
                <w:color w:val="auto"/>
                <w:kern w:val="0"/>
                <w:sz w:val="24"/>
              </w:rPr>
              <w:t>衢州</w:t>
            </w:r>
          </w:p>
        </w:tc>
        <w:tc>
          <w:tcPr>
            <w:tcW w:w="1835"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r>
      <w:tr>
        <w:tblPrEx>
          <w:tblCellMar>
            <w:top w:w="15" w:type="dxa"/>
            <w:left w:w="15" w:type="dxa"/>
            <w:bottom w:w="15" w:type="dxa"/>
            <w:right w:w="15" w:type="dxa"/>
          </w:tblCellMar>
        </w:tblPrEx>
        <w:trPr>
          <w:trHeight w:val="372" w:hRule="atLeast"/>
        </w:trPr>
        <w:tc>
          <w:tcPr>
            <w:tcW w:w="14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ascii="宋体" w:hAnsi="宋体" w:cs="宋体"/>
                <w:color w:val="auto"/>
                <w:sz w:val="24"/>
              </w:rPr>
            </w:pPr>
          </w:p>
        </w:tc>
        <w:tc>
          <w:tcPr>
            <w:tcW w:w="1835"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r>
      <w:tr>
        <w:tblPrEx>
          <w:tblCellMar>
            <w:top w:w="15" w:type="dxa"/>
            <w:left w:w="15" w:type="dxa"/>
            <w:bottom w:w="15" w:type="dxa"/>
            <w:right w:w="15" w:type="dxa"/>
          </w:tblCellMar>
        </w:tblPrEx>
        <w:trPr>
          <w:trHeight w:val="372" w:hRule="atLeast"/>
        </w:trPr>
        <w:tc>
          <w:tcPr>
            <w:tcW w:w="14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宋体" w:hAnsi="宋体" w:cs="宋体"/>
                <w:color w:val="auto"/>
                <w:sz w:val="24"/>
              </w:rPr>
            </w:pPr>
            <w:r>
              <w:rPr>
                <w:rFonts w:hint="eastAsia" w:ascii="宋体" w:hAnsi="宋体" w:cs="宋体"/>
                <w:color w:val="auto"/>
                <w:kern w:val="0"/>
                <w:sz w:val="24"/>
              </w:rPr>
              <w:t>舟山</w:t>
            </w:r>
          </w:p>
        </w:tc>
        <w:tc>
          <w:tcPr>
            <w:tcW w:w="1835"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r>
      <w:tr>
        <w:tblPrEx>
          <w:tblCellMar>
            <w:top w:w="15" w:type="dxa"/>
            <w:left w:w="15" w:type="dxa"/>
            <w:bottom w:w="15" w:type="dxa"/>
            <w:right w:w="15" w:type="dxa"/>
          </w:tblCellMar>
        </w:tblPrEx>
        <w:trPr>
          <w:trHeight w:val="372" w:hRule="atLeast"/>
        </w:trPr>
        <w:tc>
          <w:tcPr>
            <w:tcW w:w="14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ascii="宋体" w:hAnsi="宋体" w:cs="宋体"/>
                <w:color w:val="auto"/>
                <w:sz w:val="24"/>
              </w:rPr>
            </w:pPr>
          </w:p>
        </w:tc>
        <w:tc>
          <w:tcPr>
            <w:tcW w:w="1835"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r>
      <w:tr>
        <w:tblPrEx>
          <w:tblCellMar>
            <w:top w:w="15" w:type="dxa"/>
            <w:left w:w="15" w:type="dxa"/>
            <w:bottom w:w="15" w:type="dxa"/>
            <w:right w:w="15" w:type="dxa"/>
          </w:tblCellMar>
        </w:tblPrEx>
        <w:trPr>
          <w:trHeight w:val="372" w:hRule="atLeast"/>
        </w:trPr>
        <w:tc>
          <w:tcPr>
            <w:tcW w:w="14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宋体" w:hAnsi="宋体" w:cs="宋体"/>
                <w:color w:val="auto"/>
                <w:sz w:val="24"/>
              </w:rPr>
            </w:pPr>
            <w:r>
              <w:rPr>
                <w:rFonts w:hint="eastAsia" w:ascii="宋体" w:hAnsi="宋体" w:cs="宋体"/>
                <w:color w:val="auto"/>
                <w:kern w:val="0"/>
                <w:sz w:val="24"/>
              </w:rPr>
              <w:t>台州</w:t>
            </w:r>
          </w:p>
        </w:tc>
        <w:tc>
          <w:tcPr>
            <w:tcW w:w="1835"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r>
      <w:tr>
        <w:tblPrEx>
          <w:tblCellMar>
            <w:top w:w="15" w:type="dxa"/>
            <w:left w:w="15" w:type="dxa"/>
            <w:bottom w:w="15" w:type="dxa"/>
            <w:right w:w="15" w:type="dxa"/>
          </w:tblCellMar>
        </w:tblPrEx>
        <w:trPr>
          <w:trHeight w:val="372" w:hRule="atLeast"/>
        </w:trPr>
        <w:tc>
          <w:tcPr>
            <w:tcW w:w="14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ascii="宋体" w:hAnsi="宋体" w:cs="宋体"/>
                <w:color w:val="auto"/>
                <w:sz w:val="24"/>
              </w:rPr>
            </w:pPr>
          </w:p>
        </w:tc>
        <w:tc>
          <w:tcPr>
            <w:tcW w:w="1835"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r>
      <w:tr>
        <w:tblPrEx>
          <w:tblCellMar>
            <w:top w:w="15" w:type="dxa"/>
            <w:left w:w="15" w:type="dxa"/>
            <w:bottom w:w="15" w:type="dxa"/>
            <w:right w:w="15" w:type="dxa"/>
          </w:tblCellMar>
        </w:tblPrEx>
        <w:trPr>
          <w:trHeight w:val="372" w:hRule="atLeast"/>
        </w:trPr>
        <w:tc>
          <w:tcPr>
            <w:tcW w:w="14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宋体" w:hAnsi="宋体" w:cs="宋体"/>
                <w:color w:val="auto"/>
                <w:sz w:val="24"/>
              </w:rPr>
            </w:pPr>
            <w:r>
              <w:rPr>
                <w:rFonts w:hint="eastAsia" w:ascii="宋体" w:hAnsi="宋体" w:cs="宋体"/>
                <w:color w:val="auto"/>
                <w:kern w:val="0"/>
                <w:sz w:val="24"/>
              </w:rPr>
              <w:t>丽水</w:t>
            </w:r>
          </w:p>
        </w:tc>
        <w:tc>
          <w:tcPr>
            <w:tcW w:w="1835"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r>
      <w:tr>
        <w:tblPrEx>
          <w:tblCellMar>
            <w:top w:w="15" w:type="dxa"/>
            <w:left w:w="15" w:type="dxa"/>
            <w:bottom w:w="15" w:type="dxa"/>
            <w:right w:w="15" w:type="dxa"/>
          </w:tblCellMar>
        </w:tblPrEx>
        <w:trPr>
          <w:trHeight w:val="372" w:hRule="atLeast"/>
        </w:trPr>
        <w:tc>
          <w:tcPr>
            <w:tcW w:w="14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ascii="宋体" w:hAnsi="宋体" w:cs="宋体"/>
                <w:color w:val="auto"/>
                <w:sz w:val="24"/>
              </w:rPr>
            </w:pPr>
          </w:p>
        </w:tc>
        <w:tc>
          <w:tcPr>
            <w:tcW w:w="1835"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594"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1278"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c>
          <w:tcPr>
            <w:tcW w:w="2445"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ascii="宋体" w:hAnsi="宋体" w:cs="宋体"/>
                <w:color w:val="auto"/>
                <w:kern w:val="0"/>
                <w:sz w:val="24"/>
              </w:rPr>
            </w:pPr>
          </w:p>
        </w:tc>
      </w:tr>
    </w:tbl>
    <w:p>
      <w:pPr>
        <w:rPr>
          <w:rFonts w:ascii="宋体" w:hAnsi="宋体" w:cs="宋体"/>
          <w:b/>
          <w:color w:val="auto"/>
          <w:kern w:val="0"/>
          <w:sz w:val="24"/>
          <w:szCs w:val="24"/>
        </w:rPr>
      </w:pPr>
      <w:r>
        <w:rPr>
          <w:rFonts w:hint="eastAsia" w:ascii="宋体" w:hAnsi="宋体"/>
          <w:b/>
          <w:color w:val="auto"/>
          <w:sz w:val="28"/>
          <w:szCs w:val="28"/>
        </w:rPr>
        <w:t>注：在填写时，如上表不适合本项目的实际情况，可在确保</w:t>
      </w:r>
      <w:r>
        <w:rPr>
          <w:rFonts w:hint="eastAsia" w:ascii="宋体" w:hAnsi="宋体"/>
          <w:b/>
          <w:color w:val="auto"/>
          <w:sz w:val="28"/>
          <w:szCs w:val="28"/>
          <w:lang w:eastAsia="zh-CN"/>
        </w:rPr>
        <w:t>响应</w:t>
      </w:r>
      <w:r>
        <w:rPr>
          <w:rFonts w:hint="eastAsia" w:ascii="宋体" w:hAnsi="宋体"/>
          <w:b/>
          <w:color w:val="auto"/>
          <w:sz w:val="28"/>
          <w:szCs w:val="28"/>
        </w:rPr>
        <w:t>明细内容完整的情况下，根据上表格式自行划表填写。</w:t>
      </w:r>
    </w:p>
    <w:p>
      <w:pPr>
        <w:snapToGrid w:val="0"/>
        <w:spacing w:before="50" w:after="50"/>
        <w:ind w:firstLine="1020" w:firstLineChars="300"/>
        <w:rPr>
          <w:rFonts w:ascii="宋体" w:hAnsi="宋体"/>
          <w:color w:val="auto"/>
          <w:sz w:val="30"/>
          <w:szCs w:val="30"/>
        </w:rPr>
      </w:pPr>
      <w:r>
        <w:rPr>
          <w:rFonts w:hint="eastAsia" w:ascii="宋体" w:hAnsi="宋体"/>
          <w:color w:val="auto"/>
          <w:spacing w:val="20"/>
          <w:sz w:val="30"/>
          <w:szCs w:val="30"/>
        </w:rPr>
        <w:t xml:space="preserve">                    日 期：</w:t>
      </w:r>
    </w:p>
    <w:p>
      <w:pPr>
        <w:widowControl/>
        <w:jc w:val="left"/>
        <w:rPr>
          <w:rFonts w:ascii="宋体" w:hAnsi="宋体"/>
          <w:color w:val="auto"/>
          <w:sz w:val="30"/>
          <w:szCs w:val="30"/>
        </w:rPr>
        <w:sectPr>
          <w:pgSz w:w="11906" w:h="16838"/>
          <w:pgMar w:top="1474" w:right="1797" w:bottom="1247" w:left="1797" w:header="851" w:footer="851" w:gutter="0"/>
          <w:pgNumType w:fmt="decimal"/>
          <w:cols w:space="720" w:num="1"/>
        </w:sectPr>
      </w:pPr>
    </w:p>
    <w:p>
      <w:pPr>
        <w:snapToGrid w:val="0"/>
        <w:spacing w:before="120" w:beforeLines="50" w:after="50"/>
        <w:ind w:left="0" w:leftChars="0" w:firstLine="0" w:firstLineChars="0"/>
        <w:rPr>
          <w:rFonts w:ascii="宋体" w:hAnsi="宋体"/>
          <w:b/>
          <w:color w:val="auto"/>
          <w:sz w:val="30"/>
          <w:szCs w:val="30"/>
        </w:rPr>
      </w:pPr>
      <w:r>
        <w:rPr>
          <w:rFonts w:hint="eastAsia" w:ascii="宋体" w:hAnsi="宋体"/>
          <w:color w:val="auto"/>
          <w:sz w:val="30"/>
          <w:szCs w:val="30"/>
        </w:rPr>
        <w:t>附件</w:t>
      </w:r>
      <w:r>
        <w:rPr>
          <w:rFonts w:hint="eastAsia" w:ascii="宋体" w:hAnsi="宋体"/>
          <w:color w:val="auto"/>
          <w:sz w:val="30"/>
          <w:szCs w:val="30"/>
          <w:lang w:val="en-US" w:eastAsia="zh-CN"/>
        </w:rPr>
        <w:t>9</w:t>
      </w:r>
      <w:r>
        <w:rPr>
          <w:rFonts w:hint="eastAsia" w:ascii="宋体" w:hAnsi="宋体"/>
          <w:b/>
          <w:color w:val="auto"/>
          <w:sz w:val="30"/>
          <w:szCs w:val="30"/>
        </w:rPr>
        <w:t xml:space="preserve">：                                    </w:t>
      </w:r>
      <w:r>
        <w:rPr>
          <w:rFonts w:hint="eastAsia" w:ascii="宋体" w:hAnsi="宋体"/>
          <w:color w:val="auto"/>
          <w:sz w:val="30"/>
          <w:szCs w:val="30"/>
        </w:rPr>
        <w:t xml:space="preserve"> 正本或副本</w:t>
      </w:r>
    </w:p>
    <w:p>
      <w:pPr>
        <w:ind w:left="0" w:leftChars="0" w:right="-110" w:firstLine="0" w:firstLineChars="0"/>
        <w:jc w:val="center"/>
        <w:rPr>
          <w:rFonts w:ascii="宋体" w:hAnsi="宋体"/>
          <w:color w:val="auto"/>
          <w:spacing w:val="40"/>
          <w:sz w:val="52"/>
          <w:szCs w:val="52"/>
        </w:rPr>
      </w:pPr>
      <w:r>
        <w:rPr>
          <w:rFonts w:hint="eastAsia" w:ascii="宋体" w:hAnsi="宋体"/>
          <w:color w:val="auto"/>
          <w:spacing w:val="40"/>
          <w:sz w:val="52"/>
          <w:szCs w:val="52"/>
        </w:rPr>
        <w:t>项目名称</w:t>
      </w:r>
    </w:p>
    <w:p>
      <w:pPr>
        <w:spacing w:before="240" w:beforeLines="100" w:line="240" w:lineRule="atLeast"/>
        <w:ind w:left="0" w:leftChars="0" w:firstLine="0" w:firstLineChars="0"/>
        <w:jc w:val="center"/>
        <w:rPr>
          <w:rFonts w:ascii="宋体" w:hAnsi="宋体"/>
          <w:color w:val="auto"/>
          <w:sz w:val="36"/>
          <w:szCs w:val="36"/>
        </w:rPr>
      </w:pPr>
      <w:r>
        <w:rPr>
          <w:rFonts w:hint="eastAsia" w:ascii="宋体" w:hAnsi="宋体"/>
          <w:color w:val="auto"/>
          <w:sz w:val="36"/>
          <w:szCs w:val="36"/>
        </w:rPr>
        <w:t>项目编号：</w:t>
      </w:r>
      <w:r>
        <w:rPr>
          <w:rFonts w:hint="eastAsia" w:ascii="宋体" w:hAnsi="宋体"/>
          <w:color w:val="auto"/>
          <w:sz w:val="36"/>
          <w:szCs w:val="36"/>
          <w:lang w:val="en-US" w:eastAsia="zh-CN"/>
        </w:rPr>
        <w:t xml:space="preserve">   </w:t>
      </w:r>
      <w:r>
        <w:rPr>
          <w:rFonts w:hint="eastAsia" w:ascii="宋体" w:hAnsi="宋体"/>
          <w:color w:val="auto"/>
          <w:sz w:val="36"/>
          <w:szCs w:val="36"/>
        </w:rPr>
        <w:t>（</w:t>
      </w:r>
      <w:r>
        <w:rPr>
          <w:rFonts w:hint="eastAsia" w:ascii="宋体" w:hAnsi="宋体"/>
          <w:color w:val="auto"/>
          <w:sz w:val="36"/>
          <w:szCs w:val="36"/>
          <w:lang w:eastAsia="zh-CN"/>
        </w:rPr>
        <w:t>采购包</w:t>
      </w:r>
      <w:r>
        <w:rPr>
          <w:rFonts w:hint="eastAsia" w:ascii="宋体" w:hAnsi="宋体"/>
          <w:color w:val="auto"/>
          <w:sz w:val="36"/>
          <w:szCs w:val="36"/>
          <w:lang w:val="en-US" w:eastAsia="zh-CN"/>
        </w:rPr>
        <w:t xml:space="preserve">   </w:t>
      </w:r>
      <w:r>
        <w:rPr>
          <w:rFonts w:hint="eastAsia" w:ascii="宋体" w:hAnsi="宋体"/>
          <w:color w:val="auto"/>
          <w:sz w:val="36"/>
          <w:szCs w:val="36"/>
        </w:rPr>
        <w:t>）</w:t>
      </w:r>
    </w:p>
    <w:p>
      <w:pPr>
        <w:spacing w:after="100" w:afterAutospacing="1" w:line="800" w:lineRule="exact"/>
        <w:ind w:right="-108"/>
        <w:jc w:val="center"/>
        <w:rPr>
          <w:rFonts w:ascii="宋体" w:hAnsi="宋体"/>
          <w:b/>
          <w:color w:val="auto"/>
          <w:spacing w:val="40"/>
          <w:sz w:val="84"/>
          <w:szCs w:val="84"/>
        </w:rPr>
      </w:pPr>
    </w:p>
    <w:p>
      <w:pPr>
        <w:keepNext w:val="0"/>
        <w:keepLines w:val="0"/>
        <w:pageBreakBefore w:val="0"/>
        <w:widowControl w:val="0"/>
        <w:kinsoku/>
        <w:wordWrap/>
        <w:overflowPunct/>
        <w:topLinePunct w:val="0"/>
        <w:autoSpaceDE/>
        <w:autoSpaceDN/>
        <w:bidi w:val="0"/>
        <w:adjustRightInd/>
        <w:snapToGrid/>
        <w:spacing w:after="100" w:afterAutospacing="1"/>
        <w:ind w:right="-108" w:firstLine="0" w:firstLineChars="0"/>
        <w:jc w:val="center"/>
        <w:textAlignment w:val="auto"/>
        <w:rPr>
          <w:rFonts w:ascii="宋体" w:hAnsi="宋体"/>
          <w:b/>
          <w:color w:val="auto"/>
          <w:spacing w:val="40"/>
          <w:sz w:val="84"/>
          <w:szCs w:val="84"/>
        </w:rPr>
      </w:pPr>
      <w:r>
        <w:rPr>
          <w:rFonts w:hint="eastAsia" w:ascii="宋体" w:hAnsi="宋体"/>
          <w:b/>
          <w:color w:val="auto"/>
          <w:spacing w:val="40"/>
          <w:sz w:val="84"/>
          <w:szCs w:val="84"/>
        </w:rPr>
        <w:t>报</w:t>
      </w:r>
    </w:p>
    <w:p>
      <w:pPr>
        <w:keepNext w:val="0"/>
        <w:keepLines w:val="0"/>
        <w:pageBreakBefore w:val="0"/>
        <w:widowControl w:val="0"/>
        <w:kinsoku/>
        <w:wordWrap/>
        <w:overflowPunct/>
        <w:topLinePunct w:val="0"/>
        <w:autoSpaceDE/>
        <w:autoSpaceDN/>
        <w:bidi w:val="0"/>
        <w:adjustRightInd/>
        <w:snapToGrid/>
        <w:spacing w:after="100" w:afterAutospacing="1"/>
        <w:ind w:right="-108" w:firstLine="0" w:firstLineChars="0"/>
        <w:jc w:val="center"/>
        <w:textAlignment w:val="auto"/>
        <w:rPr>
          <w:rFonts w:ascii="宋体" w:hAnsi="宋体"/>
          <w:b/>
          <w:color w:val="auto"/>
          <w:spacing w:val="40"/>
          <w:sz w:val="84"/>
          <w:szCs w:val="84"/>
        </w:rPr>
      </w:pPr>
      <w:r>
        <w:rPr>
          <w:rFonts w:hint="eastAsia" w:ascii="宋体" w:hAnsi="宋体"/>
          <w:b/>
          <w:color w:val="auto"/>
          <w:spacing w:val="40"/>
          <w:sz w:val="84"/>
          <w:szCs w:val="84"/>
        </w:rPr>
        <w:t>价</w:t>
      </w:r>
    </w:p>
    <w:p>
      <w:pPr>
        <w:keepNext w:val="0"/>
        <w:keepLines w:val="0"/>
        <w:pageBreakBefore w:val="0"/>
        <w:widowControl w:val="0"/>
        <w:kinsoku/>
        <w:wordWrap/>
        <w:overflowPunct/>
        <w:topLinePunct w:val="0"/>
        <w:autoSpaceDE/>
        <w:autoSpaceDN/>
        <w:bidi w:val="0"/>
        <w:adjustRightInd/>
        <w:snapToGrid/>
        <w:spacing w:after="100" w:afterAutospacing="1"/>
        <w:ind w:right="-108" w:firstLine="0" w:firstLineChars="0"/>
        <w:jc w:val="center"/>
        <w:textAlignment w:val="auto"/>
        <w:rPr>
          <w:rFonts w:ascii="宋体" w:hAnsi="宋体"/>
          <w:b/>
          <w:color w:val="auto"/>
          <w:spacing w:val="40"/>
          <w:sz w:val="84"/>
          <w:szCs w:val="84"/>
        </w:rPr>
      </w:pPr>
      <w:r>
        <w:rPr>
          <w:rFonts w:hint="eastAsia" w:ascii="宋体" w:hAnsi="宋体"/>
          <w:b/>
          <w:color w:val="auto"/>
          <w:spacing w:val="40"/>
          <w:sz w:val="84"/>
          <w:szCs w:val="84"/>
        </w:rPr>
        <w:t>文</w:t>
      </w:r>
    </w:p>
    <w:p>
      <w:pPr>
        <w:keepNext w:val="0"/>
        <w:keepLines w:val="0"/>
        <w:pageBreakBefore w:val="0"/>
        <w:widowControl w:val="0"/>
        <w:kinsoku/>
        <w:wordWrap/>
        <w:overflowPunct/>
        <w:topLinePunct w:val="0"/>
        <w:autoSpaceDE/>
        <w:autoSpaceDN/>
        <w:bidi w:val="0"/>
        <w:adjustRightInd/>
        <w:snapToGrid/>
        <w:spacing w:after="100" w:afterAutospacing="1"/>
        <w:ind w:right="-108" w:firstLine="0" w:firstLineChars="0"/>
        <w:jc w:val="center"/>
        <w:textAlignment w:val="auto"/>
        <w:rPr>
          <w:rFonts w:ascii="宋体" w:hAnsi="宋体"/>
          <w:b/>
          <w:color w:val="auto"/>
          <w:spacing w:val="40"/>
          <w:sz w:val="84"/>
          <w:szCs w:val="84"/>
        </w:rPr>
      </w:pPr>
      <w:r>
        <w:rPr>
          <w:rFonts w:hint="eastAsia" w:ascii="宋体" w:hAnsi="宋体"/>
          <w:b/>
          <w:color w:val="auto"/>
          <w:spacing w:val="40"/>
          <w:sz w:val="84"/>
          <w:szCs w:val="84"/>
        </w:rPr>
        <w:t>件</w:t>
      </w:r>
    </w:p>
    <w:p>
      <w:pPr>
        <w:spacing w:line="500" w:lineRule="exact"/>
        <w:ind w:right="532"/>
        <w:jc w:val="center"/>
        <w:rPr>
          <w:rFonts w:ascii="宋体" w:hAnsi="宋体"/>
          <w:color w:val="auto"/>
          <w:sz w:val="36"/>
          <w:szCs w:val="36"/>
        </w:rPr>
      </w:pPr>
    </w:p>
    <w:p>
      <w:pPr>
        <w:spacing w:line="500" w:lineRule="exact"/>
        <w:ind w:right="532" w:firstLine="720" w:firstLineChars="200"/>
        <w:rPr>
          <w:rFonts w:ascii="宋体" w:hAnsi="宋体"/>
          <w:color w:val="auto"/>
          <w:sz w:val="36"/>
          <w:szCs w:val="36"/>
        </w:rPr>
      </w:pPr>
      <w:r>
        <w:rPr>
          <w:rFonts w:hint="eastAsia" w:ascii="宋体" w:hAnsi="宋体"/>
          <w:color w:val="auto"/>
          <w:sz w:val="36"/>
          <w:szCs w:val="36"/>
        </w:rPr>
        <w:t>响应方全称：</w:t>
      </w:r>
    </w:p>
    <w:p>
      <w:pPr>
        <w:wordWrap w:val="0"/>
        <w:spacing w:line="500" w:lineRule="exact"/>
        <w:ind w:right="-108" w:firstLine="720" w:firstLineChars="200"/>
        <w:rPr>
          <w:rFonts w:ascii="宋体" w:hAnsi="宋体"/>
          <w:color w:val="auto"/>
          <w:sz w:val="36"/>
          <w:szCs w:val="36"/>
        </w:rPr>
      </w:pPr>
      <w:r>
        <w:rPr>
          <w:rFonts w:hint="eastAsia" w:ascii="宋体" w:hAnsi="宋体"/>
          <w:color w:val="auto"/>
          <w:sz w:val="36"/>
          <w:szCs w:val="36"/>
        </w:rPr>
        <w:t>地    址：</w:t>
      </w:r>
    </w:p>
    <w:p>
      <w:pPr>
        <w:wordWrap w:val="0"/>
        <w:spacing w:line="500" w:lineRule="exact"/>
        <w:ind w:right="-108" w:firstLine="720" w:firstLineChars="200"/>
        <w:rPr>
          <w:rFonts w:ascii="宋体" w:hAnsi="宋体"/>
          <w:color w:val="auto"/>
          <w:sz w:val="36"/>
          <w:szCs w:val="36"/>
        </w:rPr>
      </w:pPr>
      <w:r>
        <w:rPr>
          <w:rFonts w:hint="eastAsia" w:ascii="宋体" w:hAnsi="宋体"/>
          <w:color w:val="auto"/>
          <w:sz w:val="36"/>
          <w:szCs w:val="36"/>
        </w:rPr>
        <w:t>时    间：</w:t>
      </w:r>
    </w:p>
    <w:p>
      <w:pPr>
        <w:pStyle w:val="12"/>
        <w:snapToGrid w:val="0"/>
        <w:ind w:left="0" w:leftChars="0" w:firstLine="0" w:firstLineChars="0"/>
        <w:rPr>
          <w:rFonts w:hint="eastAsia" w:ascii="宋体" w:hAnsi="宋体" w:eastAsia="仿宋" w:cs="Times New Roman"/>
          <w:b/>
          <w:color w:val="auto"/>
          <w:kern w:val="2"/>
          <w:sz w:val="36"/>
          <w:szCs w:val="36"/>
          <w:lang w:val="en-US" w:eastAsia="zh-CN" w:bidi="ar-SA"/>
        </w:rPr>
      </w:pPr>
      <w:r>
        <w:rPr>
          <w:rFonts w:hint="eastAsia" w:ascii="宋体" w:hAnsi="宋体" w:eastAsia="宋体"/>
          <w:color w:val="auto"/>
          <w:kern w:val="0"/>
          <w:sz w:val="36"/>
          <w:szCs w:val="36"/>
        </w:rPr>
        <w:br w:type="page"/>
      </w:r>
      <w:r>
        <w:rPr>
          <w:rFonts w:hint="eastAsia" w:ascii="宋体" w:hAnsi="宋体" w:eastAsia="仿宋" w:cs="Times New Roman"/>
          <w:b/>
          <w:color w:val="auto"/>
          <w:kern w:val="2"/>
          <w:sz w:val="36"/>
          <w:szCs w:val="36"/>
          <w:lang w:val="en-US" w:eastAsia="zh-CN" w:bidi="ar-SA"/>
        </w:rPr>
        <w:t>3、报价文件目录</w:t>
      </w:r>
    </w:p>
    <w:p>
      <w:pPr>
        <w:pStyle w:val="12"/>
        <w:keepNext w:val="0"/>
        <w:keepLines w:val="0"/>
        <w:pageBreakBefore w:val="0"/>
        <w:widowControl w:val="0"/>
        <w:kinsoku/>
        <w:wordWrap/>
        <w:overflowPunct/>
        <w:topLinePunct w:val="0"/>
        <w:autoSpaceDE/>
        <w:autoSpaceDN/>
        <w:bidi w:val="0"/>
        <w:adjustRightInd/>
        <w:snapToGrid w:val="0"/>
        <w:spacing w:line="460" w:lineRule="exact"/>
        <w:ind w:left="0" w:leftChars="0" w:firstLine="0" w:firstLineChars="0"/>
        <w:textAlignment w:val="auto"/>
        <w:rPr>
          <w:rFonts w:ascii="宋体" w:hAnsi="宋体"/>
          <w:color w:val="auto"/>
          <w:sz w:val="30"/>
          <w:szCs w:val="30"/>
        </w:rPr>
      </w:pPr>
      <w:r>
        <w:rPr>
          <w:rFonts w:hint="eastAsia" w:ascii="宋体" w:hAnsi="宋体" w:eastAsia="宋体"/>
          <w:color w:val="auto"/>
          <w:sz w:val="30"/>
          <w:szCs w:val="30"/>
          <w:highlight w:val="none"/>
        </w:rPr>
        <w:t>（1）</w:t>
      </w:r>
      <w:r>
        <w:rPr>
          <w:rFonts w:hint="eastAsia" w:ascii="宋体" w:hAnsi="宋体" w:eastAsia="宋体"/>
          <w:color w:val="auto"/>
          <w:sz w:val="30"/>
          <w:szCs w:val="30"/>
        </w:rPr>
        <w:t>报价一览表（格式见附件）；</w:t>
      </w:r>
    </w:p>
    <w:p>
      <w:pPr>
        <w:pStyle w:val="12"/>
        <w:keepNext w:val="0"/>
        <w:keepLines w:val="0"/>
        <w:pageBreakBefore w:val="0"/>
        <w:widowControl w:val="0"/>
        <w:kinsoku/>
        <w:wordWrap/>
        <w:overflowPunct/>
        <w:topLinePunct w:val="0"/>
        <w:autoSpaceDE/>
        <w:autoSpaceDN/>
        <w:bidi w:val="0"/>
        <w:adjustRightInd/>
        <w:snapToGrid w:val="0"/>
        <w:spacing w:line="460" w:lineRule="exact"/>
        <w:ind w:left="0" w:leftChars="0" w:firstLine="0" w:firstLineChars="0"/>
        <w:textAlignment w:val="auto"/>
        <w:rPr>
          <w:rFonts w:ascii="宋体" w:hAnsi="宋体" w:eastAsia="宋体"/>
          <w:color w:val="auto"/>
          <w:sz w:val="30"/>
          <w:szCs w:val="30"/>
        </w:rPr>
      </w:pPr>
      <w:r>
        <w:rPr>
          <w:rFonts w:hint="eastAsia" w:ascii="宋体" w:hAnsi="宋体" w:eastAsia="宋体"/>
          <w:color w:val="auto"/>
          <w:sz w:val="30"/>
          <w:szCs w:val="30"/>
        </w:rPr>
        <w:t>（</w:t>
      </w:r>
      <w:r>
        <w:rPr>
          <w:rFonts w:hint="eastAsia" w:ascii="宋体" w:hAnsi="宋体" w:eastAsia="宋体"/>
          <w:color w:val="auto"/>
          <w:sz w:val="30"/>
          <w:szCs w:val="30"/>
          <w:lang w:val="en-US" w:eastAsia="zh-CN"/>
        </w:rPr>
        <w:t>2</w:t>
      </w:r>
      <w:r>
        <w:rPr>
          <w:rFonts w:hint="eastAsia" w:ascii="宋体" w:hAnsi="宋体" w:eastAsia="宋体"/>
          <w:color w:val="auto"/>
          <w:sz w:val="30"/>
          <w:szCs w:val="30"/>
        </w:rPr>
        <w:t>）响应方针对报价需要说明的其他文件和说明（格式自拟）；</w:t>
      </w:r>
    </w:p>
    <w:p>
      <w:pPr>
        <w:pStyle w:val="12"/>
        <w:keepNext w:val="0"/>
        <w:keepLines w:val="0"/>
        <w:pageBreakBefore w:val="0"/>
        <w:widowControl w:val="0"/>
        <w:kinsoku/>
        <w:wordWrap/>
        <w:overflowPunct/>
        <w:topLinePunct w:val="0"/>
        <w:autoSpaceDE/>
        <w:autoSpaceDN/>
        <w:bidi w:val="0"/>
        <w:adjustRightInd/>
        <w:snapToGrid w:val="0"/>
        <w:spacing w:line="460" w:lineRule="exact"/>
        <w:ind w:left="0" w:leftChars="0" w:firstLine="0" w:firstLineChars="0"/>
        <w:textAlignment w:val="auto"/>
        <w:rPr>
          <w:rFonts w:ascii="宋体" w:hAnsi="宋体" w:eastAsia="宋体"/>
          <w:color w:val="auto"/>
          <w:sz w:val="30"/>
          <w:szCs w:val="30"/>
        </w:rPr>
      </w:pPr>
      <w:r>
        <w:rPr>
          <w:rFonts w:hint="eastAsia" w:ascii="宋体" w:hAnsi="宋体" w:eastAsia="宋体"/>
          <w:color w:val="auto"/>
          <w:sz w:val="30"/>
          <w:szCs w:val="30"/>
        </w:rPr>
        <w:t>（</w:t>
      </w:r>
      <w:r>
        <w:rPr>
          <w:rFonts w:hint="eastAsia" w:ascii="宋体" w:hAnsi="宋体" w:eastAsia="宋体"/>
          <w:color w:val="auto"/>
          <w:sz w:val="30"/>
          <w:szCs w:val="30"/>
          <w:lang w:val="en-US" w:eastAsia="zh-CN"/>
        </w:rPr>
        <w:t>3</w:t>
      </w:r>
      <w:r>
        <w:rPr>
          <w:rFonts w:hint="eastAsia" w:ascii="宋体" w:hAnsi="宋体" w:eastAsia="宋体"/>
          <w:color w:val="auto"/>
          <w:sz w:val="30"/>
          <w:szCs w:val="30"/>
        </w:rPr>
        <w:t>）小微企业声明函（格式见附件）；</w:t>
      </w:r>
    </w:p>
    <w:p>
      <w:pPr>
        <w:pStyle w:val="16"/>
        <w:keepNext w:val="0"/>
        <w:keepLines w:val="0"/>
        <w:pageBreakBefore w:val="0"/>
        <w:widowControl w:val="0"/>
        <w:kinsoku/>
        <w:wordWrap/>
        <w:overflowPunct/>
        <w:topLinePunct w:val="0"/>
        <w:autoSpaceDE/>
        <w:autoSpaceDN/>
        <w:bidi w:val="0"/>
        <w:adjustRightInd/>
        <w:snapToGrid w:val="0"/>
        <w:spacing w:after="120" w:line="460" w:lineRule="exact"/>
        <w:ind w:firstLine="0" w:firstLineChars="0"/>
        <w:jc w:val="both"/>
        <w:textAlignment w:val="auto"/>
        <w:rPr>
          <w:color w:val="auto"/>
          <w:sz w:val="30"/>
          <w:szCs w:val="30"/>
        </w:rPr>
      </w:pPr>
      <w:r>
        <w:rPr>
          <w:rFonts w:hint="eastAsia"/>
          <w:color w:val="auto"/>
          <w:sz w:val="30"/>
          <w:szCs w:val="30"/>
        </w:rPr>
        <w:t>（</w:t>
      </w:r>
      <w:r>
        <w:rPr>
          <w:rFonts w:hint="eastAsia"/>
          <w:color w:val="auto"/>
          <w:sz w:val="30"/>
          <w:szCs w:val="30"/>
          <w:lang w:val="en-US" w:eastAsia="zh-CN"/>
        </w:rPr>
        <w:t>4</w:t>
      </w:r>
      <w:r>
        <w:rPr>
          <w:rFonts w:hint="eastAsia"/>
          <w:color w:val="auto"/>
          <w:sz w:val="30"/>
          <w:szCs w:val="30"/>
        </w:rPr>
        <w:t>）</w:t>
      </w:r>
      <w:r>
        <w:rPr>
          <w:rFonts w:hint="eastAsia" w:ascii="宋体" w:hAnsi="宋体" w:eastAsia="宋体" w:cs="Times New Roman"/>
          <w:color w:val="auto"/>
          <w:kern w:val="2"/>
          <w:sz w:val="30"/>
          <w:szCs w:val="30"/>
          <w:lang w:val="en-US" w:eastAsia="zh-CN" w:bidi="ar-SA"/>
        </w:rPr>
        <w:t>残疾人福利企业声明函（格式见附件）。</w:t>
      </w:r>
    </w:p>
    <w:p>
      <w:pPr>
        <w:pStyle w:val="11"/>
        <w:snapToGrid w:val="0"/>
        <w:spacing w:before="120" w:after="120" w:line="240" w:lineRule="auto"/>
        <w:ind w:left="0" w:leftChars="0" w:firstLine="0" w:firstLineChars="0"/>
        <w:jc w:val="left"/>
        <w:rPr>
          <w:rFonts w:hAnsi="宋体"/>
          <w:b/>
          <w:color w:val="auto"/>
          <w:sz w:val="36"/>
          <w:szCs w:val="36"/>
        </w:rPr>
      </w:pPr>
      <w:r>
        <w:rPr>
          <w:rFonts w:hint="eastAsia" w:hAnsi="宋体"/>
          <w:color w:val="auto"/>
          <w:kern w:val="0"/>
          <w:sz w:val="30"/>
          <w:szCs w:val="30"/>
        </w:rPr>
        <w:br w:type="page"/>
      </w:r>
      <w:r>
        <w:rPr>
          <w:rFonts w:hint="eastAsia" w:hAnsi="宋体"/>
          <w:color w:val="auto"/>
          <w:sz w:val="30"/>
          <w:szCs w:val="30"/>
        </w:rPr>
        <w:t>附件</w:t>
      </w:r>
      <w:r>
        <w:rPr>
          <w:rFonts w:hint="eastAsia" w:hAnsi="宋体"/>
          <w:color w:val="auto"/>
          <w:sz w:val="30"/>
          <w:szCs w:val="30"/>
          <w:lang w:val="en-US" w:eastAsia="zh-CN"/>
        </w:rPr>
        <w:t>10</w:t>
      </w:r>
      <w:r>
        <w:rPr>
          <w:rFonts w:hint="eastAsia" w:hAnsi="宋体"/>
          <w:color w:val="auto"/>
          <w:sz w:val="30"/>
          <w:szCs w:val="30"/>
        </w:rPr>
        <w:t>：</w:t>
      </w:r>
    </w:p>
    <w:p>
      <w:pPr>
        <w:pStyle w:val="11"/>
        <w:snapToGrid w:val="0"/>
        <w:spacing w:before="120" w:after="120" w:line="240" w:lineRule="auto"/>
        <w:ind w:left="0" w:leftChars="0" w:firstLine="0" w:firstLineChars="0"/>
        <w:jc w:val="center"/>
        <w:rPr>
          <w:rFonts w:hAnsi="宋体"/>
          <w:b/>
          <w:color w:val="auto"/>
          <w:sz w:val="36"/>
          <w:szCs w:val="36"/>
        </w:rPr>
      </w:pPr>
      <w:r>
        <w:rPr>
          <w:rFonts w:hint="eastAsia" w:hAnsi="宋体"/>
          <w:b/>
          <w:color w:val="auto"/>
          <w:sz w:val="36"/>
          <w:szCs w:val="36"/>
        </w:rPr>
        <w:t>报价一览表</w:t>
      </w:r>
    </w:p>
    <w:p>
      <w:pPr>
        <w:pStyle w:val="11"/>
        <w:snapToGrid w:val="0"/>
        <w:spacing w:before="120" w:after="120" w:line="240" w:lineRule="auto"/>
        <w:ind w:firstLine="1084" w:firstLineChars="300"/>
        <w:jc w:val="center"/>
        <w:rPr>
          <w:rFonts w:hAnsi="宋体"/>
          <w:b/>
          <w:color w:val="auto"/>
          <w:sz w:val="36"/>
          <w:szCs w:val="36"/>
        </w:rPr>
      </w:pPr>
    </w:p>
    <w:p>
      <w:pPr>
        <w:snapToGrid w:val="0"/>
        <w:ind w:left="0" w:leftChars="0" w:firstLine="0" w:firstLineChars="0"/>
        <w:rPr>
          <w:rFonts w:hint="eastAsia" w:ascii="宋体" w:hAnsi="宋体"/>
          <w:color w:val="auto"/>
          <w:sz w:val="28"/>
          <w:szCs w:val="28"/>
        </w:rPr>
      </w:pPr>
      <w:r>
        <w:rPr>
          <w:rFonts w:hint="eastAsia" w:ascii="宋体" w:hAnsi="宋体"/>
          <w:color w:val="auto"/>
          <w:sz w:val="28"/>
          <w:szCs w:val="28"/>
        </w:rPr>
        <w:t>响应方全称（公章）：</w:t>
      </w:r>
    </w:p>
    <w:p>
      <w:pPr>
        <w:snapToGrid w:val="0"/>
        <w:ind w:left="0" w:leftChars="0" w:firstLine="0" w:firstLineChars="0"/>
        <w:rPr>
          <w:rFonts w:ascii="宋体" w:hAnsi="宋体"/>
          <w:b/>
          <w:color w:val="auto"/>
          <w:sz w:val="28"/>
          <w:szCs w:val="28"/>
          <w:u w:val="single"/>
        </w:rPr>
      </w:pPr>
      <w:r>
        <w:rPr>
          <w:rFonts w:hint="eastAsia" w:ascii="宋体" w:hAnsi="宋体"/>
          <w:color w:val="auto"/>
          <w:sz w:val="28"/>
          <w:szCs w:val="28"/>
        </w:rPr>
        <w:t>项目编号及</w:t>
      </w:r>
      <w:r>
        <w:rPr>
          <w:rFonts w:hint="eastAsia" w:ascii="宋体" w:hAnsi="宋体"/>
          <w:color w:val="auto"/>
          <w:sz w:val="28"/>
          <w:szCs w:val="28"/>
          <w:lang w:eastAsia="zh-CN"/>
        </w:rPr>
        <w:t>采购包</w:t>
      </w:r>
      <w:r>
        <w:rPr>
          <w:rFonts w:hint="eastAsia" w:ascii="宋体" w:hAnsi="宋体"/>
          <w:color w:val="auto"/>
          <w:sz w:val="28"/>
          <w:szCs w:val="28"/>
        </w:rPr>
        <w:t>：</w:t>
      </w:r>
    </w:p>
    <w:tbl>
      <w:tblPr>
        <w:tblStyle w:val="18"/>
        <w:tblpPr w:leftFromText="180" w:rightFromText="180" w:vertAnchor="text" w:horzAnchor="page" w:tblpX="1785" w:tblpY="77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921"/>
        <w:gridCol w:w="825"/>
        <w:gridCol w:w="978"/>
        <w:gridCol w:w="1680"/>
        <w:gridCol w:w="90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555" w:type="pct"/>
            <w:vMerge w:val="restart"/>
            <w:tcBorders>
              <w:top w:val="single" w:color="auto" w:sz="4" w:space="0"/>
              <w:left w:val="single" w:color="auto" w:sz="4" w:space="0"/>
              <w:bottom w:val="single" w:color="auto" w:sz="4" w:space="0"/>
              <w:right w:val="single" w:color="auto" w:sz="4" w:space="0"/>
              <w:tl2br w:val="single" w:color="auto" w:sz="4" w:space="0"/>
            </w:tcBorders>
            <w:vAlign w:val="center"/>
          </w:tcPr>
          <w:p>
            <w:pPr>
              <w:widowControl/>
              <w:snapToGrid w:val="0"/>
              <w:spacing w:before="120" w:beforeLines="50"/>
              <w:jc w:val="center"/>
              <w:rPr>
                <w:rFonts w:ascii="宋体" w:hAnsi="宋体" w:cs="宋体"/>
                <w:b/>
                <w:bCs/>
                <w:kern w:val="0"/>
                <w:szCs w:val="21"/>
              </w:rPr>
            </w:pPr>
            <w:r>
              <w:rPr>
                <w:rFonts w:hint="eastAsia" w:ascii="宋体" w:hAnsi="宋体" w:cs="宋体"/>
                <w:b/>
                <w:bCs/>
                <w:kern w:val="0"/>
                <w:szCs w:val="21"/>
              </w:rPr>
              <w:t xml:space="preserve">  内容</w:t>
            </w:r>
          </w:p>
          <w:p>
            <w:pPr>
              <w:widowControl/>
              <w:snapToGrid w:val="0"/>
              <w:spacing w:before="120" w:beforeLines="50"/>
              <w:jc w:val="center"/>
              <w:rPr>
                <w:rFonts w:ascii="宋体" w:hAnsi="宋体" w:cs="宋体"/>
                <w:b/>
                <w:bCs/>
                <w:kern w:val="0"/>
                <w:szCs w:val="21"/>
              </w:rPr>
            </w:pPr>
          </w:p>
          <w:p>
            <w:pPr>
              <w:widowControl/>
              <w:snapToGrid w:val="0"/>
              <w:spacing w:before="120" w:beforeLines="50"/>
              <w:rPr>
                <w:rFonts w:ascii="宋体" w:hAnsi="宋体" w:cs="宋体"/>
                <w:b/>
                <w:bCs/>
                <w:kern w:val="0"/>
                <w:szCs w:val="21"/>
              </w:rPr>
            </w:pPr>
            <w:r>
              <w:rPr>
                <w:rFonts w:hint="eastAsia" w:ascii="宋体" w:hAnsi="宋体" w:cs="宋体"/>
                <w:b/>
                <w:bCs/>
                <w:kern w:val="0"/>
                <w:szCs w:val="21"/>
              </w:rPr>
              <w:t>类型</w:t>
            </w:r>
          </w:p>
        </w:tc>
        <w:tc>
          <w:tcPr>
            <w:tcW w:w="541"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20" w:beforeLines="50"/>
              <w:jc w:val="center"/>
              <w:rPr>
                <w:rFonts w:ascii="宋体" w:hAnsi="宋体" w:cs="宋体"/>
                <w:b/>
                <w:bCs/>
                <w:kern w:val="0"/>
                <w:szCs w:val="21"/>
              </w:rPr>
            </w:pPr>
            <w:r>
              <w:rPr>
                <w:rFonts w:hint="eastAsia" w:ascii="宋体" w:hAnsi="宋体" w:cs="宋体"/>
                <w:b/>
                <w:bCs/>
                <w:kern w:val="0"/>
                <w:szCs w:val="21"/>
              </w:rPr>
              <w:t>品牌</w:t>
            </w:r>
          </w:p>
        </w:tc>
        <w:tc>
          <w:tcPr>
            <w:tcW w:w="484"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20" w:beforeLines="50"/>
              <w:jc w:val="center"/>
              <w:rPr>
                <w:rFonts w:ascii="宋体" w:hAnsi="宋体" w:cs="宋体"/>
                <w:b/>
                <w:bCs/>
                <w:kern w:val="0"/>
                <w:szCs w:val="21"/>
              </w:rPr>
            </w:pPr>
            <w:r>
              <w:rPr>
                <w:rFonts w:hint="eastAsia" w:ascii="宋体" w:hAnsi="宋体" w:cs="宋体"/>
                <w:b/>
                <w:bCs/>
                <w:kern w:val="0"/>
                <w:szCs w:val="21"/>
              </w:rPr>
              <w:t>型号</w:t>
            </w:r>
          </w:p>
        </w:tc>
        <w:tc>
          <w:tcPr>
            <w:tcW w:w="574"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20" w:beforeLines="50"/>
              <w:jc w:val="center"/>
              <w:rPr>
                <w:rFonts w:ascii="宋体" w:hAnsi="宋体" w:cs="宋体"/>
                <w:b/>
                <w:bCs/>
                <w:spacing w:val="-14"/>
                <w:kern w:val="0"/>
                <w:szCs w:val="21"/>
              </w:rPr>
            </w:pPr>
            <w:r>
              <w:rPr>
                <w:rFonts w:hint="eastAsia" w:ascii="宋体" w:hAnsi="宋体" w:cs="宋体"/>
                <w:b/>
                <w:bCs/>
                <w:spacing w:val="-14"/>
                <w:kern w:val="0"/>
                <w:szCs w:val="21"/>
              </w:rPr>
              <w:t>厂家指导价（元）</w:t>
            </w:r>
          </w:p>
        </w:tc>
        <w:tc>
          <w:tcPr>
            <w:tcW w:w="986" w:type="pct"/>
            <w:vMerge w:val="restart"/>
            <w:tcBorders>
              <w:top w:val="single" w:color="auto" w:sz="4" w:space="0"/>
              <w:left w:val="single" w:color="auto" w:sz="4" w:space="0"/>
              <w:right w:val="single" w:color="auto" w:sz="4" w:space="0"/>
            </w:tcBorders>
            <w:vAlign w:val="center"/>
          </w:tcPr>
          <w:p>
            <w:pPr>
              <w:widowControl/>
              <w:snapToGrid w:val="0"/>
              <w:spacing w:before="120" w:beforeLines="50"/>
              <w:jc w:val="center"/>
              <w:rPr>
                <w:rFonts w:ascii="宋体" w:hAnsi="宋体" w:cs="宋体"/>
                <w:b/>
                <w:bCs/>
                <w:spacing w:val="-14"/>
                <w:kern w:val="0"/>
                <w:szCs w:val="21"/>
              </w:rPr>
            </w:pPr>
            <w:r>
              <w:rPr>
                <w:rFonts w:hint="eastAsia" w:ascii="宋体" w:hAnsi="宋体" w:cs="宋体"/>
                <w:b/>
                <w:bCs/>
                <w:spacing w:val="-14"/>
                <w:kern w:val="0"/>
                <w:szCs w:val="21"/>
              </w:rPr>
              <w:t>响应报价（元）</w:t>
            </w:r>
          </w:p>
        </w:tc>
        <w:tc>
          <w:tcPr>
            <w:tcW w:w="528"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20" w:beforeLines="50"/>
              <w:jc w:val="center"/>
              <w:rPr>
                <w:rFonts w:ascii="宋体" w:hAnsi="宋体" w:cs="宋体"/>
                <w:b/>
                <w:bCs/>
                <w:spacing w:val="-14"/>
                <w:kern w:val="0"/>
                <w:szCs w:val="21"/>
              </w:rPr>
            </w:pPr>
            <w:r>
              <w:rPr>
                <w:rFonts w:hint="eastAsia" w:ascii="宋体" w:hAnsi="宋体" w:cs="宋体"/>
                <w:b/>
                <w:bCs/>
                <w:spacing w:val="-14"/>
                <w:kern w:val="0"/>
                <w:szCs w:val="21"/>
              </w:rPr>
              <w:t>质保期（年）</w:t>
            </w:r>
          </w:p>
        </w:tc>
        <w:tc>
          <w:tcPr>
            <w:tcW w:w="1330"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20" w:beforeLines="50"/>
              <w:jc w:val="center"/>
              <w:rPr>
                <w:rFonts w:ascii="宋体" w:hAnsi="宋体" w:cs="宋体"/>
                <w:b/>
                <w:bCs/>
                <w:spacing w:val="-14"/>
                <w:kern w:val="0"/>
                <w:szCs w:val="21"/>
              </w:rPr>
            </w:pPr>
            <w:r>
              <w:rPr>
                <w:rFonts w:hint="eastAsia" w:ascii="宋体" w:hAnsi="宋体" w:cs="宋体"/>
                <w:b/>
                <w:bCs/>
                <w:spacing w:val="-14"/>
                <w:kern w:val="0"/>
                <w:szCs w:val="21"/>
              </w:rPr>
              <w:t>供货时间（天）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55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before="120" w:beforeLines="50"/>
              <w:jc w:val="center"/>
              <w:rPr>
                <w:rFonts w:ascii="宋体" w:hAnsi="宋体" w:cs="宋体"/>
                <w:b/>
                <w:bCs/>
                <w:kern w:val="0"/>
                <w:szCs w:val="21"/>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before="120" w:beforeLines="50"/>
              <w:jc w:val="center"/>
              <w:rPr>
                <w:rFonts w:ascii="宋体" w:hAnsi="宋体" w:cs="宋体"/>
                <w:b/>
                <w:bCs/>
                <w:kern w:val="0"/>
                <w:szCs w:val="21"/>
              </w:rPr>
            </w:pPr>
          </w:p>
        </w:tc>
        <w:tc>
          <w:tcPr>
            <w:tcW w:w="484"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before="120" w:beforeLines="50"/>
              <w:jc w:val="center"/>
              <w:rPr>
                <w:rFonts w:ascii="宋体" w:hAnsi="宋体" w:cs="宋体"/>
                <w:b/>
                <w:bCs/>
                <w:kern w:val="0"/>
                <w:szCs w:val="21"/>
              </w:rPr>
            </w:pPr>
          </w:p>
        </w:tc>
        <w:tc>
          <w:tcPr>
            <w:tcW w:w="574"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before="120" w:beforeLines="50"/>
              <w:jc w:val="center"/>
              <w:rPr>
                <w:rFonts w:ascii="宋体" w:hAnsi="宋体" w:cs="宋体"/>
                <w:b/>
                <w:bCs/>
                <w:spacing w:val="-14"/>
                <w:kern w:val="0"/>
                <w:szCs w:val="21"/>
              </w:rPr>
            </w:pPr>
          </w:p>
        </w:tc>
        <w:tc>
          <w:tcPr>
            <w:tcW w:w="986" w:type="pct"/>
            <w:vMerge w:val="continue"/>
            <w:tcBorders>
              <w:left w:val="single" w:color="auto" w:sz="4" w:space="0"/>
              <w:bottom w:val="single" w:color="auto" w:sz="4" w:space="0"/>
              <w:right w:val="single" w:color="auto" w:sz="4" w:space="0"/>
            </w:tcBorders>
            <w:vAlign w:val="center"/>
          </w:tcPr>
          <w:p>
            <w:pPr>
              <w:widowControl/>
              <w:snapToGrid w:val="0"/>
              <w:spacing w:before="120" w:beforeLines="50"/>
              <w:jc w:val="center"/>
              <w:rPr>
                <w:rFonts w:ascii="宋体" w:hAnsi="宋体" w:cs="宋体"/>
                <w:b/>
                <w:bCs/>
                <w:spacing w:val="-14"/>
                <w:kern w:val="0"/>
                <w:szCs w:val="21"/>
              </w:rPr>
            </w:pPr>
          </w:p>
        </w:tc>
        <w:tc>
          <w:tcPr>
            <w:tcW w:w="528"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before="120" w:beforeLines="50"/>
              <w:jc w:val="center"/>
              <w:rPr>
                <w:rFonts w:ascii="宋体" w:hAnsi="宋体" w:cs="宋体"/>
                <w:b/>
                <w:bCs/>
                <w:spacing w:val="-14"/>
                <w:kern w:val="0"/>
                <w:szCs w:val="21"/>
              </w:rPr>
            </w:pPr>
          </w:p>
        </w:tc>
        <w:tc>
          <w:tcPr>
            <w:tcW w:w="133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before="120" w:beforeLines="50"/>
              <w:jc w:val="center"/>
              <w:rPr>
                <w:rFonts w:ascii="宋体" w:hAnsi="宋体" w:cs="宋体"/>
                <w:b/>
                <w:bCs/>
                <w:spacing w:val="-14"/>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555" w:type="pct"/>
            <w:tcBorders>
              <w:top w:val="single" w:color="auto" w:sz="4" w:space="0"/>
              <w:left w:val="single" w:color="auto" w:sz="4" w:space="0"/>
              <w:bottom w:val="single" w:color="auto" w:sz="4" w:space="0"/>
              <w:right w:val="single" w:color="auto" w:sz="4" w:space="0"/>
            </w:tcBorders>
            <w:vAlign w:val="center"/>
          </w:tcPr>
          <w:p>
            <w:pPr>
              <w:widowControl/>
              <w:snapToGrid w:val="0"/>
              <w:spacing w:before="120" w:beforeLines="50"/>
              <w:jc w:val="center"/>
              <w:rPr>
                <w:rFonts w:ascii="宋体" w:hAnsi="宋体" w:cs="宋体"/>
                <w:b/>
                <w:bCs/>
                <w:kern w:val="0"/>
                <w:szCs w:val="21"/>
              </w:rPr>
            </w:pPr>
            <w:r>
              <w:rPr>
                <w:rFonts w:hint="eastAsia" w:ascii="宋体" w:hAnsi="宋体" w:cs="宋体"/>
                <w:b/>
                <w:bCs/>
                <w:kern w:val="0"/>
                <w:szCs w:val="21"/>
              </w:rPr>
              <w:t>响应产品</w:t>
            </w:r>
          </w:p>
        </w:tc>
        <w:tc>
          <w:tcPr>
            <w:tcW w:w="541" w:type="pct"/>
            <w:tcBorders>
              <w:top w:val="single" w:color="auto" w:sz="4" w:space="0"/>
              <w:left w:val="single" w:color="auto" w:sz="4" w:space="0"/>
              <w:bottom w:val="single" w:color="auto" w:sz="4" w:space="0"/>
              <w:right w:val="single" w:color="auto" w:sz="4" w:space="0"/>
            </w:tcBorders>
            <w:vAlign w:val="center"/>
          </w:tcPr>
          <w:p>
            <w:pPr>
              <w:widowControl/>
              <w:snapToGrid w:val="0"/>
              <w:spacing w:before="120" w:beforeLines="50" w:line="360" w:lineRule="exact"/>
              <w:jc w:val="center"/>
              <w:rPr>
                <w:rFonts w:ascii="宋体" w:hAnsi="宋体" w:cs="宋体"/>
                <w:bCs/>
                <w:kern w:val="0"/>
                <w:sz w:val="28"/>
                <w:szCs w:val="28"/>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snapToGrid w:val="0"/>
              <w:spacing w:before="120" w:beforeLines="50" w:line="360" w:lineRule="exact"/>
              <w:jc w:val="center"/>
              <w:rPr>
                <w:rFonts w:ascii="宋体" w:hAnsi="宋体" w:cs="宋体"/>
                <w:bCs/>
                <w:kern w:val="0"/>
                <w:sz w:val="28"/>
                <w:szCs w:val="28"/>
              </w:rPr>
            </w:pPr>
          </w:p>
        </w:tc>
        <w:tc>
          <w:tcPr>
            <w:tcW w:w="574" w:type="pct"/>
            <w:tcBorders>
              <w:top w:val="single" w:color="auto" w:sz="4" w:space="0"/>
              <w:left w:val="single" w:color="auto" w:sz="4" w:space="0"/>
              <w:bottom w:val="single" w:color="auto" w:sz="4" w:space="0"/>
              <w:right w:val="single" w:color="auto" w:sz="4" w:space="0"/>
            </w:tcBorders>
            <w:vAlign w:val="center"/>
          </w:tcPr>
          <w:p>
            <w:pPr>
              <w:widowControl/>
              <w:snapToGrid w:val="0"/>
              <w:spacing w:before="120" w:beforeLines="50" w:line="360" w:lineRule="exact"/>
              <w:jc w:val="center"/>
              <w:rPr>
                <w:rFonts w:ascii="宋体" w:hAnsi="宋体" w:cs="宋体"/>
                <w:bCs/>
                <w:kern w:val="0"/>
                <w:sz w:val="28"/>
                <w:szCs w:val="28"/>
              </w:rPr>
            </w:pPr>
          </w:p>
        </w:tc>
        <w:tc>
          <w:tcPr>
            <w:tcW w:w="986" w:type="pct"/>
            <w:tcBorders>
              <w:top w:val="single" w:color="auto" w:sz="4" w:space="0"/>
              <w:left w:val="single" w:color="auto" w:sz="4" w:space="0"/>
              <w:bottom w:val="single" w:color="auto" w:sz="4" w:space="0"/>
              <w:right w:val="single" w:color="auto" w:sz="4" w:space="0"/>
            </w:tcBorders>
            <w:vAlign w:val="center"/>
          </w:tcPr>
          <w:p>
            <w:pPr>
              <w:widowControl/>
              <w:snapToGrid w:val="0"/>
              <w:spacing w:before="120" w:beforeLines="50" w:line="360" w:lineRule="exact"/>
              <w:jc w:val="center"/>
              <w:rPr>
                <w:rFonts w:ascii="宋体" w:hAnsi="宋体" w:cs="宋体"/>
                <w:bCs/>
                <w:kern w:val="0"/>
                <w:sz w:val="28"/>
                <w:szCs w:val="28"/>
              </w:rPr>
            </w:pPr>
          </w:p>
        </w:tc>
        <w:tc>
          <w:tcPr>
            <w:tcW w:w="528" w:type="pct"/>
            <w:tcBorders>
              <w:top w:val="single" w:color="auto" w:sz="4" w:space="0"/>
              <w:left w:val="single" w:color="auto" w:sz="4" w:space="0"/>
              <w:bottom w:val="single" w:color="auto" w:sz="4" w:space="0"/>
              <w:right w:val="single" w:color="auto" w:sz="4" w:space="0"/>
            </w:tcBorders>
            <w:vAlign w:val="center"/>
          </w:tcPr>
          <w:p>
            <w:pPr>
              <w:widowControl/>
              <w:snapToGrid w:val="0"/>
              <w:spacing w:before="120" w:beforeLines="50" w:line="360" w:lineRule="exact"/>
              <w:jc w:val="center"/>
              <w:rPr>
                <w:rFonts w:ascii="宋体" w:hAnsi="宋体" w:cs="宋体"/>
                <w:bCs/>
                <w:kern w:val="0"/>
                <w:sz w:val="28"/>
                <w:szCs w:val="28"/>
              </w:rPr>
            </w:pPr>
          </w:p>
        </w:tc>
        <w:tc>
          <w:tcPr>
            <w:tcW w:w="1330" w:type="pct"/>
            <w:tcBorders>
              <w:top w:val="single" w:color="auto" w:sz="4" w:space="0"/>
              <w:left w:val="single" w:color="auto" w:sz="4" w:space="0"/>
              <w:bottom w:val="single" w:color="auto" w:sz="4" w:space="0"/>
              <w:right w:val="single" w:color="auto" w:sz="4" w:space="0"/>
            </w:tcBorders>
            <w:vAlign w:val="center"/>
          </w:tcPr>
          <w:p>
            <w:pPr>
              <w:widowControl/>
              <w:snapToGrid w:val="0"/>
              <w:spacing w:before="120" w:beforeLines="50" w:line="360" w:lineRule="exact"/>
              <w:jc w:val="center"/>
              <w:rPr>
                <w:rFonts w:ascii="宋体" w:hAnsi="宋体"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atLeast"/>
        </w:trPr>
        <w:tc>
          <w:tcPr>
            <w:tcW w:w="555" w:type="pct"/>
            <w:tcBorders>
              <w:top w:val="single" w:color="auto" w:sz="4" w:space="0"/>
              <w:left w:val="single" w:color="auto" w:sz="4" w:space="0"/>
              <w:bottom w:val="single" w:color="auto" w:sz="4" w:space="0"/>
              <w:right w:val="single" w:color="auto" w:sz="4" w:space="0"/>
            </w:tcBorders>
            <w:vAlign w:val="center"/>
          </w:tcPr>
          <w:p>
            <w:pPr>
              <w:widowControl/>
              <w:snapToGrid w:val="0"/>
              <w:spacing w:before="120" w:beforeLines="50" w:line="360" w:lineRule="exact"/>
              <w:jc w:val="center"/>
              <w:rPr>
                <w:rFonts w:ascii="宋体" w:hAnsi="宋体" w:cs="宋体"/>
                <w:b/>
                <w:bCs/>
                <w:kern w:val="0"/>
                <w:sz w:val="28"/>
                <w:szCs w:val="28"/>
              </w:rPr>
            </w:pPr>
            <w:r>
              <w:rPr>
                <w:rFonts w:hint="eastAsia" w:ascii="宋体" w:hAnsi="宋体" w:cs="宋体"/>
                <w:b/>
                <w:bCs/>
                <w:kern w:val="0"/>
                <w:sz w:val="28"/>
                <w:szCs w:val="28"/>
              </w:rPr>
              <w:t>备注</w:t>
            </w:r>
          </w:p>
        </w:tc>
        <w:tc>
          <w:tcPr>
            <w:tcW w:w="4444" w:type="pct"/>
            <w:gridSpan w:val="6"/>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8"/>
                <w:szCs w:val="28"/>
              </w:rPr>
            </w:pPr>
            <w:r>
              <w:rPr>
                <w:rFonts w:hint="eastAsia" w:ascii="宋体" w:hAnsi="宋体"/>
                <w:sz w:val="28"/>
                <w:szCs w:val="28"/>
              </w:rPr>
              <w:t>1.此表应按项目的明细情况列项填报,在填写时，如上表不适合本项目的实际情况，可在确保</w:t>
            </w:r>
            <w:r>
              <w:rPr>
                <w:rFonts w:hint="eastAsia" w:ascii="宋体" w:hAnsi="宋体"/>
                <w:sz w:val="28"/>
                <w:szCs w:val="28"/>
                <w:lang w:eastAsia="zh-CN"/>
              </w:rPr>
              <w:t>响应</w:t>
            </w:r>
            <w:r>
              <w:rPr>
                <w:rFonts w:hint="eastAsia" w:ascii="宋体" w:hAnsi="宋体"/>
                <w:sz w:val="28"/>
                <w:szCs w:val="28"/>
              </w:rPr>
              <w:t>明细内容完整的情况下，根据上表格式自行划表填写。</w:t>
            </w:r>
          </w:p>
          <w:p>
            <w:pPr>
              <w:snapToGrid w:val="0"/>
              <w:jc w:val="left"/>
              <w:rPr>
                <w:rFonts w:ascii="宋体" w:hAnsi="宋体"/>
                <w:b/>
                <w:sz w:val="28"/>
                <w:szCs w:val="28"/>
              </w:rPr>
            </w:pPr>
            <w:r>
              <w:rPr>
                <w:rFonts w:hint="eastAsia" w:ascii="宋体" w:hAnsi="宋体"/>
                <w:b/>
                <w:sz w:val="28"/>
                <w:szCs w:val="28"/>
              </w:rPr>
              <w:t>2.每个</w:t>
            </w:r>
            <w:r>
              <w:rPr>
                <w:rFonts w:hint="eastAsia" w:ascii="宋体" w:hAnsi="宋体"/>
                <w:b/>
                <w:sz w:val="28"/>
                <w:szCs w:val="28"/>
                <w:lang w:val="en-US" w:eastAsia="zh-CN"/>
              </w:rPr>
              <w:t>采购包</w:t>
            </w:r>
            <w:r>
              <w:rPr>
                <w:rFonts w:hint="eastAsia" w:ascii="宋体" w:hAnsi="宋体"/>
                <w:b/>
                <w:sz w:val="28"/>
                <w:szCs w:val="28"/>
              </w:rPr>
              <w:t>仅能用一个产品进行响应。</w:t>
            </w:r>
          </w:p>
          <w:p>
            <w:pPr>
              <w:snapToGrid w:val="0"/>
              <w:jc w:val="left"/>
              <w:rPr>
                <w:rFonts w:ascii="宋体" w:hAnsi="宋体"/>
                <w:b/>
                <w:sz w:val="28"/>
                <w:szCs w:val="28"/>
              </w:rPr>
            </w:pPr>
            <w:r>
              <w:rPr>
                <w:rFonts w:hint="eastAsia" w:ascii="宋体" w:hAnsi="宋体"/>
                <w:b/>
                <w:sz w:val="28"/>
                <w:szCs w:val="28"/>
              </w:rPr>
              <w:t>3.响应报价必须低于厂家指导价，否则按为无效响应处理</w:t>
            </w:r>
          </w:p>
          <w:p>
            <w:pPr>
              <w:snapToGrid w:val="0"/>
              <w:jc w:val="left"/>
              <w:rPr>
                <w:rFonts w:ascii="宋体" w:hAnsi="宋体"/>
                <w:b/>
                <w:sz w:val="28"/>
                <w:szCs w:val="28"/>
              </w:rPr>
            </w:pPr>
            <w:r>
              <w:rPr>
                <w:rFonts w:hint="eastAsia" w:ascii="宋体" w:hAnsi="宋体"/>
                <w:b/>
                <w:sz w:val="28"/>
                <w:szCs w:val="28"/>
              </w:rPr>
              <w:t>4.同一产品不能同时响应两个及以上标项，否则按为无效响应处理。</w:t>
            </w:r>
          </w:p>
          <w:p>
            <w:pPr>
              <w:snapToGrid w:val="0"/>
              <w:jc w:val="left"/>
              <w:rPr>
                <w:rFonts w:ascii="宋体" w:hAnsi="宋体"/>
                <w:sz w:val="28"/>
                <w:szCs w:val="28"/>
              </w:rPr>
            </w:pPr>
            <w:r>
              <w:rPr>
                <w:rFonts w:hint="eastAsia" w:ascii="宋体" w:hAnsi="宋体"/>
                <w:sz w:val="28"/>
                <w:szCs w:val="28"/>
              </w:rPr>
              <w:t>5.报价要求：</w:t>
            </w:r>
            <w:r>
              <w:rPr>
                <w:rFonts w:hint="eastAsia" w:ascii="宋体" w:hAnsi="宋体" w:cs="宋体"/>
                <w:kern w:val="0"/>
                <w:sz w:val="28"/>
                <w:szCs w:val="28"/>
                <w:lang w:eastAsia="zh-CN"/>
              </w:rPr>
              <w:t>响应</w:t>
            </w:r>
            <w:r>
              <w:rPr>
                <w:rFonts w:hint="eastAsia" w:ascii="宋体" w:hAnsi="宋体" w:cs="宋体"/>
                <w:kern w:val="0"/>
                <w:sz w:val="28"/>
                <w:szCs w:val="28"/>
              </w:rPr>
              <w:t>报价应包含项目所需全部产品、服务，不得缺漏，是履行合同的最终价格（含货款、标准附件、备品备件、专用工具、包装、运输、装卸、保险、税金、货到就位以及安装、调试、培训、保修等一切税金和费用）。</w:t>
            </w:r>
          </w:p>
          <w:p>
            <w:pPr>
              <w:snapToGrid w:val="0"/>
              <w:rPr>
                <w:rFonts w:ascii="宋体" w:hAnsi="宋体"/>
                <w:sz w:val="28"/>
                <w:szCs w:val="28"/>
              </w:rPr>
            </w:pPr>
            <w:r>
              <w:rPr>
                <w:rFonts w:hint="eastAsia" w:ascii="宋体" w:hAnsi="宋体"/>
                <w:sz w:val="28"/>
                <w:szCs w:val="28"/>
              </w:rPr>
              <w:t>6.小微企业价格是否给予价格扣除按前附表“中小企业有关规定”要求认定。</w:t>
            </w:r>
          </w:p>
          <w:p>
            <w:pPr>
              <w:snapToGrid w:val="0"/>
              <w:rPr>
                <w:rFonts w:ascii="宋体" w:hAnsi="宋体"/>
                <w:b/>
                <w:color w:val="000000"/>
                <w:sz w:val="18"/>
                <w:szCs w:val="18"/>
              </w:rPr>
            </w:pPr>
            <w:r>
              <w:rPr>
                <w:rFonts w:hint="eastAsia" w:ascii="宋体" w:hAnsi="宋体"/>
                <w:b/>
                <w:color w:val="000000"/>
                <w:sz w:val="28"/>
                <w:szCs w:val="28"/>
              </w:rPr>
              <w:t>7.征集人在电子交易平台公开响应方的报价信息，响应方对报价信息进行确认。响应方对报价信息不予确认的不影响后续评标过程。</w:t>
            </w:r>
          </w:p>
        </w:tc>
      </w:tr>
    </w:tbl>
    <w:p>
      <w:pPr>
        <w:ind w:left="0" w:leftChars="0" w:firstLine="0" w:firstLineChars="0"/>
        <w:rPr>
          <w:rFonts w:hint="eastAsia"/>
          <w:b/>
          <w:bCs/>
          <w:color w:val="auto"/>
          <w:sz w:val="28"/>
          <w:szCs w:val="36"/>
          <w:lang w:val="en-US" w:eastAsia="zh-CN"/>
        </w:rPr>
      </w:pPr>
      <w:r>
        <w:rPr>
          <w:rFonts w:hint="eastAsia"/>
          <w:b/>
          <w:bCs/>
          <w:color w:val="auto"/>
          <w:sz w:val="28"/>
          <w:szCs w:val="36"/>
          <w:lang w:val="en-US" w:eastAsia="zh-CN"/>
        </w:rPr>
        <w:t>配件汇总表</w:t>
      </w:r>
    </w:p>
    <w:p>
      <w:pPr>
        <w:ind w:left="0" w:leftChars="0" w:firstLine="0" w:firstLineChars="0"/>
        <w:rPr>
          <w:rFonts w:hint="default" w:eastAsiaTheme="minorEastAsia"/>
          <w:color w:val="auto"/>
          <w:sz w:val="28"/>
          <w:szCs w:val="36"/>
          <w:lang w:val="en-US" w:eastAsia="zh-CN"/>
        </w:rPr>
      </w:pPr>
      <w:r>
        <w:rPr>
          <w:rFonts w:hint="eastAsia"/>
          <w:color w:val="auto"/>
          <w:sz w:val="28"/>
          <w:szCs w:val="36"/>
          <w:lang w:val="en-US" w:eastAsia="zh-CN"/>
        </w:rPr>
        <w:t>采购包1-2：</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9"/>
        <w:gridCol w:w="919"/>
        <w:gridCol w:w="4498"/>
        <w:gridCol w:w="1394"/>
        <w:gridCol w:w="12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default"/>
                <w:color w:val="auto"/>
                <w:lang w:val="en-US" w:eastAsia="zh-CN"/>
              </w:rPr>
            </w:pPr>
            <w:r>
              <w:rPr>
                <w:rFonts w:hint="eastAsia"/>
                <w:color w:val="auto"/>
                <w:lang w:val="en-US" w:eastAsia="zh-CN"/>
              </w:rPr>
              <w:t>必填配件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序号</w:t>
            </w:r>
          </w:p>
        </w:tc>
        <w:tc>
          <w:tcPr>
            <w:tcW w:w="53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配件类型</w:t>
            </w:r>
          </w:p>
        </w:tc>
        <w:tc>
          <w:tcPr>
            <w:tcW w:w="263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r>
              <w:rPr>
                <w:rFonts w:hint="eastAsia"/>
                <w:color w:val="auto"/>
                <w:lang w:val="en-US" w:eastAsia="zh-CN"/>
              </w:rPr>
              <w:t>规格</w:t>
            </w:r>
          </w:p>
        </w:tc>
        <w:tc>
          <w:tcPr>
            <w:tcW w:w="818" w:type="pct"/>
            <w:tcBorders>
              <w:top w:val="nil"/>
              <w:left w:val="single" w:color="000000" w:sz="4" w:space="0"/>
              <w:bottom w:val="nil"/>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rPr>
            </w:pPr>
            <w:r>
              <w:rPr>
                <w:rFonts w:hint="eastAsia"/>
                <w:color w:val="auto"/>
                <w:lang w:val="en-US" w:eastAsia="zh-CN"/>
              </w:rPr>
              <w:t>最高限价</w:t>
            </w:r>
          </w:p>
        </w:tc>
        <w:tc>
          <w:tcPr>
            <w:tcW w:w="703" w:type="pct"/>
            <w:tcBorders>
              <w:top w:val="nil"/>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9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1</w:t>
            </w:r>
          </w:p>
        </w:tc>
        <w:tc>
          <w:tcPr>
            <w:tcW w:w="53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CPU</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海光C86-4G 64核</w:t>
            </w:r>
          </w:p>
        </w:tc>
        <w:tc>
          <w:tcPr>
            <w:tcW w:w="818" w:type="pct"/>
            <w:vMerge w:val="restart"/>
            <w:tcBorders>
              <w:top w:val="single" w:color="000000" w:sz="4" w:space="0"/>
              <w:left w:val="single" w:color="000000" w:sz="4" w:space="0"/>
              <w:right w:val="single" w:color="auto"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90000</w:t>
            </w:r>
          </w:p>
        </w:tc>
        <w:tc>
          <w:tcPr>
            <w:tcW w:w="7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539" w:type="pct"/>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default"/>
                <w:color w:val="auto"/>
                <w:lang w:val="en-US" w:eastAsia="zh-CN"/>
              </w:rPr>
            </w:pPr>
            <w:r>
              <w:rPr>
                <w:rFonts w:hint="eastAsia"/>
                <w:color w:val="auto"/>
                <w:lang w:val="en-US" w:eastAsia="zh-CN"/>
              </w:rPr>
              <w:t>海光C86-4G 56核</w:t>
            </w:r>
          </w:p>
        </w:tc>
        <w:tc>
          <w:tcPr>
            <w:tcW w:w="818" w:type="pct"/>
            <w:vMerge w:val="continue"/>
            <w:tcBorders>
              <w:left w:val="single" w:color="000000" w:sz="4" w:space="0"/>
              <w:right w:val="single" w:color="auto"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7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539"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default"/>
                <w:color w:val="auto"/>
                <w:lang w:val="en-US" w:eastAsia="zh-CN"/>
              </w:rPr>
            </w:pPr>
            <w:r>
              <w:rPr>
                <w:rFonts w:hint="eastAsia"/>
                <w:color w:val="auto"/>
                <w:lang w:val="en-US" w:eastAsia="zh-CN"/>
              </w:rPr>
              <w:t>海光C86-4G 48核</w:t>
            </w:r>
          </w:p>
        </w:tc>
        <w:tc>
          <w:tcPr>
            <w:tcW w:w="818" w:type="pct"/>
            <w:vMerge w:val="continue"/>
            <w:tcBorders>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7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2</w:t>
            </w:r>
          </w:p>
        </w:tc>
        <w:tc>
          <w:tcPr>
            <w:tcW w:w="53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内存</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16GB RDIMM,DDR5,4800MHz</w:t>
            </w:r>
          </w:p>
        </w:tc>
        <w:tc>
          <w:tcPr>
            <w:tcW w:w="818" w:type="pct"/>
            <w:vMerge w:val="restart"/>
            <w:tcBorders>
              <w:top w:val="single" w:color="000000" w:sz="4" w:space="0"/>
              <w:left w:val="single" w:color="000000" w:sz="4" w:space="0"/>
              <w:right w:val="single" w:color="auto"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default"/>
                <w:color w:val="auto"/>
                <w:lang w:val="en-US" w:eastAsia="zh-CN"/>
              </w:rPr>
            </w:pPr>
            <w:r>
              <w:rPr>
                <w:rFonts w:hint="eastAsia"/>
                <w:color w:val="auto"/>
                <w:lang w:val="en-US" w:eastAsia="zh-CN"/>
              </w:rPr>
              <w:t>13500</w:t>
            </w:r>
          </w:p>
        </w:tc>
        <w:tc>
          <w:tcPr>
            <w:tcW w:w="7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539" w:type="pct"/>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32GB RDIMM,DDR5,4800MHz</w:t>
            </w:r>
          </w:p>
        </w:tc>
        <w:tc>
          <w:tcPr>
            <w:tcW w:w="818" w:type="pct"/>
            <w:vMerge w:val="continue"/>
            <w:tcBorders>
              <w:left w:val="single" w:color="000000" w:sz="4" w:space="0"/>
              <w:right w:val="single" w:color="auto"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7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539" w:type="pct"/>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64GB RDIMM,DDR5,4800MHz</w:t>
            </w:r>
          </w:p>
        </w:tc>
        <w:tc>
          <w:tcPr>
            <w:tcW w:w="818" w:type="pct"/>
            <w:vMerge w:val="continue"/>
            <w:tcBorders>
              <w:left w:val="single" w:color="000000" w:sz="4" w:space="0"/>
              <w:right w:val="single" w:color="auto"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7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3</w:t>
            </w:r>
          </w:p>
        </w:tc>
        <w:tc>
          <w:tcPr>
            <w:tcW w:w="5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硬盘</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2.5 英寸1.6TB NVMe</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22500</w:t>
            </w:r>
          </w:p>
        </w:tc>
        <w:tc>
          <w:tcPr>
            <w:tcW w:w="703"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2.5 英寸1.92TB NVMe</w:t>
            </w: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 xml:space="preserve">2.5 英寸3.84TB NVMe </w:t>
            </w: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2.5 英寸480GB热插拔固态硬盘，读取密集型</w:t>
            </w: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2.5 英寸800GB 热插拔固态硬盘，混合使用</w:t>
            </w: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2.5 英寸960GB热插拔固态硬盘，读取密集型</w:t>
            </w: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2.5 英寸1.6TB 热插拔固态硬盘，混合使用</w:t>
            </w: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2.5 英寸1.92TB 热插拔固态硬盘，读取密集型</w:t>
            </w: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2.5 英寸3.2TB 热插拔固态硬盘，混合使用</w:t>
            </w: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2.5 英寸3.84TB 热插拔固态硬盘，读取密集型</w:t>
            </w: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2.5 英寸7.68TB 热插拔固态硬盘，读取密集型</w:t>
            </w: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2.5 英寸 600GB 10K SAS热插拔硬盘</w:t>
            </w: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2.5 英寸 1.2TB 10K SAS热插拔硬盘</w:t>
            </w: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2.5 英寸 2.4TB 10K SAS热插拔硬盘</w:t>
            </w: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3.5 英寸4TB 7.2K热插拔硬盘</w:t>
            </w: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3.5 英寸8TB 7.2K热插拔硬盘</w:t>
            </w: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3.5 英寸16TB 7.2K热插拔硬盘</w:t>
            </w: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3.5 英寸18TB 7.2K热插拔硬盘</w:t>
            </w: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4</w:t>
            </w:r>
          </w:p>
        </w:tc>
        <w:tc>
          <w:tcPr>
            <w:tcW w:w="5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RAID卡</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无缓存 RAID卡</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9000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2G 缓存 RAID卡</w:t>
            </w: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4G 缓存 RAID卡</w:t>
            </w: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8G 缓存 RAID卡</w:t>
            </w: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5</w:t>
            </w:r>
          </w:p>
        </w:tc>
        <w:tc>
          <w:tcPr>
            <w:tcW w:w="5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网卡</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双口千兆电口</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4500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四口千兆电口</w:t>
            </w: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10G万兆电双口</w:t>
            </w: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10G万兆光双口，含双模块</w:t>
            </w: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25G万兆光双口，含双模块</w:t>
            </w: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6</w:t>
            </w:r>
          </w:p>
        </w:tc>
        <w:tc>
          <w:tcPr>
            <w:tcW w:w="5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HBA卡</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12G SAS HBA</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default"/>
                <w:color w:val="auto"/>
                <w:lang w:val="en-US" w:eastAsia="zh-CN"/>
              </w:rPr>
            </w:pPr>
            <w:r>
              <w:rPr>
                <w:rFonts w:hint="eastAsia"/>
                <w:color w:val="auto"/>
                <w:lang w:val="en-US" w:eastAsia="zh-CN"/>
              </w:rPr>
              <w:t>13000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16G FC 双口，含双模块</w:t>
            </w: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32G FC 双口，含双模块</w:t>
            </w: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703"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7</w:t>
            </w:r>
          </w:p>
        </w:tc>
        <w:tc>
          <w:tcPr>
            <w:tcW w:w="53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电源</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≥550W</w:t>
            </w:r>
          </w:p>
        </w:tc>
        <w:tc>
          <w:tcPr>
            <w:tcW w:w="818" w:type="pct"/>
            <w:vMerge w:val="restart"/>
            <w:tcBorders>
              <w:top w:val="single" w:color="000000" w:sz="4" w:space="0"/>
              <w:left w:val="single" w:color="000000" w:sz="4" w:space="0"/>
              <w:right w:val="single" w:color="auto"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4500</w:t>
            </w:r>
          </w:p>
        </w:tc>
        <w:tc>
          <w:tcPr>
            <w:tcW w:w="7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539" w:type="pct"/>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≥800W</w:t>
            </w:r>
          </w:p>
        </w:tc>
        <w:tc>
          <w:tcPr>
            <w:tcW w:w="818" w:type="pct"/>
            <w:vMerge w:val="continue"/>
            <w:tcBorders>
              <w:left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color w:val="auto"/>
              </w:rPr>
            </w:pPr>
          </w:p>
        </w:tc>
        <w:tc>
          <w:tcPr>
            <w:tcW w:w="7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color w:val="auto"/>
              </w:rPr>
            </w:pPr>
          </w:p>
        </w:tc>
        <w:tc>
          <w:tcPr>
            <w:tcW w:w="539" w:type="pct"/>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color w:val="auto"/>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≥1300W</w:t>
            </w:r>
          </w:p>
        </w:tc>
        <w:tc>
          <w:tcPr>
            <w:tcW w:w="818" w:type="pct"/>
            <w:vMerge w:val="continue"/>
            <w:tcBorders>
              <w:left w:val="single" w:color="000000" w:sz="4" w:space="0"/>
              <w:right w:val="single" w:color="auto" w:sz="4" w:space="0"/>
            </w:tcBorders>
            <w:shd w:val="clear" w:color="auto" w:fill="auto"/>
            <w:noWrap/>
            <w:vAlign w:val="center"/>
          </w:tcPr>
          <w:p>
            <w:pPr>
              <w:keepNext w:val="0"/>
              <w:keepLines w:val="0"/>
              <w:suppressLineNumbers w:val="0"/>
              <w:bidi w:val="0"/>
              <w:spacing w:before="0" w:beforeAutospacing="0" w:after="0" w:afterAutospacing="0"/>
              <w:ind w:left="0" w:right="0"/>
              <w:rPr>
                <w:rFonts w:hint="eastAsia"/>
                <w:color w:val="auto"/>
              </w:rPr>
            </w:pPr>
          </w:p>
        </w:tc>
        <w:tc>
          <w:tcPr>
            <w:tcW w:w="7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bidi w:val="0"/>
              <w:spacing w:before="0" w:beforeAutospacing="0" w:after="0" w:afterAutospacing="0"/>
              <w:ind w:left="0" w:right="0"/>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color w:val="auto"/>
              </w:rPr>
            </w:pPr>
          </w:p>
        </w:tc>
        <w:tc>
          <w:tcPr>
            <w:tcW w:w="539" w:type="pct"/>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color w:val="auto"/>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≥1600W</w:t>
            </w:r>
          </w:p>
        </w:tc>
        <w:tc>
          <w:tcPr>
            <w:tcW w:w="818" w:type="pct"/>
            <w:vMerge w:val="continue"/>
            <w:tcBorders>
              <w:left w:val="single" w:color="000000" w:sz="4" w:space="0"/>
              <w:right w:val="single" w:color="auto" w:sz="4" w:space="0"/>
            </w:tcBorders>
            <w:shd w:val="clear" w:color="auto" w:fill="auto"/>
            <w:noWrap/>
            <w:vAlign w:val="center"/>
          </w:tcPr>
          <w:p>
            <w:pPr>
              <w:keepNext w:val="0"/>
              <w:keepLines w:val="0"/>
              <w:suppressLineNumbers w:val="0"/>
              <w:bidi w:val="0"/>
              <w:spacing w:before="0" w:beforeAutospacing="0" w:after="0" w:afterAutospacing="0"/>
              <w:ind w:left="0" w:right="0"/>
              <w:rPr>
                <w:rFonts w:hint="eastAsia"/>
                <w:color w:val="auto"/>
              </w:rPr>
            </w:pPr>
          </w:p>
        </w:tc>
        <w:tc>
          <w:tcPr>
            <w:tcW w:w="7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bidi w:val="0"/>
              <w:spacing w:before="0" w:beforeAutospacing="0" w:after="0" w:afterAutospacing="0"/>
              <w:ind w:left="0" w:right="0"/>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color w:val="auto"/>
              </w:rPr>
            </w:pPr>
          </w:p>
        </w:tc>
        <w:tc>
          <w:tcPr>
            <w:tcW w:w="539"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color w:val="auto"/>
              </w:rPr>
            </w:pPr>
          </w:p>
        </w:tc>
        <w:tc>
          <w:tcPr>
            <w:tcW w:w="263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≥2000W</w:t>
            </w:r>
          </w:p>
        </w:tc>
        <w:tc>
          <w:tcPr>
            <w:tcW w:w="818" w:type="pct"/>
            <w:vMerge w:val="continue"/>
            <w:tcBorders>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bidi w:val="0"/>
              <w:spacing w:before="0" w:beforeAutospacing="0" w:after="0" w:afterAutospacing="0"/>
              <w:ind w:left="0" w:right="0"/>
              <w:rPr>
                <w:rFonts w:hint="eastAsia"/>
                <w:color w:val="auto"/>
              </w:rPr>
            </w:pPr>
          </w:p>
        </w:tc>
        <w:tc>
          <w:tcPr>
            <w:tcW w:w="7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bidi w:val="0"/>
              <w:spacing w:before="0" w:beforeAutospacing="0" w:after="0" w:afterAutospacing="0"/>
              <w:ind w:left="0" w:right="0"/>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选填配件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序号</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配件类型</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r>
              <w:rPr>
                <w:rFonts w:hint="eastAsia"/>
                <w:color w:val="auto"/>
                <w:lang w:val="en-US" w:eastAsia="zh-CN"/>
              </w:rPr>
              <w:t>规格</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r>
              <w:rPr>
                <w:rFonts w:hint="eastAsia"/>
                <w:color w:val="auto"/>
                <w:lang w:val="en-US" w:eastAsia="zh-CN"/>
              </w:rPr>
              <w:t>最高限价</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color w:val="auto"/>
                <w:lang w:val="en-US" w:eastAsia="zh-CN"/>
              </w:rPr>
            </w:pPr>
            <w:r>
              <w:rPr>
                <w:rFonts w:hint="eastAsia"/>
                <w:color w:val="auto"/>
                <w:lang w:val="en-US" w:eastAsia="zh-CN"/>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1</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GPU</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不限制</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color w:val="auto"/>
              </w:rPr>
            </w:pPr>
            <w:r>
              <w:rPr>
                <w:rFonts w:hint="eastAsia" w:ascii="等线" w:hAnsi="等线" w:eastAsia="等线" w:cs="等线"/>
                <w:i w:val="0"/>
                <w:iCs w:val="0"/>
                <w:color w:val="auto"/>
                <w:kern w:val="0"/>
                <w:sz w:val="22"/>
                <w:szCs w:val="22"/>
                <w:u w:val="none"/>
                <w:lang w:val="en-US" w:eastAsia="zh-CN" w:bidi="ar"/>
              </w:rPr>
              <w:t>180000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等线" w:hAnsi="等线" w:eastAsia="等线" w:cs="等线"/>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2</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增值服务</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不限制</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color w:val="auto"/>
              </w:rPr>
            </w:pPr>
            <w:r>
              <w:rPr>
                <w:rFonts w:hint="eastAsia" w:ascii="等线" w:hAnsi="等线" w:eastAsia="等线" w:cs="等线"/>
                <w:i w:val="0"/>
                <w:iCs w:val="0"/>
                <w:color w:val="auto"/>
                <w:kern w:val="0"/>
                <w:sz w:val="22"/>
                <w:szCs w:val="22"/>
                <w:u w:val="none"/>
                <w:lang w:val="en-US" w:eastAsia="zh-CN" w:bidi="ar"/>
              </w:rPr>
              <w:t>9000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等线" w:hAnsi="等线" w:eastAsia="等线" w:cs="等线"/>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3</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硬盘不返还服务</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不限制</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color w:val="auto"/>
              </w:rPr>
            </w:pPr>
            <w:r>
              <w:rPr>
                <w:rFonts w:hint="eastAsia" w:ascii="等线" w:hAnsi="等线" w:eastAsia="等线" w:cs="等线"/>
                <w:i w:val="0"/>
                <w:iCs w:val="0"/>
                <w:color w:val="auto"/>
                <w:kern w:val="0"/>
                <w:sz w:val="22"/>
                <w:szCs w:val="22"/>
                <w:u w:val="none"/>
                <w:lang w:val="en-US" w:eastAsia="zh-CN" w:bidi="ar"/>
              </w:rPr>
              <w:t>9000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等线" w:hAnsi="等线" w:eastAsia="等线" w:cs="等线"/>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4</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DVD光驱</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不限制</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color w:val="auto"/>
              </w:rPr>
            </w:pPr>
            <w:r>
              <w:rPr>
                <w:rFonts w:hint="eastAsia" w:ascii="等线" w:hAnsi="等线" w:eastAsia="等线" w:cs="等线"/>
                <w:i w:val="0"/>
                <w:iCs w:val="0"/>
                <w:color w:val="auto"/>
                <w:kern w:val="0"/>
                <w:sz w:val="22"/>
                <w:szCs w:val="22"/>
                <w:u w:val="none"/>
                <w:lang w:val="en-US" w:eastAsia="zh-CN" w:bidi="ar"/>
              </w:rPr>
              <w:t>450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等线" w:hAnsi="等线" w:eastAsia="等线" w:cs="等线"/>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5</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操作系统</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eastAsia="宋体"/>
                <w:color w:val="auto"/>
                <w:lang w:val="en-US" w:eastAsia="zh-CN"/>
              </w:rPr>
            </w:pPr>
            <w:r>
              <w:rPr>
                <w:rFonts w:hint="eastAsia"/>
                <w:color w:val="auto"/>
                <w:lang w:val="en-US" w:eastAsia="zh-CN"/>
              </w:rPr>
              <w:t>三年</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color w:val="auto"/>
                <w:lang w:val="en-US" w:eastAsia="zh-CN"/>
              </w:rPr>
            </w:pPr>
            <w:r>
              <w:rPr>
                <w:rFonts w:hint="eastAsia" w:ascii="等线" w:hAnsi="等线" w:eastAsia="等线" w:cs="等线"/>
                <w:i w:val="0"/>
                <w:iCs w:val="0"/>
                <w:color w:val="auto"/>
                <w:kern w:val="0"/>
                <w:sz w:val="22"/>
                <w:szCs w:val="22"/>
                <w:u w:val="none"/>
                <w:lang w:val="en-US" w:eastAsia="zh-CN" w:bidi="ar"/>
              </w:rPr>
              <w:t>6000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等线" w:hAnsi="等线" w:eastAsia="等线" w:cs="等线"/>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6</w:t>
            </w:r>
          </w:p>
        </w:tc>
        <w:tc>
          <w:tcPr>
            <w:tcW w:w="5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网卡</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100G IB卡</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color w:val="auto"/>
              </w:rPr>
            </w:pPr>
            <w:r>
              <w:rPr>
                <w:rFonts w:hint="eastAsia" w:ascii="等线" w:hAnsi="等线" w:eastAsia="等线" w:cs="等线"/>
                <w:i w:val="0"/>
                <w:iCs w:val="0"/>
                <w:color w:val="auto"/>
                <w:kern w:val="0"/>
                <w:sz w:val="22"/>
                <w:szCs w:val="22"/>
                <w:u w:val="none"/>
                <w:lang w:val="en-US" w:eastAsia="zh-CN" w:bidi="ar"/>
              </w:rPr>
              <w:t>9000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等线" w:hAnsi="等线" w:eastAsia="等线" w:cs="等线"/>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200G IB卡</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color w:val="auto"/>
              </w:rPr>
            </w:pPr>
            <w:r>
              <w:rPr>
                <w:rFonts w:hint="eastAsia" w:ascii="等线" w:hAnsi="等线" w:eastAsia="等线" w:cs="等线"/>
                <w:i w:val="0"/>
                <w:iCs w:val="0"/>
                <w:color w:val="auto"/>
                <w:kern w:val="0"/>
                <w:sz w:val="22"/>
                <w:szCs w:val="22"/>
                <w:u w:val="none"/>
                <w:lang w:val="en-US" w:eastAsia="zh-CN" w:bidi="ar"/>
              </w:rPr>
              <w:t>13500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等线" w:hAnsi="等线" w:eastAsia="等线" w:cs="等线"/>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400G IB卡</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color w:val="auto"/>
              </w:rPr>
            </w:pPr>
            <w:r>
              <w:rPr>
                <w:rFonts w:hint="eastAsia" w:ascii="等线" w:hAnsi="等线" w:eastAsia="等线" w:cs="等线"/>
                <w:i w:val="0"/>
                <w:iCs w:val="0"/>
                <w:color w:val="auto"/>
                <w:kern w:val="0"/>
                <w:sz w:val="22"/>
                <w:szCs w:val="22"/>
                <w:u w:val="none"/>
                <w:lang w:val="en-US" w:eastAsia="zh-CN" w:bidi="ar"/>
              </w:rPr>
              <w:t>18000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等线" w:hAnsi="等线" w:eastAsia="等线" w:cs="等线"/>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color w:val="auto"/>
                <w:lang w:val="en-US" w:eastAsia="zh-CN"/>
              </w:rPr>
            </w:pPr>
            <w:r>
              <w:rPr>
                <w:rFonts w:hint="eastAsia"/>
                <w:color w:val="auto"/>
                <w:lang w:val="en-US" w:eastAsia="zh-CN"/>
              </w:rPr>
              <w:t>1.CPU、内存、硬盘、RAID卡、网卡、HBA卡、电源为必填配件。</w:t>
            </w:r>
          </w:p>
          <w:p>
            <w:pPr>
              <w:keepNext w:val="0"/>
              <w:keepLines w:val="0"/>
              <w:suppressLineNumbers w:val="0"/>
              <w:bidi w:val="0"/>
              <w:spacing w:before="0" w:beforeAutospacing="0" w:after="0" w:afterAutospacing="0"/>
              <w:ind w:left="0" w:right="0"/>
              <w:rPr>
                <w:rFonts w:hint="eastAsia"/>
                <w:color w:val="auto"/>
                <w:lang w:val="en-US" w:eastAsia="zh-CN"/>
              </w:rPr>
            </w:pPr>
            <w:r>
              <w:rPr>
                <w:rFonts w:hint="eastAsia"/>
                <w:color w:val="auto"/>
                <w:lang w:val="en-US" w:eastAsia="zh-CN"/>
              </w:rPr>
              <w:t>2.增值服务、硬盘不返还服务、DVD光驱、操作系统为选填配件。操作系统应当为中国信息安全测评中心测评公告中公示产品，配件中提供的软件应当具有软件厂商提供的正版软件授权书，享受原厂提供的标准支持服务。</w:t>
            </w:r>
          </w:p>
          <w:p>
            <w:pPr>
              <w:keepNext w:val="0"/>
              <w:keepLines w:val="0"/>
              <w:suppressLineNumbers w:val="0"/>
              <w:bidi w:val="0"/>
              <w:spacing w:before="0" w:beforeAutospacing="0" w:after="0" w:afterAutospacing="0"/>
              <w:ind w:left="0" w:right="0"/>
              <w:rPr>
                <w:rFonts w:hint="eastAsia"/>
                <w:color w:val="auto"/>
                <w:lang w:val="en-US" w:eastAsia="zh-CN"/>
              </w:rPr>
            </w:pPr>
            <w:r>
              <w:rPr>
                <w:rFonts w:hint="eastAsia"/>
                <w:color w:val="auto"/>
                <w:lang w:val="en-US" w:eastAsia="zh-CN"/>
              </w:rPr>
              <w:t>3.配件均提供原制造厂商36个月免费质量保证期。</w:t>
            </w:r>
          </w:p>
          <w:p>
            <w:pPr>
              <w:keepNext w:val="0"/>
              <w:keepLines w:val="0"/>
              <w:suppressLineNumbers w:val="0"/>
              <w:bidi w:val="0"/>
              <w:spacing w:before="0" w:beforeAutospacing="0" w:after="0" w:afterAutospacing="0"/>
              <w:ind w:left="0" w:right="0"/>
              <w:rPr>
                <w:rFonts w:hint="eastAsia"/>
                <w:color w:val="auto"/>
                <w:lang w:val="en-US" w:eastAsia="zh-CN"/>
              </w:rPr>
            </w:pPr>
            <w:r>
              <w:rPr>
                <w:rFonts w:hint="eastAsia"/>
                <w:color w:val="auto"/>
                <w:lang w:val="en-US" w:eastAsia="zh-CN"/>
              </w:rPr>
              <w:t>4.供应商应按配件需求在采购云平台如实、准确、完整地录入各类配件的具体规格型号及价格。必填配件多响应或少响应的，均视为不满足技术配置要求。</w:t>
            </w:r>
          </w:p>
          <w:p>
            <w:pPr>
              <w:keepNext w:val="0"/>
              <w:keepLines w:val="0"/>
              <w:suppressLineNumbers w:val="0"/>
              <w:bidi w:val="0"/>
              <w:spacing w:before="0" w:beforeAutospacing="0" w:after="0" w:afterAutospacing="0"/>
              <w:ind w:left="0" w:right="0"/>
              <w:rPr>
                <w:rFonts w:hint="eastAsia"/>
                <w:b/>
                <w:bCs/>
                <w:color w:val="FF0000"/>
                <w:lang w:val="en-US" w:eastAsia="zh-CN"/>
              </w:rPr>
            </w:pPr>
            <w:r>
              <w:rPr>
                <w:rFonts w:hint="eastAsia"/>
                <w:b/>
                <w:bCs/>
                <w:color w:val="FF0000"/>
                <w:lang w:val="en-US" w:eastAsia="zh-CN"/>
              </w:rPr>
              <w:t>5.若提供增值服务须填写具体的服务，列明具体内容。</w:t>
            </w:r>
          </w:p>
          <w:p>
            <w:pPr>
              <w:keepNext w:val="0"/>
              <w:keepLines w:val="0"/>
              <w:suppressLineNumbers w:val="0"/>
              <w:bidi w:val="0"/>
              <w:spacing w:before="0" w:beforeAutospacing="0" w:after="0" w:afterAutospacing="0"/>
              <w:ind w:left="0" w:right="0"/>
              <w:rPr>
                <w:rFonts w:hint="eastAsia"/>
                <w:b/>
                <w:bCs/>
                <w:color w:val="FF0000"/>
                <w:lang w:val="en-US" w:eastAsia="zh-CN"/>
              </w:rPr>
            </w:pPr>
            <w:r>
              <w:rPr>
                <w:rFonts w:hint="eastAsia"/>
                <w:b/>
                <w:bCs/>
                <w:color w:val="FF0000"/>
                <w:lang w:val="en-US" w:eastAsia="zh-CN"/>
              </w:rPr>
              <w:t>6.所有产品价格不高于市场价，在同一地方的报价低于其他任何非政府采购或市场平均价格。</w:t>
            </w:r>
          </w:p>
        </w:tc>
      </w:tr>
    </w:tbl>
    <w:p>
      <w:pPr>
        <w:keepNext w:val="0"/>
        <w:keepLines w:val="0"/>
        <w:pageBreakBefore w:val="0"/>
        <w:kinsoku/>
        <w:overflowPunct/>
        <w:topLinePunct w:val="0"/>
        <w:autoSpaceDE/>
        <w:autoSpaceDN/>
        <w:bidi w:val="0"/>
        <w:adjustRightInd/>
        <w:snapToGrid/>
        <w:ind w:firstLine="0" w:firstLineChars="0"/>
        <w:rPr>
          <w:rFonts w:hint="eastAsia"/>
          <w:color w:val="auto"/>
          <w:sz w:val="28"/>
          <w:szCs w:val="36"/>
          <w:lang w:val="en-US" w:eastAsia="zh-CN"/>
        </w:rPr>
      </w:pPr>
    </w:p>
    <w:p>
      <w:pPr>
        <w:keepNext w:val="0"/>
        <w:keepLines w:val="0"/>
        <w:pageBreakBefore w:val="0"/>
        <w:kinsoku/>
        <w:overflowPunct/>
        <w:topLinePunct w:val="0"/>
        <w:autoSpaceDE/>
        <w:autoSpaceDN/>
        <w:bidi w:val="0"/>
        <w:adjustRightInd/>
        <w:snapToGrid/>
        <w:ind w:firstLine="0" w:firstLineChars="0"/>
        <w:rPr>
          <w:rFonts w:hint="eastAsia"/>
          <w:color w:val="auto"/>
          <w:sz w:val="28"/>
          <w:szCs w:val="36"/>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kinsoku/>
        <w:overflowPunct/>
        <w:topLinePunct w:val="0"/>
        <w:autoSpaceDE/>
        <w:autoSpaceDN/>
        <w:bidi w:val="0"/>
        <w:adjustRightInd/>
        <w:snapToGrid/>
        <w:ind w:firstLine="0" w:firstLineChars="0"/>
        <w:rPr>
          <w:rFonts w:hint="default"/>
          <w:color w:val="auto"/>
          <w:lang w:val="en-US" w:eastAsia="zh-CN"/>
        </w:rPr>
      </w:pPr>
      <w:r>
        <w:rPr>
          <w:rFonts w:hint="eastAsia"/>
          <w:color w:val="auto"/>
          <w:sz w:val="28"/>
          <w:szCs w:val="36"/>
          <w:lang w:val="en-US" w:eastAsia="zh-CN"/>
        </w:rPr>
        <w:t>采购包3-9：</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7"/>
        <w:gridCol w:w="1006"/>
        <w:gridCol w:w="3728"/>
        <w:gridCol w:w="1391"/>
        <w:gridCol w:w="1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必填配件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r>
              <w:rPr>
                <w:rFonts w:hint="eastAsia"/>
                <w:color w:val="auto"/>
                <w:lang w:val="en-US" w:eastAsia="zh-CN"/>
              </w:rPr>
              <w:t>序号</w:t>
            </w:r>
          </w:p>
        </w:tc>
        <w:tc>
          <w:tcPr>
            <w:tcW w:w="59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r>
              <w:rPr>
                <w:rFonts w:hint="eastAsia"/>
                <w:color w:val="auto"/>
                <w:lang w:val="en-US" w:eastAsia="zh-CN"/>
              </w:rPr>
              <w:t>配件类型</w:t>
            </w:r>
          </w:p>
        </w:tc>
        <w:tc>
          <w:tcPr>
            <w:tcW w:w="218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r>
              <w:rPr>
                <w:rFonts w:hint="eastAsia"/>
                <w:color w:val="auto"/>
                <w:lang w:val="en-US" w:eastAsia="zh-CN"/>
              </w:rPr>
              <w:t>规格</w:t>
            </w:r>
          </w:p>
        </w:tc>
        <w:tc>
          <w:tcPr>
            <w:tcW w:w="816" w:type="pct"/>
            <w:tcBorders>
              <w:top w:val="nil"/>
              <w:left w:val="single" w:color="000000" w:sz="4" w:space="0"/>
              <w:bottom w:val="nil"/>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rPr>
            </w:pPr>
            <w:r>
              <w:rPr>
                <w:rFonts w:hint="eastAsia"/>
                <w:color w:val="auto"/>
                <w:lang w:val="en-US" w:eastAsia="zh-CN"/>
              </w:rPr>
              <w:t>最高限价</w:t>
            </w:r>
          </w:p>
        </w:tc>
        <w:tc>
          <w:tcPr>
            <w:tcW w:w="1019" w:type="pct"/>
            <w:tcBorders>
              <w:top w:val="nil"/>
              <w:left w:val="single" w:color="000000" w:sz="4" w:space="0"/>
              <w:bottom w:val="nil"/>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default"/>
                <w:color w:val="auto"/>
                <w:lang w:val="en-US" w:eastAsia="zh-CN"/>
              </w:rPr>
            </w:pPr>
            <w:r>
              <w:rPr>
                <w:rFonts w:hint="eastAsia"/>
                <w:color w:val="auto"/>
                <w:lang w:val="en-US" w:eastAsia="zh-CN"/>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r>
              <w:rPr>
                <w:rFonts w:hint="eastAsia"/>
                <w:color w:val="auto"/>
                <w:lang w:val="en-US" w:eastAsia="zh-CN"/>
              </w:rPr>
              <w:t>1</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r>
              <w:rPr>
                <w:rFonts w:hint="eastAsia"/>
                <w:color w:val="auto"/>
                <w:lang w:val="en-US" w:eastAsia="zh-CN"/>
              </w:rPr>
              <w:t>CPU</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Hygon 7390 2.7GHz</w:t>
            </w:r>
          </w:p>
        </w:tc>
        <w:tc>
          <w:tcPr>
            <w:tcW w:w="8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r>
              <w:rPr>
                <w:rFonts w:hint="eastAsia"/>
                <w:color w:val="auto"/>
                <w:sz w:val="24"/>
                <w:szCs w:val="28"/>
                <w:lang w:val="en-US" w:eastAsia="zh-CN"/>
              </w:rPr>
              <w:t>54000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Hygon 7380 2.2GHz</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Hygon 7375 2.0GHz</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Hygon 7360 2.2GHz</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Hygon 5380 2.5GHz</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Hygon 5390 2.9GHz</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Hygon 5280 2.5GHz</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Hygon 7260 2.2GHz</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Hygon 7280 2.0GHz</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Hygon 7285 2.0GHz</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r>
              <w:rPr>
                <w:rFonts w:hint="eastAsia"/>
                <w:color w:val="auto"/>
                <w:lang w:val="en-US" w:eastAsia="zh-CN"/>
              </w:rPr>
              <w:t>2</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r>
              <w:rPr>
                <w:rFonts w:hint="eastAsia"/>
                <w:color w:val="auto"/>
                <w:lang w:val="en-US" w:eastAsia="zh-CN"/>
              </w:rPr>
              <w:t>内存</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16GB RDIMM,DDR4,3200MHz</w:t>
            </w:r>
          </w:p>
        </w:tc>
        <w:tc>
          <w:tcPr>
            <w:tcW w:w="8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default"/>
                <w:color w:val="auto"/>
                <w:sz w:val="24"/>
                <w:szCs w:val="28"/>
                <w:lang w:val="en-US" w:eastAsia="zh-CN"/>
              </w:rPr>
            </w:pPr>
            <w:r>
              <w:rPr>
                <w:rFonts w:hint="eastAsia"/>
                <w:color w:val="auto"/>
                <w:sz w:val="24"/>
                <w:szCs w:val="28"/>
                <w:lang w:val="en-US" w:eastAsia="zh-CN"/>
              </w:rPr>
              <w:t>8000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32GB RDIMM,DDR4,3200MHz</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64GB RDIMM,DDR4,3200MHz</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rPr>
            </w:pPr>
            <w:r>
              <w:rPr>
                <w:rFonts w:hint="eastAsia"/>
                <w:color w:val="auto"/>
                <w:lang w:val="en-US" w:eastAsia="zh-CN"/>
              </w:rPr>
              <w:t>3</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r>
              <w:rPr>
                <w:rFonts w:hint="eastAsia"/>
                <w:color w:val="auto"/>
                <w:lang w:val="en-US" w:eastAsia="zh-CN"/>
              </w:rPr>
              <w:t>硬盘</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2.5 英寸1.6TB NVMe</w:t>
            </w:r>
          </w:p>
        </w:tc>
        <w:tc>
          <w:tcPr>
            <w:tcW w:w="8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r>
              <w:rPr>
                <w:rFonts w:hint="eastAsia"/>
                <w:color w:val="auto"/>
                <w:sz w:val="24"/>
                <w:szCs w:val="28"/>
                <w:lang w:val="en-US" w:eastAsia="zh-CN"/>
              </w:rPr>
              <w:t>22500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2.5 英寸1.92TB NVMe</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2.5 英寸3.84TB NVMe</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2.5 英寸480GB热插拔固态硬盘，读取密集型</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2.5 英寸800GB 热插拔固态硬盘，混合使用</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2.5 英寸960GB热插拔固态硬盘，读取密集型</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2.5 英寸1.6TB 热插拔固态硬盘，混合使用</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2.5 英寸1.92TB 热插拔固态硬盘，读取密集型</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2.5 英寸3.2TB 热插拔固态硬盘，混合使用</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2.5 英寸3.84TB 热插拔固态硬盘，读取密集型</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2.5 英寸7.68TB 热插拔固态硬盘，读取密集型</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2.5 英寸 600GB 10K SAS热插拔硬盘</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2.5 英寸 1.2TB 10K SAS热插拔硬盘</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2.5 英寸 2.4TB 10K SAS热插拔硬盘</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3.5 英寸4TB 7.2K热插拔硬盘</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3.5 英寸8TB 7.2K热插拔硬盘</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3.5 英寸16TB 7.2K热插拔硬盘</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3.5 英寸18TB 7.2K热插拔硬盘</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r>
              <w:rPr>
                <w:rFonts w:hint="eastAsia"/>
                <w:color w:val="auto"/>
                <w:lang w:val="en-US" w:eastAsia="zh-CN"/>
              </w:rPr>
              <w:t>4</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r>
              <w:rPr>
                <w:rFonts w:hint="eastAsia"/>
                <w:color w:val="auto"/>
                <w:lang w:val="en-US" w:eastAsia="zh-CN"/>
              </w:rPr>
              <w:t>RAID卡</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无缓存 RAID卡</w:t>
            </w:r>
          </w:p>
        </w:tc>
        <w:tc>
          <w:tcPr>
            <w:tcW w:w="8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r>
              <w:rPr>
                <w:rFonts w:hint="eastAsia"/>
                <w:color w:val="auto"/>
                <w:sz w:val="24"/>
                <w:szCs w:val="28"/>
                <w:lang w:val="en-US" w:eastAsia="zh-CN"/>
              </w:rPr>
              <w:t>9000</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2G 缓存 RAID卡</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4G 缓存 RAID卡</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8G 缓存 RAID卡</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r>
              <w:rPr>
                <w:rFonts w:hint="eastAsia"/>
                <w:color w:val="auto"/>
                <w:lang w:val="en-US" w:eastAsia="zh-CN"/>
              </w:rPr>
              <w:t>5</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r>
              <w:rPr>
                <w:rFonts w:hint="eastAsia"/>
                <w:color w:val="auto"/>
                <w:lang w:val="en-US" w:eastAsia="zh-CN"/>
              </w:rPr>
              <w:t>网卡</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双口千兆电口</w:t>
            </w:r>
          </w:p>
        </w:tc>
        <w:tc>
          <w:tcPr>
            <w:tcW w:w="8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r>
              <w:rPr>
                <w:rFonts w:hint="eastAsia"/>
                <w:color w:val="auto"/>
                <w:sz w:val="24"/>
                <w:szCs w:val="28"/>
                <w:lang w:val="en-US" w:eastAsia="zh-CN"/>
              </w:rPr>
              <w:t>4500</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四口千兆电口</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10G万兆电双口</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10G万兆光双口，含双模块</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25G万兆光双口，含双模块</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r>
              <w:rPr>
                <w:rFonts w:hint="eastAsia"/>
                <w:color w:val="auto"/>
                <w:lang w:val="en-US" w:eastAsia="zh-CN"/>
              </w:rPr>
              <w:t>6</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r>
              <w:rPr>
                <w:rFonts w:hint="eastAsia"/>
                <w:color w:val="auto"/>
                <w:lang w:val="en-US" w:eastAsia="zh-CN"/>
              </w:rPr>
              <w:t>HBA卡</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12G SAS HBA</w:t>
            </w:r>
          </w:p>
        </w:tc>
        <w:tc>
          <w:tcPr>
            <w:tcW w:w="8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default"/>
                <w:color w:val="auto"/>
                <w:sz w:val="24"/>
                <w:szCs w:val="28"/>
                <w:lang w:val="en-US" w:eastAsia="zh-CN"/>
              </w:rPr>
            </w:pPr>
            <w:r>
              <w:rPr>
                <w:rFonts w:hint="eastAsia"/>
                <w:color w:val="auto"/>
                <w:sz w:val="24"/>
                <w:szCs w:val="28"/>
                <w:lang w:val="en-US" w:eastAsia="zh-CN"/>
              </w:rPr>
              <w:t>13000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16G FC 双口，含双模块</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32G FC 双口，含双模块</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r>
              <w:rPr>
                <w:rFonts w:hint="eastAsia"/>
                <w:color w:val="auto"/>
                <w:lang w:val="en-US" w:eastAsia="zh-CN"/>
              </w:rPr>
              <w:t>7</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r>
              <w:rPr>
                <w:rFonts w:hint="eastAsia"/>
                <w:color w:val="auto"/>
                <w:lang w:val="en-US" w:eastAsia="zh-CN"/>
              </w:rPr>
              <w:t>电源</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≥800W</w:t>
            </w:r>
          </w:p>
        </w:tc>
        <w:tc>
          <w:tcPr>
            <w:tcW w:w="8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r>
              <w:rPr>
                <w:rFonts w:hint="eastAsia"/>
                <w:color w:val="auto"/>
                <w:sz w:val="24"/>
                <w:szCs w:val="28"/>
                <w:lang w:val="en-US" w:eastAsia="zh-CN"/>
              </w:rPr>
              <w:t>4500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sz w:val="24"/>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≥1300W</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≥1600W</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218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rPr>
            </w:pPr>
            <w:r>
              <w:rPr>
                <w:rFonts w:hint="eastAsia"/>
                <w:color w:val="auto"/>
                <w:lang w:val="en-US" w:eastAsia="zh-CN"/>
              </w:rPr>
              <w:t>≥2000W</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选填配件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r>
              <w:rPr>
                <w:rFonts w:hint="eastAsia"/>
                <w:color w:val="auto"/>
                <w:lang w:val="en-US" w:eastAsia="zh-CN"/>
              </w:rPr>
              <w:t>序号</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r>
              <w:rPr>
                <w:rFonts w:hint="eastAsia"/>
                <w:color w:val="auto"/>
                <w:lang w:val="en-US" w:eastAsia="zh-CN"/>
              </w:rPr>
              <w:t>配件类型</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r>
              <w:rPr>
                <w:rFonts w:hint="eastAsia"/>
                <w:color w:val="auto"/>
                <w:lang w:val="en-US" w:eastAsia="zh-CN"/>
              </w:rPr>
              <w:t>规格</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rPr>
            </w:pPr>
            <w:r>
              <w:rPr>
                <w:rFonts w:hint="eastAsia"/>
                <w:color w:val="auto"/>
                <w:lang w:val="en-US" w:eastAsia="zh-CN"/>
              </w:rPr>
              <w:t>最高限价</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color w:val="auto"/>
                <w:lang w:val="en-US" w:eastAsia="zh-CN"/>
              </w:rPr>
            </w:pPr>
            <w:r>
              <w:rPr>
                <w:rFonts w:hint="eastAsia"/>
                <w:color w:val="auto"/>
                <w:lang w:val="en-US" w:eastAsia="zh-CN"/>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GPU</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不限制</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180000</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增值服务</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不限制</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9000</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硬盘不返还服务</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不限制</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9000</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4</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DVD光驱</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不限制</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450</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5</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操作系统</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三年</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color w:val="auto"/>
                <w:lang w:val="en-US" w:eastAsia="zh-CN"/>
              </w:rPr>
            </w:pPr>
            <w:r>
              <w:rPr>
                <w:rFonts w:hint="eastAsia"/>
                <w:color w:val="auto"/>
                <w:lang w:val="en-US" w:eastAsia="zh-CN"/>
              </w:rPr>
              <w:t>6000</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6</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网卡</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100G IB卡</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9000</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200G IB卡</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13500</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left"/>
              <w:rPr>
                <w:rFonts w:hint="eastAsia"/>
                <w:color w:val="auto"/>
                <w:lang w:val="en-US" w:eastAsia="zh-CN"/>
              </w:rPr>
            </w:pPr>
            <w:r>
              <w:rPr>
                <w:rFonts w:hint="eastAsia"/>
                <w:color w:val="auto"/>
                <w:lang w:val="en-US" w:eastAsia="zh-CN"/>
              </w:rPr>
              <w:t>400G IB卡</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18000</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color w:val="auto"/>
                <w:lang w:val="en-US" w:eastAsia="zh-CN"/>
              </w:rPr>
            </w:pPr>
            <w:r>
              <w:rPr>
                <w:rFonts w:hint="eastAsia"/>
                <w:color w:val="auto"/>
                <w:lang w:val="en-US" w:eastAsia="zh-CN"/>
              </w:rPr>
              <w:t>1.CPU、内存、硬盘、RAID卡、网卡、HBA卡、电源为必填配件。</w:t>
            </w:r>
          </w:p>
          <w:p>
            <w:pPr>
              <w:keepNext w:val="0"/>
              <w:keepLines w:val="0"/>
              <w:suppressLineNumbers w:val="0"/>
              <w:bidi w:val="0"/>
              <w:spacing w:before="0" w:beforeAutospacing="0" w:after="0" w:afterAutospacing="0"/>
              <w:ind w:left="0" w:right="0"/>
              <w:rPr>
                <w:rFonts w:hint="eastAsia"/>
                <w:color w:val="auto"/>
                <w:lang w:val="en-US" w:eastAsia="zh-CN"/>
              </w:rPr>
            </w:pPr>
            <w:r>
              <w:rPr>
                <w:rFonts w:hint="eastAsia"/>
                <w:color w:val="auto"/>
                <w:lang w:val="en-US" w:eastAsia="zh-CN"/>
              </w:rPr>
              <w:t>2.增值服务、硬盘不返还服务、DVD光驱、操作系统为选填配件。操作系统应当为中国信息安全测评中心测评公告中公示产品，配件中提供的软件应当具有软件厂商提供的正版软件授权书，享受原厂提供的标准支持服务。</w:t>
            </w:r>
          </w:p>
          <w:p>
            <w:pPr>
              <w:keepNext w:val="0"/>
              <w:keepLines w:val="0"/>
              <w:suppressLineNumbers w:val="0"/>
              <w:bidi w:val="0"/>
              <w:spacing w:before="0" w:beforeAutospacing="0" w:after="0" w:afterAutospacing="0"/>
              <w:ind w:left="0" w:right="0"/>
              <w:rPr>
                <w:rFonts w:hint="eastAsia"/>
                <w:color w:val="auto"/>
                <w:lang w:val="en-US" w:eastAsia="zh-CN"/>
              </w:rPr>
            </w:pPr>
            <w:r>
              <w:rPr>
                <w:rFonts w:hint="eastAsia"/>
                <w:color w:val="auto"/>
                <w:lang w:val="en-US" w:eastAsia="zh-CN"/>
              </w:rPr>
              <w:t>3.配件均提供原制造厂商36个月免费质量保证期。</w:t>
            </w:r>
          </w:p>
          <w:p>
            <w:pPr>
              <w:keepNext w:val="0"/>
              <w:keepLines w:val="0"/>
              <w:suppressLineNumbers w:val="0"/>
              <w:bidi w:val="0"/>
              <w:spacing w:before="0" w:beforeAutospacing="0" w:after="0" w:afterAutospacing="0"/>
              <w:ind w:left="0" w:right="0"/>
              <w:rPr>
                <w:rFonts w:hint="eastAsia"/>
                <w:color w:val="auto"/>
                <w:lang w:val="en-US" w:eastAsia="zh-CN"/>
              </w:rPr>
            </w:pPr>
            <w:r>
              <w:rPr>
                <w:rFonts w:hint="eastAsia"/>
                <w:color w:val="auto"/>
                <w:lang w:val="en-US" w:eastAsia="zh-CN"/>
              </w:rPr>
              <w:t>4.供应商应按配件需求在采购云平台如实、准确、完整地录入各类配件的具体规格型号及价格。必填配件多响应或少响应的，均视为不满足技术配置要求。</w:t>
            </w:r>
          </w:p>
          <w:p>
            <w:pPr>
              <w:keepNext w:val="0"/>
              <w:keepLines w:val="0"/>
              <w:suppressLineNumbers w:val="0"/>
              <w:bidi w:val="0"/>
              <w:spacing w:before="0" w:beforeAutospacing="0" w:after="0" w:afterAutospacing="0"/>
              <w:ind w:left="0" w:right="0"/>
              <w:rPr>
                <w:rFonts w:hint="eastAsia"/>
                <w:b/>
                <w:bCs/>
                <w:color w:val="FF0000"/>
                <w:lang w:val="en-US" w:eastAsia="zh-CN"/>
              </w:rPr>
            </w:pPr>
            <w:r>
              <w:rPr>
                <w:rFonts w:hint="eastAsia"/>
                <w:b/>
                <w:bCs/>
                <w:color w:val="FF0000"/>
                <w:lang w:val="en-US" w:eastAsia="zh-CN"/>
              </w:rPr>
              <w:t>5.若提供增值服务须填写具体的服务，列明具体内容。</w:t>
            </w:r>
          </w:p>
          <w:p>
            <w:pPr>
              <w:keepNext w:val="0"/>
              <w:keepLines w:val="0"/>
              <w:suppressLineNumbers w:val="0"/>
              <w:bidi w:val="0"/>
              <w:spacing w:before="0" w:beforeAutospacing="0" w:after="0" w:afterAutospacing="0"/>
              <w:ind w:left="0" w:right="0"/>
              <w:rPr>
                <w:rFonts w:hint="eastAsia"/>
                <w:b/>
                <w:bCs/>
                <w:color w:val="FF0000"/>
                <w:lang w:val="en-US" w:eastAsia="zh-CN"/>
              </w:rPr>
            </w:pPr>
            <w:r>
              <w:rPr>
                <w:rFonts w:hint="eastAsia"/>
                <w:b/>
                <w:bCs/>
                <w:color w:val="FF0000"/>
                <w:lang w:val="en-US" w:eastAsia="zh-CN"/>
              </w:rPr>
              <w:t>6.所有产品价格不高于市场价，在同一地方的报价低于其他任何非政府采购或市场平均价格。</w:t>
            </w:r>
          </w:p>
        </w:tc>
      </w:tr>
    </w:tbl>
    <w:p>
      <w:pPr>
        <w:keepNext w:val="0"/>
        <w:keepLines w:val="0"/>
        <w:pageBreakBefore w:val="0"/>
        <w:kinsoku/>
        <w:overflowPunct/>
        <w:topLinePunct w:val="0"/>
        <w:autoSpaceDE/>
        <w:autoSpaceDN/>
        <w:bidi w:val="0"/>
        <w:adjustRightInd/>
        <w:snapToGrid/>
        <w:ind w:firstLine="0" w:firstLineChars="0"/>
        <w:rPr>
          <w:rFonts w:hint="eastAsia"/>
          <w:color w:val="auto"/>
          <w:sz w:val="28"/>
          <w:szCs w:val="36"/>
          <w:lang w:val="en-US" w:eastAsia="zh-CN"/>
        </w:rPr>
      </w:pPr>
    </w:p>
    <w:p>
      <w:pPr>
        <w:keepNext w:val="0"/>
        <w:keepLines w:val="0"/>
        <w:pageBreakBefore w:val="0"/>
        <w:kinsoku/>
        <w:overflowPunct/>
        <w:topLinePunct w:val="0"/>
        <w:autoSpaceDE/>
        <w:autoSpaceDN/>
        <w:bidi w:val="0"/>
        <w:adjustRightInd/>
        <w:snapToGrid/>
        <w:ind w:firstLine="0" w:firstLineChars="0"/>
        <w:rPr>
          <w:rFonts w:hint="eastAsia"/>
          <w:color w:val="auto"/>
          <w:sz w:val="28"/>
          <w:szCs w:val="36"/>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kinsoku/>
        <w:overflowPunct/>
        <w:topLinePunct w:val="0"/>
        <w:autoSpaceDE/>
        <w:autoSpaceDN/>
        <w:bidi w:val="0"/>
        <w:adjustRightInd/>
        <w:snapToGrid/>
        <w:ind w:firstLine="0" w:firstLineChars="0"/>
        <w:rPr>
          <w:rFonts w:hint="default" w:eastAsiaTheme="minorEastAsia"/>
          <w:color w:val="auto"/>
          <w:sz w:val="28"/>
          <w:szCs w:val="36"/>
          <w:lang w:val="en-US" w:eastAsia="zh-CN"/>
        </w:rPr>
      </w:pPr>
      <w:r>
        <w:rPr>
          <w:rFonts w:hint="eastAsia"/>
          <w:color w:val="auto"/>
          <w:sz w:val="28"/>
          <w:szCs w:val="36"/>
          <w:lang w:val="en-US" w:eastAsia="zh-CN"/>
        </w:rPr>
        <w:t>采购包10-16：</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355"/>
        <w:gridCol w:w="4135"/>
        <w:gridCol w:w="1500"/>
        <w:gridCol w:w="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必填配件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序号</w:t>
            </w:r>
          </w:p>
        </w:tc>
        <w:tc>
          <w:tcPr>
            <w:tcW w:w="13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配件类型</w:t>
            </w:r>
          </w:p>
        </w:tc>
        <w:tc>
          <w:tcPr>
            <w:tcW w:w="41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规格</w:t>
            </w:r>
          </w:p>
        </w:tc>
        <w:tc>
          <w:tcPr>
            <w:tcW w:w="1500" w:type="dxa"/>
            <w:tcBorders>
              <w:top w:val="nil"/>
              <w:left w:val="single" w:color="000000" w:sz="4" w:space="0"/>
              <w:bottom w:val="nil"/>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最高限价</w:t>
            </w:r>
          </w:p>
        </w:tc>
        <w:tc>
          <w:tcPr>
            <w:tcW w:w="836" w:type="dxa"/>
            <w:tcBorders>
              <w:top w:val="nil"/>
              <w:left w:val="single" w:color="000000" w:sz="4" w:space="0"/>
              <w:bottom w:val="nil"/>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1</w:t>
            </w:r>
          </w:p>
        </w:tc>
        <w:tc>
          <w:tcPr>
            <w:tcW w:w="13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CPU</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兆芯 KH-40000/16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30000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13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lang w:val="en-US" w:eastAsia="zh-CN"/>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兆芯 KH-40000/32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40000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2</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内存</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16GB RDIMM,DDR4,3200MHz</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8000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32GB RDIMM,DDR4,3200MHz</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64GB RDIMM,DDR4,3200MHz</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3</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硬盘</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2.5 英寸1.6TB NVMe</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22500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2.5 英寸1.92TB NVMe</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2.5 英寸3.84TB NVMe</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2.5 英寸480GB热插拔固态硬盘，读取密集型</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2.5 英寸800GB 热插拔固态硬盘，混合使用</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2.5 英寸960GB热插拔固态硬盘，读取密集型</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2.5 英寸1.6TB 热插拔固态硬盘，混合使用</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2.5 英寸1.92TB 热插拔固态硬盘，读取密集型</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2.5 英寸3.2TB 热插拔固态硬盘，混合使用</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2.5 英寸3.84TB 热插拔固态硬盘，读取密集型</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2.5 英寸7.68TB 热插拔固态硬盘，读取密集型</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2.5 英寸 600GB 10K SAS热插拔硬盘</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2.5 英寸 1.2TB 10K SAS热插拔硬盘</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2.5 英寸 2.4TB 10K SAS热插拔硬盘</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3.5 英寸4TB 7.2K热插拔硬盘</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3.5 英寸8TB 7.2K热插拔硬盘</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3.5 英寸16TB 7.2K热插拔硬盘</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3.5 英寸18TB 7.2K热插拔硬盘</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4</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RAID卡</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无缓存 RAID卡</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9000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1G 缓存 RAID卡</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2G 缓存 RAID卡</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4G 缓存 RAID卡</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8G 缓存 RAID卡</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5</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网卡</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双口千兆电口</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4500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四口千兆电口</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10G万兆电双口</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10G万兆光双口，含双模块</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25G万兆光双口，含双模块</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6</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HBA卡</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12G SAS HBA</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13000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16G FC 双口，含双模块</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32G FC 双口，含双模块</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7</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电源</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≥800W</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4500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≥1300W</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rPr>
                <w:rFonts w:hint="eastAsia"/>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≥1600W</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rPr>
                <w:rFonts w:hint="eastAsia"/>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p>
        </w:tc>
        <w:tc>
          <w:tcPr>
            <w:tcW w:w="41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≥2000W</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rPr>
                <w:rFonts w:hint="eastAsia"/>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选填配件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序号</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配件类型</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最高限价</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1</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GPU</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不限制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18000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2</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增值服务</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不限制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9000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3</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硬盘不返还服务</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不限制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9000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4</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DVD光驱</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不限制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450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5</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操作系统</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三年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6000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6</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网卡</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100G IB卡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9000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rPr>
            </w:pPr>
            <w:r>
              <w:rPr>
                <w:rFonts w:hint="eastAsia"/>
                <w:lang w:val="en-US" w:eastAsia="zh-CN"/>
              </w:rPr>
              <w:t>200G IB卡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13500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1.CPU、内存、硬盘、RAID卡、网卡、HBA卡、电源为必填配件。</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2.增值服务、硬盘不返还服务、DVD光驱、操作系统为选填配件。操作系统应当为中国信息安全测评中心测评公告中公示产品，配件中提供的软件应当具有软件厂商提供的正版软件授权书，享受原厂提供的标准支持服务。</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3.配件均提供原制造厂商36个月免费质量保证期。</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4.供应商应按配件需求在采购云平台如实、准确、完整地录入各类配件的具体规格型号及价格。必填配件多响应或少响应的，均视为不满足技术配置要求。</w:t>
            </w:r>
          </w:p>
          <w:p>
            <w:pPr>
              <w:keepNext w:val="0"/>
              <w:keepLines w:val="0"/>
              <w:suppressLineNumbers w:val="0"/>
              <w:bidi w:val="0"/>
              <w:spacing w:before="0" w:beforeAutospacing="0" w:after="0" w:afterAutospacing="0"/>
              <w:ind w:left="0" w:right="0"/>
              <w:rPr>
                <w:rFonts w:hint="eastAsia"/>
                <w:b/>
                <w:bCs/>
                <w:color w:val="FF0000"/>
                <w:lang w:val="en-US" w:eastAsia="zh-CN"/>
              </w:rPr>
            </w:pPr>
            <w:r>
              <w:rPr>
                <w:rFonts w:hint="eastAsia"/>
                <w:b/>
                <w:bCs/>
                <w:color w:val="FF0000"/>
                <w:lang w:val="en-US" w:eastAsia="zh-CN"/>
              </w:rPr>
              <w:t>5.若提供增值服务须填写具体的服务，列明具体内容。</w:t>
            </w:r>
          </w:p>
          <w:p>
            <w:pPr>
              <w:keepNext w:val="0"/>
              <w:keepLines w:val="0"/>
              <w:suppressLineNumbers w:val="0"/>
              <w:bidi w:val="0"/>
              <w:spacing w:before="0" w:beforeAutospacing="0" w:after="0" w:afterAutospacing="0"/>
              <w:ind w:left="0" w:right="0"/>
              <w:rPr>
                <w:rFonts w:hint="eastAsia"/>
                <w:lang w:val="en-US" w:eastAsia="zh-CN"/>
              </w:rPr>
            </w:pPr>
            <w:r>
              <w:rPr>
                <w:rFonts w:hint="eastAsia"/>
                <w:b/>
                <w:bCs/>
                <w:color w:val="FF0000"/>
                <w:lang w:val="en-US" w:eastAsia="zh-CN"/>
              </w:rPr>
              <w:t>6.所有产品价格不高于市场价，在同一地方的报价低于其他任何非政府采购或市场平均价格。</w:t>
            </w:r>
          </w:p>
        </w:tc>
      </w:tr>
    </w:tbl>
    <w:p>
      <w:pPr>
        <w:keepNext w:val="0"/>
        <w:keepLines w:val="0"/>
        <w:pageBreakBefore w:val="0"/>
        <w:kinsoku/>
        <w:overflowPunct/>
        <w:topLinePunct w:val="0"/>
        <w:autoSpaceDE/>
        <w:autoSpaceDN/>
        <w:bidi w:val="0"/>
        <w:adjustRightInd/>
        <w:snapToGrid/>
        <w:ind w:firstLine="0" w:firstLineChars="0"/>
        <w:rPr>
          <w:color w:val="auto"/>
        </w:rPr>
      </w:pPr>
      <w:r>
        <w:rPr>
          <w:color w:val="auto"/>
        </w:rPr>
        <w:br w:type="page"/>
      </w:r>
    </w:p>
    <w:p>
      <w:pPr>
        <w:keepNext w:val="0"/>
        <w:keepLines w:val="0"/>
        <w:pageBreakBefore w:val="0"/>
        <w:kinsoku/>
        <w:overflowPunct/>
        <w:topLinePunct w:val="0"/>
        <w:autoSpaceDE/>
        <w:autoSpaceDN/>
        <w:bidi w:val="0"/>
        <w:adjustRightInd/>
        <w:snapToGrid/>
        <w:ind w:firstLine="0" w:firstLineChars="0"/>
        <w:rPr>
          <w:rFonts w:hint="eastAsia"/>
          <w:color w:val="auto"/>
          <w:sz w:val="32"/>
          <w:szCs w:val="40"/>
          <w:lang w:val="en-US" w:eastAsia="zh-CN"/>
        </w:rPr>
      </w:pPr>
      <w:r>
        <w:rPr>
          <w:rFonts w:hint="eastAsia"/>
          <w:color w:val="auto"/>
          <w:sz w:val="32"/>
          <w:szCs w:val="40"/>
          <w:lang w:val="en-US" w:eastAsia="zh-CN"/>
        </w:rPr>
        <w:t>采购包17-25：</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9"/>
        <w:gridCol w:w="1463"/>
        <w:gridCol w:w="4497"/>
        <w:gridCol w:w="1508"/>
        <w:gridCol w:w="8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必填配件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序号</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配件类型</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规格</w:t>
            </w:r>
          </w:p>
        </w:tc>
        <w:tc>
          <w:tcPr>
            <w:tcW w:w="0" w:type="auto"/>
            <w:tcBorders>
              <w:top w:val="nil"/>
              <w:left w:val="single" w:color="000000" w:sz="4" w:space="0"/>
              <w:bottom w:val="nil"/>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最高限价</w:t>
            </w:r>
          </w:p>
        </w:tc>
        <w:tc>
          <w:tcPr>
            <w:tcW w:w="0" w:type="auto"/>
            <w:tcBorders>
              <w:top w:val="nil"/>
              <w:left w:val="single" w:color="000000" w:sz="4" w:space="0"/>
              <w:bottom w:val="nil"/>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CPU</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鲲鹏920/32核</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90000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鲲鹏920/48核</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鲲鹏920/64核</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内存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16GB RDIMM,DDR4,3200MHz</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default" w:eastAsia="宋体"/>
                <w:lang w:val="en-US" w:eastAsia="zh-CN"/>
              </w:rPr>
            </w:pPr>
            <w:r>
              <w:rPr>
                <w:rFonts w:hint="eastAsia"/>
                <w:lang w:val="en-US" w:eastAsia="zh-CN"/>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32GB RDIMM,DDR4,3200MHz</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64GB RDIMM,DDR4,3200MHz</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硬盘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英寸1.6TB NVMe</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22500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英寸1.92TB NVMe</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英寸3.84TB NVMe</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英寸6.4TB NVMe</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英寸7.68TB NVMe</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英寸480GB热插拔固态硬盘，读取密集型</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英寸960GB热插拔固态硬盘，读取密集型</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英寸1.92TB 热插拔固态硬盘，读取密集型</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英寸3.84TB 热插拔固态硬盘，读取密集型</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英寸7.68TB 热插拔固态硬盘，读取密集型</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 600GB 10K SAS热插拔硬盘</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 1.2TB 10K SAS热插拔硬盘</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 2.4TB 10K SAS热插拔硬盘</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3.5 英寸4TB 7.2K热插拔硬盘</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3.5 英寸8TB 7.2K热插拔硬盘</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3.5 英寸12TB 7.2K热插拔硬盘</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3.5 英寸16TB 7.2K热插拔硬盘</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RAID卡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无缓存 RAID卡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2G 缓存 RAID卡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4G 缓存 RAID卡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网卡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四口千兆电口</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4500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10G万兆光双口，含光模块</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25G万兆光双口，含光模块</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HBA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16G FC 双口</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13000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32G FC 双口</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≥900W</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4500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≥2000W</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选填配件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配件类型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最高限价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GPU</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不限制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180000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增值服务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不限制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硬盘不返还服务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不限制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DVD光驱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不限制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操作系统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网卡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100G IB卡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200G IB卡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13500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400G IB卡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18000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7"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lang w:val="en-US" w:eastAsia="zh-CN"/>
              </w:rPr>
            </w:pPr>
            <w:r>
              <w:rPr>
                <w:rFonts w:hint="eastAsia"/>
                <w:lang w:val="en-US" w:eastAsia="zh-CN"/>
              </w:rPr>
              <w:t>1.CPU、内存、硬盘、RAID卡、网卡、HBA卡、电源为必填配件。</w:t>
            </w:r>
          </w:p>
          <w:p>
            <w:pPr>
              <w:keepNext w:val="0"/>
              <w:keepLines w:val="0"/>
              <w:suppressLineNumbers w:val="0"/>
              <w:bidi w:val="0"/>
              <w:spacing w:before="0" w:beforeAutospacing="0" w:after="0" w:afterAutospacing="0"/>
              <w:ind w:left="0" w:right="0"/>
              <w:jc w:val="both"/>
              <w:rPr>
                <w:rFonts w:hint="eastAsia"/>
                <w:lang w:val="en-US" w:eastAsia="zh-CN"/>
              </w:rPr>
            </w:pPr>
            <w:r>
              <w:rPr>
                <w:rFonts w:hint="eastAsia"/>
                <w:lang w:val="en-US" w:eastAsia="zh-CN"/>
              </w:rPr>
              <w:t>2.增值服务、硬盘不返还服务、DVD光驱、操作系统为选填配件。操作系统应当为中国信息安全测评中心测评公告中公示产品，配件中提供的软件应当具有软件厂商提供的正版软件授权书，享受原厂提供的标准支持服务。</w:t>
            </w:r>
          </w:p>
          <w:p>
            <w:pPr>
              <w:keepNext w:val="0"/>
              <w:keepLines w:val="0"/>
              <w:suppressLineNumbers w:val="0"/>
              <w:bidi w:val="0"/>
              <w:spacing w:before="0" w:beforeAutospacing="0" w:after="0" w:afterAutospacing="0"/>
              <w:ind w:left="0" w:right="0"/>
              <w:jc w:val="both"/>
              <w:rPr>
                <w:rFonts w:hint="eastAsia"/>
                <w:lang w:val="en-US" w:eastAsia="zh-CN"/>
              </w:rPr>
            </w:pPr>
            <w:r>
              <w:rPr>
                <w:rFonts w:hint="eastAsia"/>
                <w:lang w:val="en-US" w:eastAsia="zh-CN"/>
              </w:rPr>
              <w:t>3.配件均提供原制造厂商36个月免费质量保证期。</w:t>
            </w:r>
          </w:p>
          <w:p>
            <w:pPr>
              <w:keepNext w:val="0"/>
              <w:keepLines w:val="0"/>
              <w:suppressLineNumbers w:val="0"/>
              <w:bidi w:val="0"/>
              <w:spacing w:before="0" w:beforeAutospacing="0" w:after="0" w:afterAutospacing="0"/>
              <w:ind w:left="0" w:right="0"/>
              <w:jc w:val="both"/>
              <w:rPr>
                <w:rFonts w:hint="eastAsia"/>
                <w:lang w:val="en-US" w:eastAsia="zh-CN"/>
              </w:rPr>
            </w:pPr>
            <w:r>
              <w:rPr>
                <w:rFonts w:hint="eastAsia"/>
                <w:lang w:val="en-US" w:eastAsia="zh-CN"/>
              </w:rPr>
              <w:t>4.供应商应按配件需求在采购云平台如实、准确、完整地录入各类配件的具体规格型号及价格。必填配件多响应或少响应的，均视为不满足技术配置要求。</w:t>
            </w:r>
          </w:p>
          <w:p>
            <w:pPr>
              <w:keepNext w:val="0"/>
              <w:keepLines w:val="0"/>
              <w:suppressLineNumbers w:val="0"/>
              <w:bidi w:val="0"/>
              <w:spacing w:before="0" w:beforeAutospacing="0" w:after="0" w:afterAutospacing="0"/>
              <w:ind w:left="0" w:right="0"/>
              <w:rPr>
                <w:rFonts w:hint="eastAsia"/>
                <w:b/>
                <w:bCs/>
                <w:color w:val="FF0000"/>
                <w:lang w:val="en-US" w:eastAsia="zh-CN"/>
              </w:rPr>
            </w:pPr>
            <w:r>
              <w:rPr>
                <w:rFonts w:hint="eastAsia"/>
                <w:b/>
                <w:bCs/>
                <w:color w:val="FF0000"/>
                <w:lang w:val="en-US" w:eastAsia="zh-CN"/>
              </w:rPr>
              <w:t>5.若提供增值服务须填写具体的服务，列明具体内容。</w:t>
            </w:r>
          </w:p>
          <w:p>
            <w:pPr>
              <w:keepNext w:val="0"/>
              <w:keepLines w:val="0"/>
              <w:suppressLineNumbers w:val="0"/>
              <w:bidi w:val="0"/>
              <w:spacing w:before="0" w:beforeAutospacing="0" w:after="0" w:afterAutospacing="0"/>
              <w:ind w:left="0" w:right="0"/>
              <w:jc w:val="both"/>
              <w:rPr>
                <w:rFonts w:hint="eastAsia"/>
                <w:b/>
                <w:bCs/>
                <w:color w:val="FF0000"/>
                <w:lang w:val="en-US" w:eastAsia="zh-CN"/>
              </w:rPr>
            </w:pPr>
            <w:r>
              <w:rPr>
                <w:rFonts w:hint="eastAsia"/>
                <w:b/>
                <w:bCs/>
                <w:color w:val="FF0000"/>
                <w:lang w:val="en-US" w:eastAsia="zh-CN"/>
              </w:rPr>
              <w:t>6.所有产品价格不高于市场价，在同一地方的报价低于其他任何非政府采购或市场平均价格。</w:t>
            </w:r>
          </w:p>
        </w:tc>
      </w:tr>
    </w:tbl>
    <w:p>
      <w:pPr>
        <w:keepNext w:val="0"/>
        <w:keepLines w:val="0"/>
        <w:pageBreakBefore w:val="0"/>
        <w:kinsoku/>
        <w:overflowPunct/>
        <w:topLinePunct w:val="0"/>
        <w:autoSpaceDE/>
        <w:autoSpaceDN/>
        <w:bidi w:val="0"/>
        <w:adjustRightInd/>
        <w:snapToGrid/>
        <w:ind w:firstLine="0" w:firstLineChars="0"/>
        <w:rPr>
          <w:rFonts w:hint="default"/>
          <w:color w:val="auto"/>
          <w:sz w:val="32"/>
          <w:szCs w:val="40"/>
          <w:lang w:val="en-US" w:eastAsia="zh-CN"/>
        </w:rPr>
      </w:pPr>
    </w:p>
    <w:p>
      <w:pPr>
        <w:keepNext w:val="0"/>
        <w:keepLines w:val="0"/>
        <w:pageBreakBefore w:val="0"/>
        <w:kinsoku/>
        <w:overflowPunct/>
        <w:topLinePunct w:val="0"/>
        <w:autoSpaceDE/>
        <w:autoSpaceDN/>
        <w:bidi w:val="0"/>
        <w:adjustRightInd/>
        <w:snapToGrid/>
        <w:ind w:firstLine="0" w:firstLineChars="0"/>
        <w:rPr>
          <w:rFonts w:hint="default"/>
          <w:color w:val="auto"/>
          <w:sz w:val="32"/>
          <w:szCs w:val="40"/>
          <w:lang w:val="en-US" w:eastAsia="zh-CN"/>
        </w:rPr>
      </w:pPr>
      <w:r>
        <w:rPr>
          <w:rFonts w:hint="default"/>
          <w:color w:val="auto"/>
          <w:sz w:val="32"/>
          <w:szCs w:val="40"/>
          <w:lang w:val="en-US" w:eastAsia="zh-CN"/>
        </w:rPr>
        <w:br w:type="page"/>
      </w:r>
    </w:p>
    <w:p>
      <w:pPr>
        <w:keepNext w:val="0"/>
        <w:keepLines w:val="0"/>
        <w:pageBreakBefore w:val="0"/>
        <w:kinsoku/>
        <w:overflowPunct/>
        <w:topLinePunct w:val="0"/>
        <w:autoSpaceDE/>
        <w:autoSpaceDN/>
        <w:bidi w:val="0"/>
        <w:adjustRightInd/>
        <w:snapToGrid/>
        <w:ind w:firstLine="0" w:firstLineChars="0"/>
        <w:rPr>
          <w:rFonts w:hint="eastAsia"/>
          <w:color w:val="auto"/>
          <w:sz w:val="32"/>
          <w:szCs w:val="40"/>
          <w:lang w:val="en-US" w:eastAsia="zh-CN"/>
        </w:rPr>
      </w:pPr>
      <w:r>
        <w:rPr>
          <w:rFonts w:hint="eastAsia"/>
          <w:color w:val="auto"/>
          <w:sz w:val="32"/>
          <w:szCs w:val="40"/>
          <w:lang w:val="en-US" w:eastAsia="zh-CN"/>
        </w:rPr>
        <w:t>采购包26-28：</w:t>
      </w: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9"/>
        <w:gridCol w:w="1463"/>
        <w:gridCol w:w="4497"/>
        <w:gridCol w:w="1508"/>
        <w:gridCol w:w="8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必填配件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序号</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配件类型</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规格</w:t>
            </w:r>
          </w:p>
        </w:tc>
        <w:tc>
          <w:tcPr>
            <w:tcW w:w="0" w:type="auto"/>
            <w:tcBorders>
              <w:top w:val="nil"/>
              <w:left w:val="single" w:color="000000" w:sz="4" w:space="0"/>
              <w:bottom w:val="nil"/>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最高限价</w:t>
            </w:r>
          </w:p>
        </w:tc>
        <w:tc>
          <w:tcPr>
            <w:tcW w:w="0" w:type="auto"/>
            <w:tcBorders>
              <w:top w:val="nil"/>
              <w:left w:val="single" w:color="000000" w:sz="4" w:space="0"/>
              <w:bottom w:val="nil"/>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CPU</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飞腾FT-2000+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内存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16GB RDIMM,DDR4,3200MHz</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32GB RDIMM,DDR4,3200MHz</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64GB RDIMM,DDR4,3200MHz</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硬盘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英寸1.6TB NVMe</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22500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英寸1.92TB NVMe</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英寸3.84TB NVMe</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英寸480GB热插拔固态硬盘，读取密集型</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英寸960GB热插拔固态硬盘，读取密集型</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英寸1.6TB 热插拔固态硬盘，混合使用</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英寸1.92TB 热插拔固态硬盘，读取密集型</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英寸3.2TB 热插拔固态硬盘，混合使用</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英寸3.84TB 热插拔固态硬盘，读取密集型</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英寸7.68TB 热插拔固态硬盘，读取密集型</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 600GB 10K SAS热插拔硬盘</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 1.2TB 10K SAS热插拔硬盘</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 2.4TB 10K SAS热插拔硬盘</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3.5 英寸4TB 7.2K热插拔硬盘</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3.5 英寸8TB 7.2K热插拔硬盘</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3.5 英寸16TB 7.2K热插拔硬盘</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3.5 英寸18TB 7.2K热插拔硬盘</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RAID卡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无缓存 RAID卡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1G 缓存 RAID卡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2G 缓存 RAID卡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4G 缓存 RAID卡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网卡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双口千兆电口</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4500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四口千兆电口</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10G万兆电双口</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10G万兆光双口，含双模块</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25G万兆光双口，含双模块</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HBA卡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12G SAS HBA</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13000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8G FC 双口，含双模块</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16G FC 双口，含双模块</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32G FC 双口，含双模块</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≥550W</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4500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≥1200W</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≥1600W</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≥2000W</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选填配件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配件类型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最高限价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GPU</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不限制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180000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增值服务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不限制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硬盘不返还服务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不限制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DVD光驱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不限制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操作系统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网卡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100G IB卡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200G IB卡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13500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400G IB卡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18000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lang w:val="en-US" w:eastAsia="zh-CN"/>
              </w:rPr>
            </w:pPr>
            <w:r>
              <w:rPr>
                <w:rFonts w:hint="eastAsia"/>
                <w:lang w:val="en-US" w:eastAsia="zh-CN"/>
              </w:rPr>
              <w:t>1.CPU、内存、硬盘、RAID卡、网卡、HBA卡、电源为必填配件。</w:t>
            </w:r>
          </w:p>
          <w:p>
            <w:pPr>
              <w:keepNext w:val="0"/>
              <w:keepLines w:val="0"/>
              <w:suppressLineNumbers w:val="0"/>
              <w:bidi w:val="0"/>
              <w:spacing w:before="0" w:beforeAutospacing="0" w:after="0" w:afterAutospacing="0"/>
              <w:ind w:left="0" w:right="0"/>
              <w:jc w:val="both"/>
              <w:rPr>
                <w:rFonts w:hint="eastAsia"/>
                <w:lang w:val="en-US" w:eastAsia="zh-CN"/>
              </w:rPr>
            </w:pPr>
            <w:r>
              <w:rPr>
                <w:rFonts w:hint="eastAsia"/>
                <w:lang w:val="en-US" w:eastAsia="zh-CN"/>
              </w:rPr>
              <w:t>2.增值服务、硬盘不返还服务、DVD光驱、操作系统为选填配件。操作系统应当为中国信息安全测评中心测评公告中公示产品，配件中提供的软件应当具有软件厂商提供的正版软件授权书，享受原厂提供的标准支持服务。</w:t>
            </w:r>
          </w:p>
          <w:p>
            <w:pPr>
              <w:keepNext w:val="0"/>
              <w:keepLines w:val="0"/>
              <w:suppressLineNumbers w:val="0"/>
              <w:bidi w:val="0"/>
              <w:spacing w:before="0" w:beforeAutospacing="0" w:after="0" w:afterAutospacing="0"/>
              <w:ind w:left="0" w:right="0"/>
              <w:jc w:val="both"/>
              <w:rPr>
                <w:rFonts w:hint="eastAsia"/>
                <w:lang w:val="en-US" w:eastAsia="zh-CN"/>
              </w:rPr>
            </w:pPr>
            <w:r>
              <w:rPr>
                <w:rFonts w:hint="eastAsia"/>
                <w:lang w:val="en-US" w:eastAsia="zh-CN"/>
              </w:rPr>
              <w:t>3.配件均提供原制造厂商36个月免费质量保证期。</w:t>
            </w:r>
          </w:p>
          <w:p>
            <w:pPr>
              <w:keepNext w:val="0"/>
              <w:keepLines w:val="0"/>
              <w:suppressLineNumbers w:val="0"/>
              <w:bidi w:val="0"/>
              <w:spacing w:before="0" w:beforeAutospacing="0" w:after="0" w:afterAutospacing="0"/>
              <w:ind w:left="0" w:right="0"/>
              <w:jc w:val="both"/>
              <w:rPr>
                <w:rFonts w:hint="eastAsia"/>
                <w:lang w:val="en-US" w:eastAsia="zh-CN"/>
              </w:rPr>
            </w:pPr>
            <w:r>
              <w:rPr>
                <w:rFonts w:hint="eastAsia"/>
                <w:lang w:val="en-US" w:eastAsia="zh-CN"/>
              </w:rPr>
              <w:t>4.供应商应按配件需求在采购云平台如实、准确、完整地录入各类配件的具体规格型号及价格。必填配件多响应或少响应的，均视为不满足技术配置要求。</w:t>
            </w:r>
          </w:p>
          <w:p>
            <w:pPr>
              <w:keepNext w:val="0"/>
              <w:keepLines w:val="0"/>
              <w:suppressLineNumbers w:val="0"/>
              <w:bidi w:val="0"/>
              <w:spacing w:before="0" w:beforeAutospacing="0" w:after="0" w:afterAutospacing="0"/>
              <w:ind w:left="0" w:right="0"/>
              <w:rPr>
                <w:rFonts w:hint="eastAsia"/>
                <w:b/>
                <w:bCs/>
                <w:color w:val="FF0000"/>
                <w:lang w:val="en-US" w:eastAsia="zh-CN"/>
              </w:rPr>
            </w:pPr>
            <w:r>
              <w:rPr>
                <w:rFonts w:hint="eastAsia"/>
                <w:b/>
                <w:bCs/>
                <w:color w:val="FF0000"/>
                <w:lang w:val="en-US" w:eastAsia="zh-CN"/>
              </w:rPr>
              <w:t>5.若提供增值服务须填写具体的服务，列明具体内容。</w:t>
            </w:r>
          </w:p>
          <w:p>
            <w:pPr>
              <w:keepNext w:val="0"/>
              <w:keepLines w:val="0"/>
              <w:suppressLineNumbers w:val="0"/>
              <w:bidi w:val="0"/>
              <w:spacing w:before="0" w:beforeAutospacing="0" w:after="0" w:afterAutospacing="0"/>
              <w:ind w:left="0" w:right="0"/>
              <w:jc w:val="both"/>
              <w:rPr>
                <w:rFonts w:hint="eastAsia"/>
                <w:b/>
                <w:bCs/>
                <w:color w:val="FF0000"/>
                <w:lang w:val="en-US" w:eastAsia="zh-CN"/>
              </w:rPr>
            </w:pPr>
            <w:r>
              <w:rPr>
                <w:rFonts w:hint="eastAsia"/>
                <w:b/>
                <w:bCs/>
                <w:color w:val="FF0000"/>
                <w:lang w:val="en-US" w:eastAsia="zh-CN"/>
              </w:rPr>
              <w:t>6.所有产品价格不高于市场价，在同一地方的报价低于其他任何非政府采购或市场平均价格。</w:t>
            </w:r>
          </w:p>
        </w:tc>
      </w:tr>
    </w:tbl>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color w:val="auto"/>
          <w:sz w:val="24"/>
          <w:szCs w:val="20"/>
          <w:lang w:val="en-US" w:eastAsia="zh-CN"/>
        </w:rPr>
      </w:pPr>
    </w:p>
    <w:p>
      <w:pPr>
        <w:keepNext w:val="0"/>
        <w:keepLines w:val="0"/>
        <w:pageBreakBefore w:val="0"/>
        <w:kinsoku/>
        <w:overflowPunct/>
        <w:topLinePunct w:val="0"/>
        <w:autoSpaceDE/>
        <w:autoSpaceDN/>
        <w:bidi w:val="0"/>
        <w:adjustRightInd/>
        <w:snapToGrid/>
        <w:ind w:firstLine="0" w:firstLineChars="0"/>
        <w:rPr>
          <w:rFonts w:hint="default"/>
          <w:color w:val="auto"/>
          <w:sz w:val="32"/>
          <w:szCs w:val="40"/>
          <w:lang w:val="en-US" w:eastAsia="zh-CN"/>
        </w:rPr>
      </w:pPr>
      <w:r>
        <w:rPr>
          <w:rFonts w:hint="default"/>
          <w:color w:val="auto"/>
          <w:sz w:val="32"/>
          <w:szCs w:val="40"/>
          <w:lang w:val="en-US" w:eastAsia="zh-CN"/>
        </w:rPr>
        <w:br w:type="page"/>
      </w:r>
    </w:p>
    <w:p>
      <w:pPr>
        <w:keepNext w:val="0"/>
        <w:keepLines w:val="0"/>
        <w:pageBreakBefore w:val="0"/>
        <w:kinsoku/>
        <w:overflowPunct/>
        <w:topLinePunct w:val="0"/>
        <w:autoSpaceDE/>
        <w:autoSpaceDN/>
        <w:bidi w:val="0"/>
        <w:adjustRightInd/>
        <w:snapToGrid/>
        <w:ind w:firstLine="0" w:firstLineChars="0"/>
        <w:rPr>
          <w:rFonts w:hint="eastAsia"/>
          <w:color w:val="auto"/>
          <w:sz w:val="32"/>
          <w:szCs w:val="40"/>
          <w:lang w:val="en-US" w:eastAsia="zh-CN"/>
        </w:rPr>
      </w:pPr>
      <w:r>
        <w:rPr>
          <w:rFonts w:hint="eastAsia"/>
          <w:color w:val="auto"/>
          <w:sz w:val="32"/>
          <w:szCs w:val="40"/>
          <w:lang w:val="en-US" w:eastAsia="zh-CN"/>
        </w:rPr>
        <w:t>采购包29-33：</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4"/>
        <w:gridCol w:w="2138"/>
        <w:gridCol w:w="4159"/>
        <w:gridCol w:w="1444"/>
        <w:gridCol w:w="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必填配件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序号</w:t>
            </w:r>
          </w:p>
        </w:tc>
        <w:tc>
          <w:tcPr>
            <w:tcW w:w="11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配件类型</w:t>
            </w:r>
          </w:p>
        </w:tc>
        <w:tc>
          <w:tcPr>
            <w:tcW w:w="229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规格</w:t>
            </w:r>
          </w:p>
        </w:tc>
        <w:tc>
          <w:tcPr>
            <w:tcW w:w="797" w:type="pct"/>
            <w:tcBorders>
              <w:top w:val="nil"/>
              <w:left w:val="single" w:color="000000" w:sz="4" w:space="0"/>
              <w:bottom w:val="nil"/>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最高限价</w:t>
            </w:r>
          </w:p>
        </w:tc>
        <w:tc>
          <w:tcPr>
            <w:tcW w:w="458" w:type="pct"/>
            <w:tcBorders>
              <w:top w:val="nil"/>
              <w:left w:val="single" w:color="000000" w:sz="4" w:space="0"/>
              <w:bottom w:val="nil"/>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1</w:t>
            </w:r>
          </w:p>
        </w:tc>
        <w:tc>
          <w:tcPr>
            <w:tcW w:w="1180"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CPU</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龙芯3C5000L</w:t>
            </w:r>
          </w:p>
        </w:tc>
        <w:tc>
          <w:tcPr>
            <w:tcW w:w="797"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30000</w:t>
            </w:r>
          </w:p>
        </w:tc>
        <w:tc>
          <w:tcPr>
            <w:tcW w:w="458" w:type="pct"/>
            <w:tcBorders>
              <w:top w:val="single" w:color="000000" w:sz="4" w:space="0"/>
              <w:left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1180" w:type="pct"/>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龙芯3B4000</w:t>
            </w:r>
          </w:p>
        </w:tc>
        <w:tc>
          <w:tcPr>
            <w:tcW w:w="797" w:type="pct"/>
            <w:vMerge w:val="continue"/>
            <w:tcBorders>
              <w:left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458" w:type="pct"/>
            <w:tcBorders>
              <w:left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1180" w:type="pct"/>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龙芯3B5000</w:t>
            </w:r>
          </w:p>
        </w:tc>
        <w:tc>
          <w:tcPr>
            <w:tcW w:w="797" w:type="pct"/>
            <w:vMerge w:val="continue"/>
            <w:tcBorders>
              <w:left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458" w:type="pct"/>
            <w:tcBorders>
              <w:left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1180" w:type="pct"/>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lang w:val="en-US" w:eastAsia="zh-CN"/>
              </w:rPr>
            </w:pPr>
            <w:r>
              <w:rPr>
                <w:rFonts w:hint="eastAsia"/>
                <w:lang w:val="en-US" w:eastAsia="zh-CN"/>
              </w:rPr>
              <w:t>龙芯3</w:t>
            </w:r>
            <w:r>
              <w:rPr>
                <w:rFonts w:hint="default"/>
                <w:lang w:val="en-US" w:eastAsia="zh-CN"/>
              </w:rPr>
              <w:t>D</w:t>
            </w:r>
            <w:r>
              <w:rPr>
                <w:rFonts w:hint="eastAsia"/>
                <w:lang w:val="en-US" w:eastAsia="zh-CN"/>
              </w:rPr>
              <w:t>5000</w:t>
            </w:r>
          </w:p>
        </w:tc>
        <w:tc>
          <w:tcPr>
            <w:tcW w:w="797" w:type="pct"/>
            <w:vMerge w:val="continue"/>
            <w:tcBorders>
              <w:left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458" w:type="pct"/>
            <w:tcBorders>
              <w:left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1180"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lang w:val="en-US" w:eastAsia="zh-CN"/>
              </w:rPr>
            </w:pPr>
            <w:r>
              <w:rPr>
                <w:rFonts w:hint="eastAsia"/>
                <w:lang w:val="en-US" w:eastAsia="zh-CN"/>
              </w:rPr>
              <w:t>龙芯3</w:t>
            </w:r>
            <w:r>
              <w:rPr>
                <w:rFonts w:hint="default"/>
                <w:lang w:val="en-US" w:eastAsia="zh-CN"/>
              </w:rPr>
              <w:t>C</w:t>
            </w:r>
            <w:r>
              <w:rPr>
                <w:rFonts w:hint="eastAsia"/>
                <w:lang w:val="en-US" w:eastAsia="zh-CN"/>
              </w:rPr>
              <w:t>5000</w:t>
            </w:r>
          </w:p>
        </w:tc>
        <w:tc>
          <w:tcPr>
            <w:tcW w:w="797"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458" w:type="pct"/>
            <w:tcBorders>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2</w:t>
            </w:r>
          </w:p>
        </w:tc>
        <w:tc>
          <w:tcPr>
            <w:tcW w:w="11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内存</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16GB RDIMM,DDR4,3200MHz</w:t>
            </w:r>
          </w:p>
        </w:tc>
        <w:tc>
          <w:tcPr>
            <w:tcW w:w="7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8000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32GB RDIMM,DDR4,3200MHz</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64GB RDIMM,DDR4,3200MHz</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3</w:t>
            </w:r>
          </w:p>
        </w:tc>
        <w:tc>
          <w:tcPr>
            <w:tcW w:w="11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硬盘</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英寸1.6TB NVMe</w:t>
            </w:r>
          </w:p>
        </w:tc>
        <w:tc>
          <w:tcPr>
            <w:tcW w:w="7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22500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英寸1.92TB NVMe</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英寸3.84TB NVMe</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英寸480GB热插拔固态硬盘，读取密集型</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英寸800GB 热插拔固态硬盘，混合使用</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英寸960GB热插拔固态硬盘，读取密集型</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英寸1.6TB 热插拔固态硬盘，混合使用</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英寸1.92TB 热插拔固态硬盘，读取密集型</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英寸3.2TB 热插拔固态硬盘，混合使用</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英寸3.84TB 热插拔固态硬盘，读取密集型</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英寸7.68TB 热插拔固态硬盘，读取密集型</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 600GB 10K SAS热插拔硬盘</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 1.2TB 10K SAS热插拔硬盘</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 2.4TB 10K SAS热插拔硬盘</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3.5 英寸4TB 7.2K热插拔硬盘</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3.5 英寸8TB 7.2K热插拔硬盘</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3.5 英寸16TB 7.2K热插拔硬盘</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3.5 英寸18TB 7.2K热插拔硬盘</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4</w:t>
            </w:r>
          </w:p>
        </w:tc>
        <w:tc>
          <w:tcPr>
            <w:tcW w:w="11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RAID卡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无缓存 RAID卡</w:t>
            </w:r>
          </w:p>
        </w:tc>
        <w:tc>
          <w:tcPr>
            <w:tcW w:w="7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9000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1G 缓存 RAID卡</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2G 缓存 RAID卡</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4G 缓存 RAID卡</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8G 缓存 RAID卡</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5</w:t>
            </w:r>
          </w:p>
        </w:tc>
        <w:tc>
          <w:tcPr>
            <w:tcW w:w="11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网卡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双口千兆电口</w:t>
            </w:r>
          </w:p>
        </w:tc>
        <w:tc>
          <w:tcPr>
            <w:tcW w:w="7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4500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四口千兆电口</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10G万兆电双口</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10G万兆光双口，含双模块</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25G万兆光双口，含双模块</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6</w:t>
            </w:r>
          </w:p>
        </w:tc>
        <w:tc>
          <w:tcPr>
            <w:tcW w:w="11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HBA卡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12G SAS HBA</w:t>
            </w:r>
          </w:p>
        </w:tc>
        <w:tc>
          <w:tcPr>
            <w:tcW w:w="7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13000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16G FC 双口，含双模块</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32G FC 双口，含双模块</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7</w:t>
            </w:r>
          </w:p>
        </w:tc>
        <w:tc>
          <w:tcPr>
            <w:tcW w:w="11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电源</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≥550W</w:t>
            </w:r>
          </w:p>
        </w:tc>
        <w:tc>
          <w:tcPr>
            <w:tcW w:w="7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4500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≥1200W</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≥1600W</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选填配件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序号</w:t>
            </w: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配件类型</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规格</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最高限价</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1</w:t>
            </w: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GPU</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不限制</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18000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2</w:t>
            </w: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增值服务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不限制</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9000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3</w:t>
            </w: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硬盘不返还服务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不限制</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9000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4</w:t>
            </w: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DVD光驱</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不限制</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450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5</w:t>
            </w: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操作系统</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三年</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6000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6</w:t>
            </w:r>
          </w:p>
        </w:tc>
        <w:tc>
          <w:tcPr>
            <w:tcW w:w="11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网卡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100G IB卡</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9000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200G IB卡</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13500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400G IB卡</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18000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lang w:val="en-US" w:eastAsia="zh-CN"/>
              </w:rPr>
            </w:pPr>
            <w:r>
              <w:rPr>
                <w:rFonts w:hint="eastAsia"/>
                <w:lang w:val="en-US" w:eastAsia="zh-CN"/>
              </w:rPr>
              <w:t>1.CPU、内存、硬盘、RAID卡、网卡、HBA卡、电源为必填配件。</w:t>
            </w:r>
            <w:r>
              <w:rPr>
                <w:rFonts w:hint="eastAsia"/>
                <w:lang w:val="en-US" w:eastAsia="zh-CN"/>
              </w:rPr>
              <w:br w:type="textWrapping"/>
            </w:r>
            <w:r>
              <w:rPr>
                <w:rFonts w:hint="eastAsia"/>
                <w:lang w:val="en-US" w:eastAsia="zh-CN"/>
              </w:rPr>
              <w:t>2.增值服务、硬盘不返还服务、DVD光驱、操作系统为选填配件。操作系统应当为中国信息安全测评中心测评公告中公示产品，配件中提供的软件应当具有软件厂商提供的正版软件授权书，享受原厂提供的标准支持服务。</w:t>
            </w:r>
            <w:r>
              <w:rPr>
                <w:rFonts w:hint="eastAsia"/>
                <w:lang w:val="en-US" w:eastAsia="zh-CN"/>
              </w:rPr>
              <w:br w:type="textWrapping"/>
            </w:r>
            <w:r>
              <w:rPr>
                <w:rFonts w:hint="eastAsia"/>
                <w:lang w:val="en-US" w:eastAsia="zh-CN"/>
              </w:rPr>
              <w:t>3.配件均提供原制造厂商36个月免费质量保证期。</w:t>
            </w:r>
            <w:r>
              <w:rPr>
                <w:rFonts w:hint="eastAsia"/>
                <w:lang w:val="en-US" w:eastAsia="zh-CN"/>
              </w:rPr>
              <w:br w:type="textWrapping"/>
            </w:r>
            <w:r>
              <w:rPr>
                <w:rFonts w:hint="eastAsia"/>
                <w:lang w:val="en-US" w:eastAsia="zh-CN"/>
              </w:rPr>
              <w:t>4.供应商应按配件需求在采购云平台如实、准确、完整地录入各类配件的具体规格型号及价格。必填配件多响应或少响应的，均视为不满足技术配置要求。</w:t>
            </w:r>
          </w:p>
          <w:p>
            <w:pPr>
              <w:keepNext w:val="0"/>
              <w:keepLines w:val="0"/>
              <w:suppressLineNumbers w:val="0"/>
              <w:bidi w:val="0"/>
              <w:spacing w:before="0" w:beforeAutospacing="0" w:after="0" w:afterAutospacing="0"/>
              <w:ind w:left="0" w:right="0"/>
              <w:rPr>
                <w:rFonts w:hint="eastAsia"/>
                <w:b/>
                <w:bCs/>
                <w:color w:val="FF0000"/>
                <w:lang w:val="en-US" w:eastAsia="zh-CN"/>
              </w:rPr>
            </w:pPr>
            <w:r>
              <w:rPr>
                <w:rFonts w:hint="eastAsia"/>
                <w:b/>
                <w:bCs/>
                <w:color w:val="FF0000"/>
                <w:lang w:val="en-US" w:eastAsia="zh-CN"/>
              </w:rPr>
              <w:t>5.若提供增值服务须填写具体的服务，列明具体内容。</w:t>
            </w:r>
          </w:p>
          <w:p>
            <w:pPr>
              <w:keepNext w:val="0"/>
              <w:keepLines w:val="0"/>
              <w:suppressLineNumbers w:val="0"/>
              <w:bidi w:val="0"/>
              <w:spacing w:before="0" w:beforeAutospacing="0" w:after="0" w:afterAutospacing="0"/>
              <w:ind w:left="0" w:right="0"/>
              <w:jc w:val="both"/>
              <w:rPr>
                <w:rFonts w:hint="eastAsia"/>
                <w:b/>
                <w:bCs/>
                <w:color w:val="FF0000"/>
                <w:lang w:val="en-US" w:eastAsia="zh-CN"/>
              </w:rPr>
            </w:pPr>
            <w:r>
              <w:rPr>
                <w:rFonts w:hint="eastAsia"/>
                <w:b/>
                <w:bCs/>
                <w:color w:val="FF0000"/>
                <w:lang w:val="en-US" w:eastAsia="zh-CN"/>
              </w:rPr>
              <w:t>6.所有产品价格不高于市场价，在同一地方的报价低于其他任何非政府采购或市场平均价格。</w:t>
            </w:r>
          </w:p>
        </w:tc>
      </w:tr>
    </w:tbl>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color w:val="auto"/>
          <w:sz w:val="24"/>
          <w:szCs w:val="20"/>
          <w:lang w:val="en-US" w:eastAsia="zh-CN"/>
        </w:rPr>
      </w:pPr>
    </w:p>
    <w:p>
      <w:pPr>
        <w:keepNext w:val="0"/>
        <w:keepLines w:val="0"/>
        <w:pageBreakBefore w:val="0"/>
        <w:kinsoku/>
        <w:overflowPunct/>
        <w:topLinePunct w:val="0"/>
        <w:autoSpaceDE/>
        <w:autoSpaceDN/>
        <w:bidi w:val="0"/>
        <w:adjustRightInd/>
        <w:snapToGrid/>
        <w:ind w:firstLine="0" w:firstLineChars="0"/>
        <w:rPr>
          <w:rFonts w:hint="default"/>
          <w:color w:val="auto"/>
          <w:sz w:val="32"/>
          <w:szCs w:val="40"/>
          <w:lang w:val="en-US" w:eastAsia="zh-CN"/>
        </w:rPr>
      </w:pPr>
      <w:r>
        <w:rPr>
          <w:rFonts w:hint="default"/>
          <w:color w:val="auto"/>
          <w:sz w:val="32"/>
          <w:szCs w:val="40"/>
          <w:lang w:val="en-US" w:eastAsia="zh-CN"/>
        </w:rPr>
        <w:br w:type="page"/>
      </w:r>
    </w:p>
    <w:p>
      <w:pPr>
        <w:keepNext w:val="0"/>
        <w:keepLines w:val="0"/>
        <w:pageBreakBefore w:val="0"/>
        <w:kinsoku/>
        <w:overflowPunct/>
        <w:topLinePunct w:val="0"/>
        <w:autoSpaceDE/>
        <w:autoSpaceDN/>
        <w:bidi w:val="0"/>
        <w:adjustRightInd/>
        <w:snapToGrid/>
        <w:ind w:firstLine="0" w:firstLineChars="0"/>
        <w:rPr>
          <w:rFonts w:hint="eastAsia"/>
          <w:color w:val="auto"/>
          <w:sz w:val="32"/>
          <w:szCs w:val="40"/>
          <w:lang w:val="en-US" w:eastAsia="zh-CN"/>
        </w:rPr>
      </w:pPr>
      <w:r>
        <w:rPr>
          <w:rFonts w:hint="eastAsia"/>
          <w:color w:val="auto"/>
          <w:sz w:val="32"/>
          <w:szCs w:val="40"/>
          <w:lang w:val="en-US" w:eastAsia="zh-CN"/>
        </w:rPr>
        <w:t>采购包34-40：</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4"/>
        <w:gridCol w:w="910"/>
        <w:gridCol w:w="5121"/>
        <w:gridCol w:w="1460"/>
        <w:gridCol w:w="10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必填配件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序号</w:t>
            </w:r>
          </w:p>
        </w:tc>
        <w:tc>
          <w:tcPr>
            <w:tcW w:w="50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配件类型</w:t>
            </w:r>
          </w:p>
        </w:tc>
        <w:tc>
          <w:tcPr>
            <w:tcW w:w="282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规格</w:t>
            </w:r>
          </w:p>
        </w:tc>
        <w:tc>
          <w:tcPr>
            <w:tcW w:w="806" w:type="pct"/>
            <w:tcBorders>
              <w:top w:val="nil"/>
              <w:left w:val="single" w:color="000000" w:sz="4" w:space="0"/>
              <w:bottom w:val="nil"/>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最高限价</w:t>
            </w:r>
          </w:p>
        </w:tc>
        <w:tc>
          <w:tcPr>
            <w:tcW w:w="597" w:type="pct"/>
            <w:tcBorders>
              <w:top w:val="nil"/>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1</w:t>
            </w:r>
          </w:p>
        </w:tc>
        <w:tc>
          <w:tcPr>
            <w:tcW w:w="502"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CPU</w:t>
            </w: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龙芯3C5000L</w:t>
            </w:r>
          </w:p>
        </w:tc>
        <w:tc>
          <w:tcPr>
            <w:tcW w:w="806" w:type="pct"/>
            <w:vMerge w:val="restart"/>
            <w:tcBorders>
              <w:top w:val="single" w:color="000000" w:sz="4" w:space="0"/>
              <w:left w:val="single" w:color="000000" w:sz="4" w:space="0"/>
              <w:right w:val="single" w:color="auto"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30000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502" w:type="pct"/>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龙芯3B4000</w:t>
            </w:r>
          </w:p>
        </w:tc>
        <w:tc>
          <w:tcPr>
            <w:tcW w:w="806" w:type="pct"/>
            <w:vMerge w:val="continue"/>
            <w:tcBorders>
              <w:left w:val="single" w:color="000000" w:sz="4" w:space="0"/>
              <w:right w:val="single" w:color="auto"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502" w:type="pct"/>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龙芯3B5000</w:t>
            </w:r>
          </w:p>
        </w:tc>
        <w:tc>
          <w:tcPr>
            <w:tcW w:w="806" w:type="pct"/>
            <w:vMerge w:val="continue"/>
            <w:tcBorders>
              <w:left w:val="single" w:color="000000" w:sz="4" w:space="0"/>
              <w:right w:val="single" w:color="auto"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502" w:type="pct"/>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lang w:val="en-US" w:eastAsia="zh-CN"/>
              </w:rPr>
            </w:pPr>
            <w:r>
              <w:rPr>
                <w:rFonts w:hint="eastAsia"/>
                <w:lang w:val="en-US" w:eastAsia="zh-CN"/>
              </w:rPr>
              <w:t>龙芯3</w:t>
            </w:r>
            <w:r>
              <w:rPr>
                <w:rFonts w:hint="default"/>
                <w:lang w:val="en-US" w:eastAsia="zh-CN"/>
              </w:rPr>
              <w:t>D</w:t>
            </w:r>
            <w:r>
              <w:rPr>
                <w:rFonts w:hint="eastAsia"/>
                <w:lang w:val="en-US" w:eastAsia="zh-CN"/>
              </w:rPr>
              <w:t>5000</w:t>
            </w:r>
          </w:p>
        </w:tc>
        <w:tc>
          <w:tcPr>
            <w:tcW w:w="806" w:type="pct"/>
            <w:vMerge w:val="continue"/>
            <w:tcBorders>
              <w:left w:val="single" w:color="000000" w:sz="4" w:space="0"/>
              <w:right w:val="single" w:color="auto"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502"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lang w:val="en-US" w:eastAsia="zh-CN"/>
              </w:rPr>
            </w:pPr>
            <w:r>
              <w:rPr>
                <w:rFonts w:hint="eastAsia"/>
                <w:lang w:val="en-US" w:eastAsia="zh-CN"/>
              </w:rPr>
              <w:t>龙芯3</w:t>
            </w:r>
            <w:r>
              <w:rPr>
                <w:rFonts w:hint="default"/>
                <w:lang w:val="en-US" w:eastAsia="zh-CN"/>
              </w:rPr>
              <w:t>C</w:t>
            </w:r>
            <w:r>
              <w:rPr>
                <w:rFonts w:hint="eastAsia"/>
                <w:lang w:val="en-US" w:eastAsia="zh-CN"/>
              </w:rPr>
              <w:t>5000</w:t>
            </w:r>
          </w:p>
        </w:tc>
        <w:tc>
          <w:tcPr>
            <w:tcW w:w="806" w:type="pct"/>
            <w:vMerge w:val="continue"/>
            <w:tcBorders>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2</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内存</w:t>
            </w: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16GB RDIMM,DDR4,3200MHz</w:t>
            </w:r>
          </w:p>
        </w:tc>
        <w:tc>
          <w:tcPr>
            <w:tcW w:w="80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8000</w:t>
            </w:r>
          </w:p>
        </w:tc>
        <w:tc>
          <w:tcPr>
            <w:tcW w:w="597"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32GB RDIMM,DDR4,3200MHz</w:t>
            </w: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64GB RDIMM,DDR4,3200MHz</w:t>
            </w: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3</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硬盘</w:t>
            </w: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英寸1.6TB NVMe</w:t>
            </w:r>
          </w:p>
        </w:tc>
        <w:tc>
          <w:tcPr>
            <w:tcW w:w="80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22500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英寸1.92TB NVMe</w:t>
            </w: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英寸3.84TB NVMe</w:t>
            </w: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英寸480GB热插拔固态硬盘，读取密集型</w:t>
            </w: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英寸800GB 热插拔固态硬盘，混合使用</w:t>
            </w: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英寸960GB热插拔固态硬盘，读取密集型</w:t>
            </w: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英寸1.6TB 热插拔固态硬盘，混合使用</w:t>
            </w: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英寸1.92TB 热插拔固态硬盘，读取密集型</w:t>
            </w: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英寸3.2TB 热插拔固态硬盘，混合使用</w:t>
            </w: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英寸3.84TB 热插拔固态硬盘，读取密集型</w:t>
            </w: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英寸7.68TB 热插拔固态硬盘，读取密集型</w:t>
            </w: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 600GB 10K SAS热插拔硬盘</w:t>
            </w: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 1.2TB 10K SAS热插拔硬盘</w:t>
            </w: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 英寸 2.4TB 10K SAS热插拔硬盘</w:t>
            </w: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3.5 英寸4TB 7.2K热插拔硬盘</w:t>
            </w: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3.5 英寸8TB 7.2K热插拔硬盘</w:t>
            </w: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3.5 英寸16TB 7.2K热插拔硬盘</w:t>
            </w: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3.5 英寸18TB 7.2K热插拔硬盘</w:t>
            </w: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4</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RAID卡</w:t>
            </w: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无缓存 RAID卡</w:t>
            </w:r>
          </w:p>
        </w:tc>
        <w:tc>
          <w:tcPr>
            <w:tcW w:w="8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9000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1G 缓存 RAID卡</w:t>
            </w: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2G 缓存 RAID卡</w:t>
            </w: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4G 缓存 RAID卡</w:t>
            </w: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8G 缓存 RAID卡</w:t>
            </w: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5</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网卡</w:t>
            </w: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双口千兆电口</w:t>
            </w:r>
          </w:p>
        </w:tc>
        <w:tc>
          <w:tcPr>
            <w:tcW w:w="8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4500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四口千兆电口</w:t>
            </w: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10G万兆电双口</w:t>
            </w: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10G万兆光双口，含双模块</w:t>
            </w: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25G万兆光双口，含双模块</w:t>
            </w: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6</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HBA卡</w:t>
            </w: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12G SAS HBA</w:t>
            </w:r>
          </w:p>
        </w:tc>
        <w:tc>
          <w:tcPr>
            <w:tcW w:w="80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13000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16G FC 双口，含双模块</w:t>
            </w: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32G FC 双口，含双模块</w:t>
            </w: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7</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电源</w:t>
            </w: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≥550W</w:t>
            </w:r>
          </w:p>
        </w:tc>
        <w:tc>
          <w:tcPr>
            <w:tcW w:w="80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4500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≥1200W</w:t>
            </w: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≥1600W</w:t>
            </w: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选填配件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序号</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配件类型</w:t>
            </w: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规格</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最高限价</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1</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GPU</w:t>
            </w: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不限制</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18000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2</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增值服务</w:t>
            </w: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不限制</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9000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3</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硬盘不返还服务</w:t>
            </w: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不限制</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9000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4</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DVD光驱</w:t>
            </w: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不限制</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450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5</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操作系统</w:t>
            </w: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三年</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6000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6</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网卡</w:t>
            </w: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100G IB卡</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9000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200G IB卡</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13500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c>
          <w:tcPr>
            <w:tcW w:w="2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rPr>
            </w:pPr>
            <w:r>
              <w:rPr>
                <w:rFonts w:hint="eastAsia"/>
                <w:lang w:val="en-US" w:eastAsia="zh-CN"/>
              </w:rPr>
              <w:t>400G IB卡</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18000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lang w:val="en-US" w:eastAsia="zh-CN"/>
              </w:rPr>
            </w:pPr>
            <w:r>
              <w:rPr>
                <w:rFonts w:hint="eastAsia"/>
                <w:lang w:val="en-US" w:eastAsia="zh-CN"/>
              </w:rPr>
              <w:t>1.CPU、内存、硬盘、RAID卡、网卡、HBA卡、电源为必填配件。</w:t>
            </w:r>
            <w:r>
              <w:rPr>
                <w:rFonts w:hint="eastAsia"/>
                <w:lang w:val="en-US" w:eastAsia="zh-CN"/>
              </w:rPr>
              <w:br w:type="textWrapping"/>
            </w:r>
            <w:r>
              <w:rPr>
                <w:rFonts w:hint="eastAsia"/>
                <w:lang w:val="en-US" w:eastAsia="zh-CN"/>
              </w:rPr>
              <w:t>2.增值服务、硬盘不返还服务、DVD光驱、操作系统为选填配件。操作系统应当为中国信息安全测评中心测评公告中公示产品，配件中提供的软件应当具有软件厂商提供的正版软件授权书，享受原厂提供的标准支持服务。</w:t>
            </w:r>
            <w:r>
              <w:rPr>
                <w:rFonts w:hint="eastAsia"/>
                <w:lang w:val="en-US" w:eastAsia="zh-CN"/>
              </w:rPr>
              <w:br w:type="textWrapping"/>
            </w:r>
            <w:r>
              <w:rPr>
                <w:rFonts w:hint="eastAsia"/>
                <w:lang w:val="en-US" w:eastAsia="zh-CN"/>
              </w:rPr>
              <w:t>3.配件均提供原制造厂商36个月免费质量保证期。</w:t>
            </w:r>
            <w:r>
              <w:rPr>
                <w:rFonts w:hint="eastAsia"/>
                <w:lang w:val="en-US" w:eastAsia="zh-CN"/>
              </w:rPr>
              <w:br w:type="textWrapping"/>
            </w:r>
            <w:r>
              <w:rPr>
                <w:rFonts w:hint="eastAsia"/>
                <w:lang w:val="en-US" w:eastAsia="zh-CN"/>
              </w:rPr>
              <w:t>4.供应商应按配件需求在采购云平台如实、准确、完整地录入各类配件的具体规格型号及价格。必填配件多响应或少响应的，均视为不满足技术配置要求。</w:t>
            </w:r>
          </w:p>
          <w:p>
            <w:pPr>
              <w:keepNext w:val="0"/>
              <w:keepLines w:val="0"/>
              <w:suppressLineNumbers w:val="0"/>
              <w:bidi w:val="0"/>
              <w:spacing w:before="0" w:beforeAutospacing="0" w:after="0" w:afterAutospacing="0"/>
              <w:ind w:left="0" w:right="0"/>
              <w:rPr>
                <w:rFonts w:hint="eastAsia"/>
                <w:b/>
                <w:bCs/>
                <w:color w:val="FF0000"/>
                <w:lang w:val="en-US" w:eastAsia="zh-CN"/>
              </w:rPr>
            </w:pPr>
            <w:r>
              <w:rPr>
                <w:rFonts w:hint="eastAsia"/>
                <w:b/>
                <w:bCs/>
                <w:color w:val="FF0000"/>
                <w:lang w:val="en-US" w:eastAsia="zh-CN"/>
              </w:rPr>
              <w:t>5.若提供增值服务须填写具体的服务，列明具体内容。</w:t>
            </w:r>
          </w:p>
          <w:p>
            <w:pPr>
              <w:keepNext w:val="0"/>
              <w:keepLines w:val="0"/>
              <w:suppressLineNumbers w:val="0"/>
              <w:bidi w:val="0"/>
              <w:spacing w:before="0" w:beforeAutospacing="0" w:after="0" w:afterAutospacing="0"/>
              <w:ind w:left="0" w:right="0"/>
              <w:jc w:val="both"/>
              <w:rPr>
                <w:rFonts w:hint="eastAsia"/>
                <w:b/>
                <w:bCs/>
                <w:color w:val="FF0000"/>
                <w:lang w:val="en-US" w:eastAsia="zh-CN"/>
              </w:rPr>
            </w:pPr>
            <w:r>
              <w:rPr>
                <w:rFonts w:hint="eastAsia"/>
                <w:b/>
                <w:bCs/>
                <w:color w:val="FF0000"/>
                <w:lang w:val="en-US" w:eastAsia="zh-CN"/>
              </w:rPr>
              <w:t>6.所有产品价格不高于市场价，在同一地方的报价低于其他任何非政府采购或市场平均价格。</w:t>
            </w:r>
          </w:p>
        </w:tc>
      </w:tr>
    </w:tbl>
    <w:p>
      <w:pPr>
        <w:keepNext w:val="0"/>
        <w:keepLines w:val="0"/>
        <w:pageBreakBefore w:val="0"/>
        <w:kinsoku/>
        <w:overflowPunct/>
        <w:topLinePunct w:val="0"/>
        <w:autoSpaceDE/>
        <w:autoSpaceDN/>
        <w:bidi w:val="0"/>
        <w:adjustRightInd/>
        <w:snapToGrid/>
        <w:ind w:firstLine="0" w:firstLineChars="0"/>
        <w:rPr>
          <w:rFonts w:hint="default"/>
          <w:color w:val="auto"/>
          <w:sz w:val="32"/>
          <w:szCs w:val="40"/>
          <w:lang w:val="en-US" w:eastAsia="zh-CN"/>
        </w:rPr>
      </w:pPr>
      <w:r>
        <w:rPr>
          <w:rFonts w:hint="default"/>
          <w:color w:val="auto"/>
          <w:sz w:val="32"/>
          <w:szCs w:val="40"/>
          <w:lang w:val="en-US" w:eastAsia="zh-CN"/>
        </w:rPr>
        <w:br w:type="page"/>
      </w:r>
    </w:p>
    <w:p>
      <w:pPr>
        <w:rPr>
          <w:color w:val="auto"/>
          <w:sz w:val="32"/>
          <w:szCs w:val="40"/>
          <w:highlight w:val="none"/>
        </w:rPr>
      </w:pPr>
      <w:r>
        <w:rPr>
          <w:rFonts w:hint="eastAsia"/>
          <w:color w:val="auto"/>
          <w:sz w:val="32"/>
          <w:szCs w:val="40"/>
          <w:highlight w:val="none"/>
        </w:rPr>
        <w:t>采购包</w:t>
      </w:r>
      <w:r>
        <w:rPr>
          <w:rFonts w:hint="eastAsia"/>
          <w:color w:val="auto"/>
          <w:sz w:val="32"/>
          <w:szCs w:val="40"/>
          <w:highlight w:val="none"/>
          <w:lang w:val="en-US" w:eastAsia="zh-CN"/>
        </w:rPr>
        <w:t>41</w:t>
      </w:r>
      <w:r>
        <w:rPr>
          <w:rFonts w:hint="eastAsia"/>
          <w:color w:val="auto"/>
          <w:sz w:val="32"/>
          <w:szCs w:val="40"/>
          <w:highlight w:val="none"/>
        </w:rPr>
        <w:t>-</w:t>
      </w:r>
      <w:r>
        <w:rPr>
          <w:rFonts w:hint="eastAsia"/>
          <w:color w:val="auto"/>
          <w:sz w:val="32"/>
          <w:szCs w:val="40"/>
          <w:highlight w:val="none"/>
          <w:lang w:val="en-US" w:eastAsia="zh-CN"/>
        </w:rPr>
        <w:t>44</w:t>
      </w:r>
      <w:r>
        <w:rPr>
          <w:rFonts w:hint="eastAsia"/>
          <w:color w:val="auto"/>
          <w:sz w:val="32"/>
          <w:szCs w:val="40"/>
          <w:highlight w:val="none"/>
        </w:rPr>
        <w:t>：</w:t>
      </w:r>
    </w:p>
    <w:tbl>
      <w:tblPr>
        <w:tblStyle w:val="18"/>
        <w:tblW w:w="0" w:type="auto"/>
        <w:tblInd w:w="0" w:type="dxa"/>
        <w:tblLayout w:type="autofit"/>
        <w:tblCellMar>
          <w:top w:w="0" w:type="dxa"/>
          <w:left w:w="108" w:type="dxa"/>
          <w:bottom w:w="0" w:type="dxa"/>
          <w:right w:w="108" w:type="dxa"/>
        </w:tblCellMar>
      </w:tblPr>
      <w:tblGrid>
        <w:gridCol w:w="699"/>
        <w:gridCol w:w="1463"/>
        <w:gridCol w:w="4497"/>
        <w:gridCol w:w="1508"/>
        <w:gridCol w:w="893"/>
      </w:tblGrid>
      <w:tr>
        <w:tblPrEx>
          <w:tblCellMar>
            <w:top w:w="0" w:type="dxa"/>
            <w:left w:w="108" w:type="dxa"/>
            <w:bottom w:w="0" w:type="dxa"/>
            <w:right w:w="108" w:type="dxa"/>
          </w:tblCellMar>
        </w:tblPrEx>
        <w:trPr>
          <w:trHeight w:val="36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必填配件</w:t>
            </w:r>
          </w:p>
        </w:tc>
      </w:tr>
      <w:tr>
        <w:tblPrEx>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序号</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配件类型</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规格</w:t>
            </w:r>
          </w:p>
        </w:tc>
        <w:tc>
          <w:tcPr>
            <w:tcW w:w="0" w:type="auto"/>
            <w:tcBorders>
              <w:top w:val="nil"/>
              <w:left w:val="single" w:color="000000" w:sz="4" w:space="0"/>
              <w:bottom w:val="nil"/>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最高限价</w:t>
            </w:r>
          </w:p>
        </w:tc>
        <w:tc>
          <w:tcPr>
            <w:tcW w:w="0" w:type="auto"/>
            <w:tcBorders>
              <w:top w:val="nil"/>
              <w:left w:val="single" w:color="000000" w:sz="4" w:space="0"/>
              <w:bottom w:val="nil"/>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eastAsia="仿宋"/>
                <w:color w:val="auto"/>
                <w:highlight w:val="none"/>
                <w:lang w:val="en-US" w:eastAsia="zh-CN"/>
              </w:rPr>
            </w:pPr>
            <w:r>
              <w:rPr>
                <w:rFonts w:hint="eastAsia"/>
                <w:color w:val="auto"/>
                <w:highlight w:val="none"/>
                <w:lang w:val="en-US" w:eastAsia="zh-CN"/>
              </w:rPr>
              <w:t>报价</w:t>
            </w:r>
          </w:p>
        </w:tc>
      </w:tr>
      <w:tr>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1</w:t>
            </w:r>
          </w:p>
        </w:tc>
        <w:tc>
          <w:tcPr>
            <w:tcW w:w="0" w:type="auto"/>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CPU</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申威3231</w:t>
            </w:r>
          </w:p>
        </w:tc>
        <w:tc>
          <w:tcPr>
            <w:tcW w:w="0" w:type="auto"/>
            <w:tcBorders>
              <w:top w:val="single" w:color="000000" w:sz="4" w:space="0"/>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eastAsia="宋体"/>
                <w:color w:val="auto"/>
                <w:highlight w:val="none"/>
                <w:lang w:val="en-US" w:eastAsia="zh-CN"/>
              </w:rPr>
            </w:pPr>
            <w:r>
              <w:rPr>
                <w:rFonts w:hint="eastAsia"/>
                <w:color w:val="auto"/>
                <w:highlight w:val="none"/>
                <w:lang w:val="en-US" w:eastAsia="zh-CN"/>
              </w:rPr>
              <w:t>15000</w:t>
            </w:r>
          </w:p>
        </w:tc>
        <w:tc>
          <w:tcPr>
            <w:tcW w:w="0" w:type="auto"/>
            <w:tcBorders>
              <w:top w:val="single" w:color="000000" w:sz="4" w:space="0"/>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lang w:val="en-US" w:eastAsia="zh-CN"/>
              </w:rPr>
            </w:pPr>
          </w:p>
        </w:tc>
      </w:tr>
      <w:tr>
        <w:tblPrEx>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内存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16GB RDIMM,DDR4,3200MHz</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eastAsia="宋体"/>
                <w:color w:val="auto"/>
                <w:highlight w:val="none"/>
                <w:lang w:val="en-US" w:eastAsia="zh-CN"/>
              </w:rPr>
            </w:pPr>
            <w:r>
              <w:rPr>
                <w:rFonts w:hint="eastAsia"/>
                <w:color w:val="auto"/>
                <w:highlight w:val="none"/>
                <w:lang w:val="en-US" w:eastAsia="zh-CN"/>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lang w:val="en-US" w:eastAsia="zh-CN"/>
              </w:rPr>
            </w:pPr>
          </w:p>
        </w:tc>
      </w:tr>
      <w:tr>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32GB RDIMM,DDR4,3200MHz</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r>
      <w:tr>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64GB RDIMM,DDR4,3200MHz</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r>
      <w:tr>
        <w:tblPrEx>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硬盘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2.5 英寸1.6TB NVMe</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eastAsia="宋体"/>
                <w:color w:val="auto"/>
                <w:highlight w:val="none"/>
                <w:lang w:val="en-US" w:eastAsia="zh-CN"/>
              </w:rPr>
            </w:pPr>
            <w:r>
              <w:rPr>
                <w:rFonts w:hint="eastAsia"/>
                <w:color w:val="auto"/>
                <w:highlight w:val="none"/>
                <w:lang w:val="en-US" w:eastAsia="zh-CN"/>
              </w:rPr>
              <w:t>22500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lang w:val="en-US" w:eastAsia="zh-CN"/>
              </w:rPr>
            </w:pPr>
          </w:p>
        </w:tc>
      </w:tr>
      <w:tr>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2.5 英寸1.92TB NVMe</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r>
      <w:tr>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2.5 英寸3.84TB NVMe</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r>
      <w:tr>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2.5 英寸480GB热插拔固态硬盘，读取密集型</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r>
      <w:tr>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2.5 英寸800GB 热插拔固态硬盘，混合使用</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r>
      <w:tr>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2.5 英寸960GB热插拔固态硬盘，读取密集型</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r>
      <w:tr>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2.5 英寸1.6TB 热插拔固态硬盘，混合使用</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r>
      <w:tr>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2.5 英寸1.92TB 热插拔固态硬盘，读取密集型</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r>
      <w:tr>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2.5 英寸3.2TB 热插拔固态硬盘，混合使用</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r>
      <w:tr>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2.5 英寸3.84TB 热插拔固态硬盘，读取密集型</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r>
      <w:tr>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2.5 英寸7.68TB 热插拔固态硬盘，读取密集型</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r>
      <w:tr>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2.5 英寸 600GB 10K SAS热插拔硬盘</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r>
      <w:tr>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2.5 英寸 1.2TB 10K SAS热插拔硬盘</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r>
      <w:tr>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2.5 英寸 2.4TB 10K SAS热插拔硬盘</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r>
      <w:tr>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3.5 英寸4TB 7.2K热插拔硬盘</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r>
      <w:tr>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3.5 英寸8TB 7.2K热插拔硬盘</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r>
      <w:tr>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3.5 英寸16TB 7.2K热插拔硬盘</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r>
      <w:tr>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3.5 英寸18TB 7.2K热插拔硬盘</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r>
      <w:tr>
        <w:tblPrEx>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RAID卡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无缓存 RAID卡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宋体"/>
                <w:color w:val="auto"/>
                <w:highlight w:val="none"/>
                <w:lang w:val="en-US" w:eastAsia="zh-CN"/>
              </w:rPr>
            </w:pPr>
            <w:r>
              <w:rPr>
                <w:rFonts w:hint="eastAsia"/>
                <w:color w:val="auto"/>
                <w:highlight w:val="none"/>
                <w:lang w:val="en-US" w:eastAsia="zh-CN"/>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lang w:val="en-US" w:eastAsia="zh-CN"/>
              </w:rPr>
            </w:pPr>
          </w:p>
        </w:tc>
      </w:tr>
      <w:tr>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1G 缓存 RAID卡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r>
      <w:tr>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2G 缓存 RAID卡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r>
      <w:tr>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4G 缓存 RAID卡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r>
      <w:tr>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8G 缓存 RAID卡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r>
      <w:tr>
        <w:tblPrEx>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网卡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双口千兆电口</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宋体"/>
                <w:color w:val="auto"/>
                <w:highlight w:val="none"/>
                <w:lang w:val="en-US" w:eastAsia="zh-CN"/>
              </w:rPr>
            </w:pPr>
            <w:r>
              <w:rPr>
                <w:rFonts w:hint="eastAsia"/>
                <w:color w:val="auto"/>
                <w:highlight w:val="none"/>
                <w:lang w:val="en-US" w:eastAsia="zh-CN"/>
              </w:rPr>
              <w:t>4500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lang w:val="en-US" w:eastAsia="zh-CN"/>
              </w:rPr>
            </w:pPr>
          </w:p>
        </w:tc>
      </w:tr>
      <w:tr>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四口千兆电口</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r>
      <w:tr>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10G万兆电双口</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r>
      <w:tr>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10G万兆光双口，含双模块</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r>
      <w:tr>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25G万兆光双口，含双模块</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r>
      <w:tr>
        <w:tblPrEx>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HBA卡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12G SAS HBA</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eastAsia="宋体"/>
                <w:color w:val="auto"/>
                <w:highlight w:val="none"/>
                <w:lang w:val="en-US" w:eastAsia="zh-CN"/>
              </w:rPr>
            </w:pPr>
            <w:r>
              <w:rPr>
                <w:rFonts w:hint="eastAsia"/>
                <w:color w:val="auto"/>
                <w:highlight w:val="none"/>
                <w:lang w:val="en-US" w:eastAsia="zh-CN"/>
              </w:rPr>
              <w:t>13000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lang w:val="en-US" w:eastAsia="zh-CN"/>
              </w:rPr>
            </w:pPr>
          </w:p>
        </w:tc>
      </w:tr>
      <w:tr>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16G FC 双口，含双模块</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r>
      <w:tr>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32G FC 双口，含双模块</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r>
      <w:tr>
        <w:tblPrEx>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≥550W</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eastAsia="宋体"/>
                <w:color w:val="auto"/>
                <w:highlight w:val="none"/>
                <w:lang w:val="en-US" w:eastAsia="zh-CN"/>
              </w:rPr>
            </w:pPr>
            <w:r>
              <w:rPr>
                <w:rFonts w:hint="eastAsia"/>
                <w:color w:val="auto"/>
                <w:highlight w:val="none"/>
                <w:lang w:val="en-US" w:eastAsia="zh-CN"/>
              </w:rPr>
              <w:t>4500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lang w:val="en-US" w:eastAsia="zh-CN"/>
              </w:rPr>
            </w:pPr>
          </w:p>
        </w:tc>
      </w:tr>
      <w:tr>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≥800W</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r>
      <w:tr>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≥1200W</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color w:val="auto"/>
                <w:highlight w:val="none"/>
              </w:rPr>
            </w:pPr>
          </w:p>
        </w:tc>
      </w:tr>
      <w:tr>
        <w:tblPrEx>
          <w:tblCellMar>
            <w:top w:w="0" w:type="dxa"/>
            <w:left w:w="108" w:type="dxa"/>
            <w:bottom w:w="0" w:type="dxa"/>
            <w:right w:w="108" w:type="dxa"/>
          </w:tblCellMar>
        </w:tblPrEx>
        <w:trPr>
          <w:trHeight w:val="36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选填配件</w:t>
            </w:r>
          </w:p>
        </w:tc>
      </w:tr>
      <w:tr>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配件类型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最高限价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eastAsia="仿宋"/>
                <w:color w:val="auto"/>
                <w:highlight w:val="none"/>
                <w:lang w:val="en-US" w:eastAsia="zh-CN"/>
              </w:rPr>
            </w:pPr>
            <w:r>
              <w:rPr>
                <w:rFonts w:hint="eastAsia"/>
                <w:color w:val="auto"/>
                <w:highlight w:val="none"/>
                <w:lang w:val="en-US" w:eastAsia="zh-CN"/>
              </w:rPr>
              <w:t>报价</w:t>
            </w:r>
          </w:p>
        </w:tc>
      </w:tr>
      <w:tr>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GPU</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不限制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宋体"/>
                <w:color w:val="auto"/>
                <w:highlight w:val="none"/>
                <w:lang w:val="en-US" w:eastAsia="zh-CN"/>
              </w:rPr>
            </w:pPr>
            <w:r>
              <w:rPr>
                <w:rFonts w:hint="eastAsia"/>
                <w:color w:val="auto"/>
                <w:highlight w:val="none"/>
                <w:lang w:val="en-US" w:eastAsia="zh-CN"/>
              </w:rPr>
              <w:t>18000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lang w:val="en-US" w:eastAsia="zh-CN"/>
              </w:rPr>
            </w:pPr>
          </w:p>
        </w:tc>
      </w:tr>
      <w:tr>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增值服务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不限制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宋体"/>
                <w:color w:val="auto"/>
                <w:highlight w:val="none"/>
                <w:lang w:val="en-US" w:eastAsia="zh-CN"/>
              </w:rPr>
            </w:pPr>
            <w:r>
              <w:rPr>
                <w:rFonts w:hint="eastAsia"/>
                <w:color w:val="auto"/>
                <w:highlight w:val="none"/>
                <w:lang w:val="en-US" w:eastAsia="zh-CN"/>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lang w:val="en-US" w:eastAsia="zh-CN"/>
              </w:rPr>
            </w:pPr>
          </w:p>
        </w:tc>
      </w:tr>
      <w:tr>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硬盘不返还服务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不限制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宋体"/>
                <w:color w:val="auto"/>
                <w:highlight w:val="none"/>
                <w:lang w:val="en-US" w:eastAsia="zh-CN"/>
              </w:rPr>
            </w:pPr>
            <w:r>
              <w:rPr>
                <w:rFonts w:hint="eastAsia"/>
                <w:color w:val="auto"/>
                <w:highlight w:val="none"/>
                <w:lang w:val="en-US" w:eastAsia="zh-CN"/>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lang w:val="en-US" w:eastAsia="zh-CN"/>
              </w:rPr>
            </w:pPr>
          </w:p>
        </w:tc>
      </w:tr>
      <w:tr>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DVD光驱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不限制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宋体"/>
                <w:color w:val="auto"/>
                <w:highlight w:val="none"/>
                <w:lang w:val="en-US" w:eastAsia="zh-CN"/>
              </w:rPr>
            </w:pPr>
            <w:r>
              <w:rPr>
                <w:rFonts w:hint="eastAsia"/>
                <w:color w:val="auto"/>
                <w:highlight w:val="none"/>
                <w:lang w:val="en-US" w:eastAsia="zh-CN"/>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lang w:val="en-US" w:eastAsia="zh-CN"/>
              </w:rPr>
            </w:pPr>
          </w:p>
        </w:tc>
      </w:tr>
      <w:tr>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eastAsia="宋体"/>
                <w:color w:val="auto"/>
                <w:highlight w:val="none"/>
                <w:lang w:eastAsia="zh-CN"/>
              </w:rPr>
            </w:pPr>
            <w:r>
              <w:rPr>
                <w:rFonts w:hint="eastAsia"/>
                <w:color w:val="auto"/>
                <w:highlight w:val="none"/>
                <w:lang w:eastAsia="zh-CN"/>
              </w:rPr>
              <w:t>操作系统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eastAsia="宋体"/>
                <w:color w:val="auto"/>
                <w:highlight w:val="none"/>
                <w:lang w:eastAsia="zh-CN"/>
              </w:rPr>
            </w:pPr>
            <w:r>
              <w:rPr>
                <w:rFonts w:hint="eastAsia"/>
                <w:color w:val="auto"/>
                <w:highlight w:val="none"/>
                <w:lang w:val="en-US" w:eastAsia="zh-CN"/>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宋体"/>
                <w:color w:val="auto"/>
                <w:highlight w:val="none"/>
                <w:lang w:val="en-US" w:eastAsia="zh-CN"/>
              </w:rPr>
            </w:pPr>
            <w:r>
              <w:rPr>
                <w:rFonts w:hint="eastAsia"/>
                <w:color w:val="auto"/>
                <w:highlight w:val="none"/>
                <w:lang w:val="en-US" w:eastAsia="zh-CN"/>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lang w:val="en-US" w:eastAsia="zh-CN"/>
              </w:rPr>
            </w:pPr>
          </w:p>
        </w:tc>
      </w:tr>
      <w:tr>
        <w:tblPrEx>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网卡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100G IB卡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宋体"/>
                <w:color w:val="auto"/>
                <w:highlight w:val="none"/>
                <w:lang w:val="en-US" w:eastAsia="zh-CN"/>
              </w:rPr>
            </w:pPr>
            <w:r>
              <w:rPr>
                <w:rFonts w:hint="eastAsia"/>
                <w:color w:val="auto"/>
                <w:highlight w:val="none"/>
                <w:lang w:val="en-US" w:eastAsia="zh-CN"/>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lang w:val="en-US" w:eastAsia="zh-CN"/>
              </w:rPr>
            </w:pPr>
          </w:p>
        </w:tc>
      </w:tr>
      <w:tr>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200G IB卡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宋体"/>
                <w:color w:val="auto"/>
                <w:highlight w:val="none"/>
                <w:lang w:val="en-US" w:eastAsia="zh-CN"/>
              </w:rPr>
            </w:pPr>
            <w:r>
              <w:rPr>
                <w:rFonts w:hint="eastAsia"/>
                <w:color w:val="auto"/>
                <w:highlight w:val="none"/>
                <w:lang w:val="en-US" w:eastAsia="zh-CN"/>
              </w:rPr>
              <w:t>13500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lang w:val="en-US" w:eastAsia="zh-CN"/>
              </w:rPr>
            </w:pPr>
          </w:p>
        </w:tc>
      </w:tr>
      <w:tr>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400G IB卡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宋体"/>
                <w:color w:val="auto"/>
                <w:highlight w:val="none"/>
                <w:lang w:val="en-US" w:eastAsia="zh-CN"/>
              </w:rPr>
            </w:pPr>
            <w:r>
              <w:rPr>
                <w:rFonts w:hint="eastAsia"/>
                <w:color w:val="auto"/>
                <w:highlight w:val="none"/>
                <w:lang w:val="en-US" w:eastAsia="zh-CN"/>
              </w:rPr>
              <w:t>18000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color w:val="auto"/>
                <w:highlight w:val="none"/>
                <w:lang w:val="en-US" w:eastAsia="zh-CN"/>
              </w:rPr>
            </w:pPr>
          </w:p>
        </w:tc>
      </w:tr>
      <w:tr>
        <w:tblPrEx>
          <w:tblCellMar>
            <w:top w:w="0" w:type="dxa"/>
            <w:left w:w="108" w:type="dxa"/>
            <w:bottom w:w="0" w:type="dxa"/>
            <w:right w:w="108" w:type="dxa"/>
          </w:tblCellMar>
        </w:tblPrEx>
        <w:trPr>
          <w:trHeight w:val="306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1.CPU、内存、硬盘、RAID卡、网卡、HBA卡、电源为必填配件。</w:t>
            </w:r>
            <w:r>
              <w:rPr>
                <w:rFonts w:hint="eastAsia"/>
                <w:color w:val="auto"/>
                <w:highlight w:val="none"/>
              </w:rPr>
              <w:br w:type="textWrapping"/>
            </w:r>
            <w:r>
              <w:rPr>
                <w:rFonts w:hint="eastAsia"/>
                <w:color w:val="auto"/>
                <w:highlight w:val="none"/>
              </w:rPr>
              <w:t>2.增值服务、硬盘不返还服务、DVD光驱、</w:t>
            </w:r>
            <w:r>
              <w:rPr>
                <w:rFonts w:hint="eastAsia"/>
                <w:color w:val="auto"/>
                <w:highlight w:val="none"/>
                <w:lang w:eastAsia="zh-CN"/>
              </w:rPr>
              <w:t>操作系统</w:t>
            </w:r>
            <w:r>
              <w:rPr>
                <w:rFonts w:hint="eastAsia"/>
                <w:color w:val="auto"/>
                <w:highlight w:val="none"/>
              </w:rPr>
              <w:t>为选填配件。操作系统应当为中国信息安全测评中心测评公告中公示产品，配件中提供的软件应当具有软件厂商提供的正版软件授权书，享受原厂提供的标准支持服务。</w:t>
            </w:r>
            <w:r>
              <w:rPr>
                <w:rFonts w:hint="eastAsia"/>
                <w:color w:val="auto"/>
                <w:highlight w:val="none"/>
              </w:rPr>
              <w:br w:type="textWrapping"/>
            </w:r>
            <w:r>
              <w:rPr>
                <w:rFonts w:hint="eastAsia"/>
                <w:color w:val="auto"/>
                <w:highlight w:val="none"/>
              </w:rPr>
              <w:t>3.配件均提供原制造厂商36个月免费质量保证期。</w:t>
            </w:r>
            <w:r>
              <w:rPr>
                <w:rFonts w:hint="eastAsia"/>
                <w:color w:val="auto"/>
                <w:highlight w:val="none"/>
              </w:rPr>
              <w:br w:type="textWrapping"/>
            </w:r>
            <w:r>
              <w:rPr>
                <w:rFonts w:hint="eastAsia"/>
                <w:color w:val="auto"/>
                <w:highlight w:val="none"/>
              </w:rPr>
              <w:t>4.供应商应按配件需求在采购云平台如实、准确、完整地录入各类配件的具体规格型号及价格。必填配件多响应或少响应的，均视为不满足技术配置要求。</w:t>
            </w:r>
          </w:p>
          <w:p>
            <w:pPr>
              <w:keepNext w:val="0"/>
              <w:keepLines w:val="0"/>
              <w:suppressLineNumbers w:val="0"/>
              <w:spacing w:before="0" w:beforeAutospacing="0" w:after="0" w:afterAutospacing="0"/>
              <w:ind w:left="0" w:right="0"/>
              <w:rPr>
                <w:rFonts w:hint="eastAsia"/>
                <w:b/>
                <w:bCs/>
                <w:color w:val="FF0000"/>
                <w:highlight w:val="none"/>
              </w:rPr>
            </w:pPr>
            <w:r>
              <w:rPr>
                <w:rFonts w:hint="eastAsia"/>
                <w:b/>
                <w:bCs/>
                <w:color w:val="FF0000"/>
                <w:highlight w:val="none"/>
              </w:rPr>
              <w:t>5.若提供增值服务须填写具体的服务，列明具体内容。</w:t>
            </w:r>
          </w:p>
          <w:p>
            <w:pPr>
              <w:keepNext w:val="0"/>
              <w:keepLines w:val="0"/>
              <w:suppressLineNumbers w:val="0"/>
              <w:spacing w:before="0" w:beforeAutospacing="0" w:after="0" w:afterAutospacing="0"/>
              <w:ind w:left="0" w:right="0"/>
              <w:rPr>
                <w:rFonts w:hint="eastAsia"/>
                <w:b/>
                <w:bCs/>
                <w:color w:val="FF0000"/>
                <w:highlight w:val="none"/>
              </w:rPr>
            </w:pPr>
            <w:r>
              <w:rPr>
                <w:rFonts w:hint="eastAsia"/>
                <w:b/>
                <w:bCs/>
                <w:color w:val="FF0000"/>
                <w:highlight w:val="none"/>
                <w:lang w:eastAsia="zh-CN"/>
              </w:rPr>
              <w:t>6.所有产品价格不高于市场价，在同一地方的报价低于其他任何非政府采购或市场平均价格</w:t>
            </w:r>
            <w:r>
              <w:rPr>
                <w:rFonts w:hint="eastAsia"/>
                <w:b/>
                <w:bCs/>
                <w:color w:val="FF0000"/>
                <w:highlight w:val="none"/>
              </w:rPr>
              <w:t>。</w:t>
            </w:r>
          </w:p>
        </w:tc>
      </w:tr>
    </w:tbl>
    <w:p>
      <w:pPr>
        <w:rPr>
          <w:rFonts w:hint="default" w:eastAsia="宋体"/>
          <w:sz w:val="32"/>
          <w:szCs w:val="40"/>
          <w:highlight w:val="red"/>
          <w:lang w:val="en-US" w:eastAsia="zh-CN"/>
        </w:rPr>
      </w:pPr>
      <w:r>
        <w:rPr>
          <w:rFonts w:hint="default" w:eastAsia="宋体"/>
          <w:sz w:val="32"/>
          <w:szCs w:val="40"/>
          <w:highlight w:val="red"/>
          <w:lang w:val="en-US" w:eastAsia="zh-CN"/>
        </w:rPr>
        <w:br w:type="page"/>
      </w:r>
    </w:p>
    <w:p>
      <w:pPr>
        <w:spacing w:line="240" w:lineRule="auto"/>
        <w:ind w:firstLine="0" w:firstLineChars="0"/>
        <w:rPr>
          <w:rFonts w:hint="eastAsia" w:eastAsia="宋体"/>
          <w:sz w:val="32"/>
          <w:szCs w:val="40"/>
          <w:lang w:val="en-US" w:eastAsia="zh-CN"/>
        </w:rPr>
      </w:pPr>
      <w:r>
        <w:rPr>
          <w:rFonts w:hint="eastAsia" w:eastAsia="宋体"/>
          <w:sz w:val="32"/>
          <w:szCs w:val="40"/>
          <w:lang w:val="en-US" w:eastAsia="zh-CN"/>
        </w:rPr>
        <w:t>采购包4</w:t>
      </w:r>
      <w:r>
        <w:rPr>
          <w:rFonts w:hint="eastAsia"/>
          <w:sz w:val="32"/>
          <w:szCs w:val="40"/>
          <w:lang w:val="en-US" w:eastAsia="zh-CN"/>
        </w:rPr>
        <w:t>5</w:t>
      </w:r>
      <w:r>
        <w:rPr>
          <w:rFonts w:hint="eastAsia" w:eastAsia="宋体"/>
          <w:sz w:val="32"/>
          <w:szCs w:val="40"/>
          <w:lang w:val="en-US" w:eastAsia="zh-CN"/>
        </w:rPr>
        <w:t>-</w:t>
      </w:r>
      <w:r>
        <w:rPr>
          <w:rFonts w:hint="eastAsia"/>
          <w:sz w:val="32"/>
          <w:szCs w:val="40"/>
          <w:lang w:val="en-US" w:eastAsia="zh-CN"/>
        </w:rPr>
        <w:t>59</w:t>
      </w:r>
      <w:r>
        <w:rPr>
          <w:rFonts w:hint="eastAsia" w:eastAsia="宋体"/>
          <w:sz w:val="32"/>
          <w:szCs w:val="40"/>
          <w:lang w:val="en-US" w:eastAsia="zh-CN"/>
        </w:rPr>
        <w:t>：</w:t>
      </w: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9"/>
        <w:gridCol w:w="1057"/>
        <w:gridCol w:w="5964"/>
        <w:gridCol w:w="1004"/>
        <w:gridCol w:w="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必填配件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序号</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配件类型</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最高限价</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1</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CPU</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x86</w:t>
            </w:r>
            <w:r>
              <w:rPr>
                <w:rFonts w:hint="eastAsia"/>
                <w:lang w:val="en-US" w:eastAsia="zh-CN"/>
              </w:rPr>
              <w:t>处理器，内核数</w:t>
            </w:r>
            <w:r>
              <w:rPr>
                <w:rFonts w:hint="default"/>
                <w:lang w:val="en-US" w:eastAsia="zh-CN"/>
              </w:rPr>
              <w:t>12</w:t>
            </w:r>
            <w:r>
              <w:rPr>
                <w:rFonts w:hint="eastAsia"/>
                <w:lang w:val="en-US" w:eastAsia="zh-CN"/>
              </w:rPr>
              <w:t>核，主频</w:t>
            </w:r>
            <w:r>
              <w:rPr>
                <w:rFonts w:hint="default"/>
                <w:lang w:val="en-US" w:eastAsia="zh-CN"/>
              </w:rPr>
              <w:t>2.1GHz,L3</w:t>
            </w:r>
            <w:r>
              <w:rPr>
                <w:rFonts w:hint="eastAsia"/>
                <w:lang w:val="en-US" w:eastAsia="zh-CN"/>
              </w:rPr>
              <w:t>缓</w:t>
            </w:r>
            <w:r>
              <w:rPr>
                <w:rFonts w:hint="default"/>
                <w:lang w:val="en-US" w:eastAsia="zh-CN"/>
              </w:rPr>
              <w:t>18MB</w:t>
            </w:r>
            <w:r>
              <w:rPr>
                <w:rFonts w:hint="eastAsia"/>
                <w:lang w:val="en-US" w:eastAsia="zh-CN"/>
              </w:rPr>
              <w:t>,</w:t>
            </w:r>
            <w:r>
              <w:rPr>
                <w:rFonts w:hint="default"/>
                <w:lang w:val="en-US" w:eastAsia="zh-CN"/>
              </w:rPr>
              <w:t>TDP120W</w:t>
            </w:r>
            <w:r>
              <w:rPr>
                <w:rFonts w:hint="eastAsia"/>
                <w:lang w:val="en-US" w:eastAsia="zh-CN"/>
              </w:rPr>
              <w:t>，支持内存</w:t>
            </w:r>
            <w:r>
              <w:rPr>
                <w:rFonts w:hint="default"/>
                <w:lang w:val="en-US" w:eastAsia="zh-CN"/>
              </w:rPr>
              <w:t>DDR4-2667</w:t>
            </w:r>
            <w:r>
              <w:rPr>
                <w:rFonts w:hint="eastAsia"/>
                <w:lang w:val="en-US" w:eastAsia="zh-CN"/>
              </w:rPr>
              <w:t>,</w:t>
            </w:r>
            <w:r>
              <w:rPr>
                <w:rFonts w:hint="default"/>
                <w:lang w:val="en-US" w:eastAsia="zh-CN"/>
              </w:rPr>
              <w:t>UPI</w:t>
            </w:r>
            <w:r>
              <w:rPr>
                <w:rFonts w:hint="eastAsia"/>
                <w:lang w:val="en-US" w:eastAsia="zh-CN"/>
              </w:rPr>
              <w:t>链接数</w:t>
            </w:r>
            <w:r>
              <w:rPr>
                <w:rFonts w:hint="default"/>
                <w:lang w:val="en-US" w:eastAsia="zh-CN"/>
              </w:rPr>
              <w:t>2</w:t>
            </w:r>
          </w:p>
        </w:tc>
        <w:tc>
          <w:tcPr>
            <w:tcW w:w="0" w:type="auto"/>
            <w:vMerge w:val="restart"/>
            <w:tcBorders>
              <w:top w:val="single" w:color="000000" w:sz="4" w:space="0"/>
              <w:left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150000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x86</w:t>
            </w:r>
            <w:r>
              <w:rPr>
                <w:rFonts w:hint="eastAsia"/>
                <w:lang w:val="en-US" w:eastAsia="zh-CN"/>
              </w:rPr>
              <w:t>处理器，内核数</w:t>
            </w:r>
            <w:r>
              <w:rPr>
                <w:rFonts w:hint="default"/>
                <w:lang w:val="en-US" w:eastAsia="zh-CN"/>
              </w:rPr>
              <w:t>20</w:t>
            </w:r>
            <w:r>
              <w:rPr>
                <w:rFonts w:hint="eastAsia"/>
                <w:lang w:val="en-US" w:eastAsia="zh-CN"/>
              </w:rPr>
              <w:t>核，主频</w:t>
            </w:r>
            <w:r>
              <w:rPr>
                <w:rFonts w:hint="default"/>
                <w:lang w:val="en-US" w:eastAsia="zh-CN"/>
              </w:rPr>
              <w:t>2.3GHz,L3</w:t>
            </w:r>
            <w:r>
              <w:rPr>
                <w:rFonts w:hint="eastAsia"/>
                <w:lang w:val="en-US" w:eastAsia="zh-CN"/>
              </w:rPr>
              <w:t>缓存</w:t>
            </w:r>
            <w:r>
              <w:rPr>
                <w:rFonts w:hint="default"/>
                <w:lang w:val="en-US" w:eastAsia="zh-CN"/>
              </w:rPr>
              <w:t>30MB,TDP150W</w:t>
            </w:r>
            <w:r>
              <w:rPr>
                <w:rFonts w:hint="eastAsia"/>
                <w:lang w:val="en-US" w:eastAsia="zh-CN"/>
              </w:rPr>
              <w:t>，支持内存</w:t>
            </w:r>
            <w:r>
              <w:rPr>
                <w:rFonts w:hint="default"/>
                <w:lang w:val="en-US" w:eastAsia="zh-CN"/>
              </w:rPr>
              <w:t>DDR4-2667,UPI</w:t>
            </w:r>
            <w:r>
              <w:rPr>
                <w:rFonts w:hint="eastAsia"/>
                <w:lang w:val="en-US" w:eastAsia="zh-CN"/>
              </w:rPr>
              <w:t>链接数</w:t>
            </w:r>
            <w:r>
              <w:rPr>
                <w:rFonts w:hint="default"/>
                <w:lang w:val="en-US" w:eastAsia="zh-CN"/>
              </w:rPr>
              <w:t>2</w:t>
            </w:r>
          </w:p>
        </w:tc>
        <w:tc>
          <w:tcPr>
            <w:tcW w:w="0" w:type="auto"/>
            <w:vMerge w:val="continue"/>
            <w:tcBorders>
              <w:left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x86</w:t>
            </w:r>
            <w:r>
              <w:rPr>
                <w:rFonts w:hint="eastAsia"/>
                <w:lang w:val="en-US" w:eastAsia="zh-CN"/>
              </w:rPr>
              <w:t>处理器，内核数</w:t>
            </w:r>
            <w:r>
              <w:rPr>
                <w:rFonts w:hint="default"/>
                <w:lang w:val="en-US" w:eastAsia="zh-CN"/>
              </w:rPr>
              <w:t>24</w:t>
            </w:r>
            <w:r>
              <w:rPr>
                <w:rFonts w:hint="eastAsia"/>
                <w:lang w:val="en-US" w:eastAsia="zh-CN"/>
              </w:rPr>
              <w:t>核，主频</w:t>
            </w:r>
            <w:r>
              <w:rPr>
                <w:rFonts w:hint="default"/>
                <w:lang w:val="en-US" w:eastAsia="zh-CN"/>
              </w:rPr>
              <w:t>2.1GHz,L3</w:t>
            </w:r>
            <w:r>
              <w:rPr>
                <w:rFonts w:hint="eastAsia"/>
                <w:lang w:val="en-US" w:eastAsia="zh-CN"/>
              </w:rPr>
              <w:t>缓存</w:t>
            </w:r>
            <w:r>
              <w:rPr>
                <w:rFonts w:hint="default"/>
                <w:lang w:val="en-US" w:eastAsia="zh-CN"/>
              </w:rPr>
              <w:t>36MB,TDP165W</w:t>
            </w:r>
            <w:r>
              <w:rPr>
                <w:rFonts w:hint="eastAsia"/>
                <w:lang w:val="en-US" w:eastAsia="zh-CN"/>
              </w:rPr>
              <w:t>，支持内存</w:t>
            </w:r>
            <w:r>
              <w:rPr>
                <w:rFonts w:hint="default"/>
                <w:lang w:val="en-US" w:eastAsia="zh-CN"/>
              </w:rPr>
              <w:t>DDR4-2933,UPI</w:t>
            </w:r>
            <w:r>
              <w:rPr>
                <w:rFonts w:hint="eastAsia"/>
                <w:lang w:val="en-US" w:eastAsia="zh-CN"/>
              </w:rPr>
              <w:t>链接数</w:t>
            </w:r>
            <w:r>
              <w:rPr>
                <w:rFonts w:hint="default"/>
                <w:lang w:val="en-US" w:eastAsia="zh-CN"/>
              </w:rPr>
              <w:t>3</w:t>
            </w:r>
          </w:p>
        </w:tc>
        <w:tc>
          <w:tcPr>
            <w:tcW w:w="0" w:type="auto"/>
            <w:vMerge w:val="continue"/>
            <w:tcBorders>
              <w:left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x86</w:t>
            </w:r>
            <w:r>
              <w:rPr>
                <w:rFonts w:hint="eastAsia"/>
                <w:lang w:val="en-US" w:eastAsia="zh-CN"/>
              </w:rPr>
              <w:t>处理器，内核数</w:t>
            </w:r>
            <w:r>
              <w:rPr>
                <w:rFonts w:hint="default"/>
                <w:lang w:val="en-US" w:eastAsia="zh-CN"/>
              </w:rPr>
              <w:t>24</w:t>
            </w:r>
            <w:r>
              <w:rPr>
                <w:rFonts w:hint="eastAsia"/>
                <w:lang w:val="en-US" w:eastAsia="zh-CN"/>
              </w:rPr>
              <w:t>核，主频</w:t>
            </w:r>
            <w:r>
              <w:rPr>
                <w:rFonts w:hint="default"/>
                <w:lang w:val="en-US" w:eastAsia="zh-CN"/>
              </w:rPr>
              <w:t>2.0GHz,L3</w:t>
            </w:r>
            <w:r>
              <w:rPr>
                <w:rFonts w:hint="eastAsia"/>
                <w:lang w:val="en-US" w:eastAsia="zh-CN"/>
              </w:rPr>
              <w:t>缓存</w:t>
            </w:r>
            <w:r>
              <w:rPr>
                <w:rFonts w:hint="default"/>
                <w:lang w:val="en-US" w:eastAsia="zh-CN"/>
              </w:rPr>
              <w:t>45MB,TDP185W</w:t>
            </w:r>
            <w:r>
              <w:rPr>
                <w:rFonts w:hint="eastAsia"/>
                <w:lang w:val="en-US" w:eastAsia="zh-CN"/>
              </w:rPr>
              <w:t>，支持内存</w:t>
            </w:r>
            <w:r>
              <w:rPr>
                <w:rFonts w:hint="default"/>
                <w:lang w:val="en-US" w:eastAsia="zh-CN"/>
              </w:rPr>
              <w:t>DDR5-4400,UPI</w:t>
            </w:r>
            <w:r>
              <w:rPr>
                <w:rFonts w:hint="eastAsia"/>
                <w:lang w:val="en-US" w:eastAsia="zh-CN"/>
              </w:rPr>
              <w:t>链接数</w:t>
            </w:r>
            <w:r>
              <w:rPr>
                <w:rFonts w:hint="default"/>
                <w:lang w:val="en-US" w:eastAsia="zh-CN"/>
              </w:rPr>
              <w:t>3</w:t>
            </w:r>
          </w:p>
        </w:tc>
        <w:tc>
          <w:tcPr>
            <w:tcW w:w="0" w:type="auto"/>
            <w:vMerge w:val="continue"/>
            <w:tcBorders>
              <w:left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x86</w:t>
            </w:r>
            <w:r>
              <w:rPr>
                <w:rFonts w:hint="eastAsia"/>
                <w:lang w:val="en-US" w:eastAsia="zh-CN"/>
              </w:rPr>
              <w:t>处理器，内核数</w:t>
            </w:r>
            <w:r>
              <w:rPr>
                <w:rFonts w:hint="default"/>
                <w:lang w:val="en-US" w:eastAsia="zh-CN"/>
              </w:rPr>
              <w:t>16</w:t>
            </w:r>
            <w:r>
              <w:rPr>
                <w:rFonts w:hint="eastAsia"/>
                <w:lang w:val="en-US" w:eastAsia="zh-CN"/>
              </w:rPr>
              <w:t>核，主频</w:t>
            </w:r>
            <w:r>
              <w:rPr>
                <w:rFonts w:hint="default"/>
                <w:lang w:val="en-US" w:eastAsia="zh-CN"/>
              </w:rPr>
              <w:t>3.1GHz,L3</w:t>
            </w:r>
            <w:r>
              <w:rPr>
                <w:rFonts w:hint="eastAsia"/>
                <w:lang w:val="en-US" w:eastAsia="zh-CN"/>
              </w:rPr>
              <w:t>缓存</w:t>
            </w:r>
            <w:r>
              <w:rPr>
                <w:rFonts w:hint="default"/>
                <w:lang w:val="en-US" w:eastAsia="zh-CN"/>
              </w:rPr>
              <w:t>36MB,TDP205W</w:t>
            </w:r>
            <w:r>
              <w:rPr>
                <w:rFonts w:hint="eastAsia"/>
                <w:lang w:val="en-US" w:eastAsia="zh-CN"/>
              </w:rPr>
              <w:t>，支持内存</w:t>
            </w:r>
            <w:r>
              <w:rPr>
                <w:rFonts w:hint="default"/>
                <w:lang w:val="en-US" w:eastAsia="zh-CN"/>
              </w:rPr>
              <w:t>DDR4-3200,UPI</w:t>
            </w:r>
            <w:r>
              <w:rPr>
                <w:rFonts w:hint="eastAsia"/>
                <w:lang w:val="en-US" w:eastAsia="zh-CN"/>
              </w:rPr>
              <w:t>链接数</w:t>
            </w:r>
            <w:r>
              <w:rPr>
                <w:rFonts w:hint="default"/>
                <w:lang w:val="en-US" w:eastAsia="zh-CN"/>
              </w:rPr>
              <w:t>3</w:t>
            </w:r>
          </w:p>
        </w:tc>
        <w:tc>
          <w:tcPr>
            <w:tcW w:w="0" w:type="auto"/>
            <w:vMerge w:val="continue"/>
            <w:tcBorders>
              <w:left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x86</w:t>
            </w:r>
            <w:r>
              <w:rPr>
                <w:rFonts w:hint="eastAsia"/>
                <w:lang w:val="en-US" w:eastAsia="zh-CN"/>
              </w:rPr>
              <w:t>处理器，内核数</w:t>
            </w:r>
            <w:r>
              <w:rPr>
                <w:rFonts w:hint="default"/>
                <w:lang w:val="en-US" w:eastAsia="zh-CN"/>
              </w:rPr>
              <w:t>32</w:t>
            </w:r>
            <w:r>
              <w:rPr>
                <w:rFonts w:hint="eastAsia"/>
                <w:lang w:val="en-US" w:eastAsia="zh-CN"/>
              </w:rPr>
              <w:t>核，主频</w:t>
            </w:r>
            <w:r>
              <w:rPr>
                <w:rFonts w:hint="default"/>
                <w:lang w:val="en-US" w:eastAsia="zh-CN"/>
              </w:rPr>
              <w:t>2.1GHz,L3</w:t>
            </w:r>
            <w:r>
              <w:rPr>
                <w:rFonts w:hint="eastAsia"/>
                <w:lang w:val="en-US" w:eastAsia="zh-CN"/>
              </w:rPr>
              <w:t>缓存</w:t>
            </w:r>
            <w:r>
              <w:rPr>
                <w:rFonts w:hint="default"/>
                <w:lang w:val="en-US" w:eastAsia="zh-CN"/>
              </w:rPr>
              <w:t>60MB,TDP270W</w:t>
            </w:r>
            <w:r>
              <w:rPr>
                <w:rFonts w:hint="eastAsia"/>
                <w:lang w:val="en-US" w:eastAsia="zh-CN"/>
              </w:rPr>
              <w:t>，支持内存</w:t>
            </w:r>
            <w:r>
              <w:rPr>
                <w:rFonts w:hint="default"/>
                <w:lang w:val="en-US" w:eastAsia="zh-CN"/>
              </w:rPr>
              <w:t>DDR5-4400,UPI</w:t>
            </w:r>
            <w:r>
              <w:rPr>
                <w:rFonts w:hint="eastAsia"/>
                <w:lang w:val="en-US" w:eastAsia="zh-CN"/>
              </w:rPr>
              <w:t>链接数</w:t>
            </w:r>
            <w:r>
              <w:rPr>
                <w:rFonts w:hint="default"/>
                <w:lang w:val="en-US" w:eastAsia="zh-CN"/>
              </w:rPr>
              <w:t>3</w:t>
            </w:r>
          </w:p>
        </w:tc>
        <w:tc>
          <w:tcPr>
            <w:tcW w:w="0" w:type="auto"/>
            <w:vMerge w:val="continue"/>
            <w:tcBorders>
              <w:left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x86</w:t>
            </w:r>
            <w:r>
              <w:rPr>
                <w:rFonts w:hint="eastAsia"/>
                <w:lang w:val="en-US" w:eastAsia="zh-CN"/>
              </w:rPr>
              <w:t>处理器，内核数</w:t>
            </w:r>
            <w:r>
              <w:rPr>
                <w:rFonts w:hint="default"/>
                <w:lang w:val="en-US" w:eastAsia="zh-CN"/>
              </w:rPr>
              <w:t>32</w:t>
            </w:r>
            <w:r>
              <w:rPr>
                <w:rFonts w:hint="eastAsia"/>
                <w:lang w:val="en-US" w:eastAsia="zh-CN"/>
              </w:rPr>
              <w:t>核，主频</w:t>
            </w:r>
            <w:r>
              <w:rPr>
                <w:rFonts w:hint="default"/>
                <w:lang w:val="en-US" w:eastAsia="zh-CN"/>
              </w:rPr>
              <w:t>2.6GHz,L3</w:t>
            </w:r>
            <w:r>
              <w:rPr>
                <w:rFonts w:hint="eastAsia"/>
                <w:lang w:val="en-US" w:eastAsia="zh-CN"/>
              </w:rPr>
              <w:t>缓存</w:t>
            </w:r>
            <w:r>
              <w:rPr>
                <w:rFonts w:hint="default"/>
                <w:lang w:val="en-US" w:eastAsia="zh-CN"/>
              </w:rPr>
              <w:t>48MB,TDP240W</w:t>
            </w:r>
            <w:r>
              <w:rPr>
                <w:rFonts w:hint="eastAsia"/>
                <w:lang w:val="en-US" w:eastAsia="zh-CN"/>
              </w:rPr>
              <w:t>，支持内存</w:t>
            </w:r>
            <w:r>
              <w:rPr>
                <w:rFonts w:hint="default"/>
                <w:lang w:val="en-US" w:eastAsia="zh-CN"/>
              </w:rPr>
              <w:t>DDR4-3200,UPI</w:t>
            </w:r>
            <w:r>
              <w:rPr>
                <w:rFonts w:hint="eastAsia"/>
                <w:lang w:val="en-US" w:eastAsia="zh-CN"/>
              </w:rPr>
              <w:t>链接数</w:t>
            </w:r>
            <w:r>
              <w:rPr>
                <w:rFonts w:hint="default"/>
                <w:lang w:val="en-US" w:eastAsia="zh-CN"/>
              </w:rPr>
              <w:t>3</w:t>
            </w:r>
          </w:p>
        </w:tc>
        <w:tc>
          <w:tcPr>
            <w:tcW w:w="0" w:type="auto"/>
            <w:vMerge w:val="continue"/>
            <w:tcBorders>
              <w:left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x86</w:t>
            </w:r>
            <w:r>
              <w:rPr>
                <w:rFonts w:hint="eastAsia"/>
                <w:lang w:val="en-US" w:eastAsia="zh-CN"/>
              </w:rPr>
              <w:t>处理器，内核数</w:t>
            </w:r>
            <w:r>
              <w:rPr>
                <w:rFonts w:hint="default"/>
                <w:lang w:val="en-US" w:eastAsia="zh-CN"/>
              </w:rPr>
              <w:t>18</w:t>
            </w:r>
            <w:r>
              <w:rPr>
                <w:rFonts w:hint="eastAsia"/>
                <w:lang w:val="en-US" w:eastAsia="zh-CN"/>
              </w:rPr>
              <w:t>核，主频</w:t>
            </w:r>
            <w:r>
              <w:rPr>
                <w:rFonts w:hint="default"/>
                <w:lang w:val="en-US" w:eastAsia="zh-CN"/>
              </w:rPr>
              <w:t>2.5GHz,L3</w:t>
            </w:r>
            <w:r>
              <w:rPr>
                <w:rFonts w:hint="eastAsia"/>
                <w:lang w:val="en-US" w:eastAsia="zh-CN"/>
              </w:rPr>
              <w:t>缓存</w:t>
            </w:r>
            <w:r>
              <w:rPr>
                <w:rFonts w:hint="default"/>
                <w:lang w:val="en-US" w:eastAsia="zh-CN"/>
              </w:rPr>
              <w:t>24MB,TDP150W</w:t>
            </w:r>
            <w:r>
              <w:rPr>
                <w:rFonts w:hint="eastAsia"/>
                <w:lang w:val="en-US" w:eastAsia="zh-CN"/>
              </w:rPr>
              <w:t>，支持内存</w:t>
            </w:r>
            <w:r>
              <w:rPr>
                <w:rFonts w:hint="default"/>
                <w:lang w:val="en-US" w:eastAsia="zh-CN"/>
              </w:rPr>
              <w:t>DDR4-2667,UPI</w:t>
            </w:r>
            <w:r>
              <w:rPr>
                <w:rFonts w:hint="eastAsia"/>
                <w:lang w:val="en-US" w:eastAsia="zh-CN"/>
              </w:rPr>
              <w:t>链接数</w:t>
            </w:r>
            <w:r>
              <w:rPr>
                <w:rFonts w:hint="default"/>
                <w:lang w:val="en-US" w:eastAsia="zh-CN"/>
              </w:rPr>
              <w:t>6</w:t>
            </w:r>
          </w:p>
        </w:tc>
        <w:tc>
          <w:tcPr>
            <w:tcW w:w="0" w:type="auto"/>
            <w:vMerge w:val="continue"/>
            <w:tcBorders>
              <w:left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x86</w:t>
            </w:r>
            <w:r>
              <w:rPr>
                <w:rFonts w:hint="eastAsia"/>
                <w:lang w:val="en-US" w:eastAsia="zh-CN"/>
              </w:rPr>
              <w:t>处理器，内核数</w:t>
            </w:r>
            <w:r>
              <w:rPr>
                <w:rFonts w:hint="default"/>
                <w:lang w:val="en-US" w:eastAsia="zh-CN"/>
              </w:rPr>
              <w:t>48</w:t>
            </w:r>
            <w:r>
              <w:rPr>
                <w:rFonts w:hint="eastAsia"/>
                <w:lang w:val="en-US" w:eastAsia="zh-CN"/>
              </w:rPr>
              <w:t>核，主频</w:t>
            </w:r>
            <w:r>
              <w:rPr>
                <w:rFonts w:hint="default"/>
                <w:lang w:val="en-US" w:eastAsia="zh-CN"/>
              </w:rPr>
              <w:t>2.1GHz,L3</w:t>
            </w:r>
            <w:r>
              <w:rPr>
                <w:rFonts w:hint="eastAsia"/>
                <w:lang w:val="en-US" w:eastAsia="zh-CN"/>
              </w:rPr>
              <w:t>缓存</w:t>
            </w:r>
            <w:r>
              <w:rPr>
                <w:rFonts w:hint="default"/>
                <w:lang w:val="en-US" w:eastAsia="zh-CN"/>
              </w:rPr>
              <w:t>105MB,TDP330W</w:t>
            </w:r>
            <w:r>
              <w:rPr>
                <w:rFonts w:hint="eastAsia"/>
                <w:lang w:val="en-US" w:eastAsia="zh-CN"/>
              </w:rPr>
              <w:t>，支持内存</w:t>
            </w:r>
            <w:r>
              <w:rPr>
                <w:rFonts w:hint="default"/>
                <w:lang w:val="en-US" w:eastAsia="zh-CN"/>
              </w:rPr>
              <w:t>DDR5-4800,UPI</w:t>
            </w:r>
            <w:r>
              <w:rPr>
                <w:rFonts w:hint="eastAsia"/>
                <w:lang w:val="en-US" w:eastAsia="zh-CN"/>
              </w:rPr>
              <w:t>链接数</w:t>
            </w:r>
            <w:r>
              <w:rPr>
                <w:rFonts w:hint="default"/>
                <w:lang w:val="en-US" w:eastAsia="zh-CN"/>
              </w:rPr>
              <w:t>4</w:t>
            </w:r>
          </w:p>
        </w:tc>
        <w:tc>
          <w:tcPr>
            <w:tcW w:w="0" w:type="auto"/>
            <w:vMerge w:val="continue"/>
            <w:tcBorders>
              <w:left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eastAsia"/>
              </w:rPr>
              <w:t>x86处理器</w:t>
            </w:r>
            <w:r>
              <w:rPr>
                <w:rFonts w:hint="eastAsia"/>
                <w:lang w:eastAsia="zh-CN"/>
              </w:rPr>
              <w:t>，</w:t>
            </w:r>
            <w:r>
              <w:rPr>
                <w:rFonts w:hint="eastAsia"/>
              </w:rPr>
              <w:t>内核数8核</w:t>
            </w:r>
            <w:r>
              <w:rPr>
                <w:rFonts w:hint="eastAsia"/>
                <w:lang w:eastAsia="zh-CN"/>
              </w:rPr>
              <w:t>，</w:t>
            </w:r>
            <w:r>
              <w:rPr>
                <w:rFonts w:hint="eastAsia"/>
              </w:rPr>
              <w:t>主频3.2GHz,L3缓存22.5MB,TDP165W</w:t>
            </w:r>
            <w:r>
              <w:rPr>
                <w:rFonts w:hint="eastAsia"/>
                <w:lang w:eastAsia="zh-CN"/>
              </w:rPr>
              <w:t>，</w:t>
            </w:r>
            <w:r>
              <w:rPr>
                <w:rFonts w:hint="eastAsia"/>
              </w:rPr>
              <w:t>支持内存DDR5-5600,UPI链接数3</w:t>
            </w:r>
          </w:p>
        </w:tc>
        <w:tc>
          <w:tcPr>
            <w:tcW w:w="0" w:type="auto"/>
            <w:vMerge w:val="continue"/>
            <w:tcBorders>
              <w:left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eastAsia"/>
              </w:rPr>
              <w:t>x86处理器</w:t>
            </w:r>
            <w:r>
              <w:rPr>
                <w:rFonts w:hint="eastAsia"/>
                <w:lang w:eastAsia="zh-CN"/>
              </w:rPr>
              <w:t>，</w:t>
            </w:r>
            <w:r>
              <w:rPr>
                <w:rFonts w:hint="eastAsia"/>
              </w:rPr>
              <w:t>内核数28核</w:t>
            </w:r>
            <w:r>
              <w:rPr>
                <w:rFonts w:hint="eastAsia"/>
                <w:lang w:eastAsia="zh-CN"/>
              </w:rPr>
              <w:t>，</w:t>
            </w:r>
            <w:r>
              <w:rPr>
                <w:rFonts w:hint="eastAsia"/>
              </w:rPr>
              <w:t>主频2.2GHz,L3缓存52.5MB,TDP205W</w:t>
            </w:r>
            <w:r>
              <w:rPr>
                <w:rFonts w:hint="eastAsia"/>
                <w:lang w:eastAsia="zh-CN"/>
              </w:rPr>
              <w:t>，</w:t>
            </w:r>
            <w:r>
              <w:rPr>
                <w:rFonts w:hint="eastAsia"/>
              </w:rPr>
              <w:t>支持内存DDR5-5600,UPI链接数3</w:t>
            </w:r>
          </w:p>
        </w:tc>
        <w:tc>
          <w:tcPr>
            <w:tcW w:w="0" w:type="auto"/>
            <w:vMerge w:val="continue"/>
            <w:tcBorders>
              <w:left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eastAsia"/>
              </w:rPr>
              <w:t>x86处理器</w:t>
            </w:r>
            <w:r>
              <w:rPr>
                <w:rFonts w:hint="eastAsia"/>
                <w:lang w:eastAsia="zh-CN"/>
              </w:rPr>
              <w:t>，</w:t>
            </w:r>
            <w:r>
              <w:rPr>
                <w:rFonts w:hint="eastAsia"/>
              </w:rPr>
              <w:t>内核数16核</w:t>
            </w:r>
            <w:r>
              <w:rPr>
                <w:rFonts w:hint="eastAsia"/>
                <w:lang w:eastAsia="zh-CN"/>
              </w:rPr>
              <w:t>，</w:t>
            </w:r>
            <w:r>
              <w:rPr>
                <w:rFonts w:hint="eastAsia"/>
              </w:rPr>
              <w:t>主频2.8GHz,L3缓存37.5MB,TDP195W</w:t>
            </w:r>
            <w:r>
              <w:rPr>
                <w:rFonts w:hint="eastAsia"/>
                <w:lang w:eastAsia="zh-CN"/>
              </w:rPr>
              <w:t>，</w:t>
            </w:r>
            <w:r>
              <w:rPr>
                <w:rFonts w:hint="eastAsia"/>
              </w:rPr>
              <w:t>支持内存DDR5-5600,UPI链接数3</w:t>
            </w:r>
          </w:p>
        </w:tc>
        <w:tc>
          <w:tcPr>
            <w:tcW w:w="0" w:type="auto"/>
            <w:vMerge w:val="continue"/>
            <w:tcBorders>
              <w:left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eastAsia"/>
              </w:rPr>
              <w:t>x86处理器</w:t>
            </w:r>
            <w:r>
              <w:rPr>
                <w:rFonts w:hint="eastAsia"/>
                <w:lang w:eastAsia="zh-CN"/>
              </w:rPr>
              <w:t>，</w:t>
            </w:r>
            <w:r>
              <w:rPr>
                <w:rFonts w:hint="eastAsia"/>
              </w:rPr>
              <w:t>内核数24核</w:t>
            </w:r>
            <w:r>
              <w:rPr>
                <w:rFonts w:hint="eastAsia"/>
                <w:lang w:eastAsia="zh-CN"/>
              </w:rPr>
              <w:t>，</w:t>
            </w:r>
            <w:r>
              <w:rPr>
                <w:rFonts w:hint="eastAsia"/>
              </w:rPr>
              <w:t>主频2.9GHz,L3缓存60MB,TDP250W</w:t>
            </w:r>
            <w:r>
              <w:rPr>
                <w:rFonts w:hint="eastAsia"/>
                <w:lang w:eastAsia="zh-CN"/>
              </w:rPr>
              <w:t>，</w:t>
            </w:r>
            <w:r>
              <w:rPr>
                <w:rFonts w:hint="eastAsia"/>
              </w:rPr>
              <w:t>支持内存DDR5-5600,UPI链接数3</w:t>
            </w:r>
          </w:p>
        </w:tc>
        <w:tc>
          <w:tcPr>
            <w:tcW w:w="0" w:type="auto"/>
            <w:vMerge w:val="continue"/>
            <w:tcBorders>
              <w:left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eastAsia"/>
              </w:rPr>
              <w:t>x86处理器</w:t>
            </w:r>
            <w:r>
              <w:rPr>
                <w:rFonts w:hint="eastAsia"/>
                <w:lang w:eastAsia="zh-CN"/>
              </w:rPr>
              <w:t>，</w:t>
            </w:r>
            <w:r>
              <w:rPr>
                <w:rFonts w:hint="eastAsia"/>
              </w:rPr>
              <w:t>内核数16核</w:t>
            </w:r>
            <w:r>
              <w:rPr>
                <w:rFonts w:hint="eastAsia"/>
                <w:lang w:eastAsia="zh-CN"/>
              </w:rPr>
              <w:t>，</w:t>
            </w:r>
            <w:r>
              <w:rPr>
                <w:rFonts w:hint="eastAsia"/>
              </w:rPr>
              <w:t>主频3.6GHz,L3缓存45MB,TDP270W</w:t>
            </w:r>
            <w:r>
              <w:rPr>
                <w:rFonts w:hint="eastAsia"/>
                <w:lang w:eastAsia="zh-CN"/>
              </w:rPr>
              <w:t>，</w:t>
            </w:r>
            <w:r>
              <w:rPr>
                <w:rFonts w:hint="eastAsia"/>
              </w:rPr>
              <w:t>支持内存DDR5-5600,UPI链接数3</w:t>
            </w:r>
          </w:p>
        </w:tc>
        <w:tc>
          <w:tcPr>
            <w:tcW w:w="0" w:type="auto"/>
            <w:vMerge w:val="continue"/>
            <w:tcBorders>
              <w:left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eastAsia"/>
              </w:rPr>
              <w:t>x86处理器</w:t>
            </w:r>
            <w:r>
              <w:rPr>
                <w:rFonts w:hint="eastAsia"/>
                <w:lang w:eastAsia="zh-CN"/>
              </w:rPr>
              <w:t>，</w:t>
            </w:r>
            <w:r>
              <w:rPr>
                <w:rFonts w:hint="eastAsia"/>
              </w:rPr>
              <w:t>内核数32核</w:t>
            </w:r>
            <w:r>
              <w:rPr>
                <w:rFonts w:hint="eastAsia"/>
                <w:lang w:eastAsia="zh-CN"/>
              </w:rPr>
              <w:t>，</w:t>
            </w:r>
            <w:r>
              <w:rPr>
                <w:rFonts w:hint="eastAsia"/>
              </w:rPr>
              <w:t>主频2.1GHz,L3缓存160MB,TDP270W</w:t>
            </w:r>
            <w:r>
              <w:rPr>
                <w:rFonts w:hint="eastAsia"/>
                <w:lang w:eastAsia="zh-CN"/>
              </w:rPr>
              <w:t>，</w:t>
            </w:r>
            <w:r>
              <w:rPr>
                <w:rFonts w:hint="eastAsia"/>
              </w:rPr>
              <w:t>支持内存DDR5-5600,UPI链接数3</w:t>
            </w:r>
          </w:p>
        </w:tc>
        <w:tc>
          <w:tcPr>
            <w:tcW w:w="0" w:type="auto"/>
            <w:vMerge w:val="continue"/>
            <w:tcBorders>
              <w:left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eastAsia"/>
              </w:rPr>
              <w:t>x86处理器</w:t>
            </w:r>
            <w:r>
              <w:rPr>
                <w:rFonts w:hint="eastAsia"/>
                <w:lang w:eastAsia="zh-CN"/>
              </w:rPr>
              <w:t>，</w:t>
            </w:r>
            <w:r>
              <w:rPr>
                <w:rFonts w:hint="eastAsia"/>
              </w:rPr>
              <w:t>内核数32核</w:t>
            </w:r>
            <w:r>
              <w:rPr>
                <w:rFonts w:hint="eastAsia"/>
                <w:lang w:eastAsia="zh-CN"/>
              </w:rPr>
              <w:t>，</w:t>
            </w:r>
            <w:r>
              <w:rPr>
                <w:rFonts w:hint="eastAsia"/>
              </w:rPr>
              <w:t>主频2.8GHz,L3缓存60MB,TDP300W</w:t>
            </w:r>
            <w:r>
              <w:rPr>
                <w:rFonts w:hint="eastAsia"/>
                <w:lang w:eastAsia="zh-CN"/>
              </w:rPr>
              <w:t>，</w:t>
            </w:r>
            <w:r>
              <w:rPr>
                <w:rFonts w:hint="eastAsia"/>
              </w:rPr>
              <w:t>支持内存DDR5-5600,UPI链接数3</w:t>
            </w:r>
          </w:p>
        </w:tc>
        <w:tc>
          <w:tcPr>
            <w:tcW w:w="0" w:type="auto"/>
            <w:vMerge w:val="continue"/>
            <w:tcBorders>
              <w:left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eastAsia"/>
              </w:rPr>
              <w:t>x86处理器</w:t>
            </w:r>
            <w:r>
              <w:rPr>
                <w:rFonts w:hint="eastAsia"/>
                <w:lang w:eastAsia="zh-CN"/>
              </w:rPr>
              <w:t>，</w:t>
            </w:r>
            <w:r>
              <w:rPr>
                <w:rFonts w:hint="eastAsia"/>
              </w:rPr>
              <w:t>内核数64核</w:t>
            </w:r>
            <w:r>
              <w:rPr>
                <w:rFonts w:hint="eastAsia"/>
                <w:lang w:eastAsia="zh-CN"/>
              </w:rPr>
              <w:t>，</w:t>
            </w:r>
            <w:r>
              <w:rPr>
                <w:rFonts w:hint="eastAsia"/>
              </w:rPr>
              <w:t>主频1.9GHz,L3缓存320MB,TDP350W</w:t>
            </w:r>
            <w:r>
              <w:rPr>
                <w:rFonts w:hint="eastAsia"/>
                <w:lang w:eastAsia="zh-CN"/>
              </w:rPr>
              <w:t>，</w:t>
            </w:r>
            <w:r>
              <w:rPr>
                <w:rFonts w:hint="eastAsia"/>
              </w:rPr>
              <w:t>支持内存DDR5-5600,UPI链接数4</w:t>
            </w:r>
          </w:p>
        </w:tc>
        <w:tc>
          <w:tcPr>
            <w:tcW w:w="0" w:type="auto"/>
            <w:vMerge w:val="continue"/>
            <w:tcBorders>
              <w:left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x86</w:t>
            </w:r>
            <w:r>
              <w:rPr>
                <w:rFonts w:hint="eastAsia"/>
                <w:lang w:val="en-US" w:eastAsia="zh-CN"/>
              </w:rPr>
              <w:t>处理器，内核数</w:t>
            </w:r>
            <w:r>
              <w:rPr>
                <w:rFonts w:hint="default"/>
                <w:lang w:val="en-US" w:eastAsia="zh-CN"/>
              </w:rPr>
              <w:t>24</w:t>
            </w:r>
            <w:r>
              <w:rPr>
                <w:rFonts w:hint="eastAsia"/>
                <w:lang w:val="en-US" w:eastAsia="zh-CN"/>
              </w:rPr>
              <w:t>核，主频</w:t>
            </w:r>
            <w:r>
              <w:rPr>
                <w:rFonts w:hint="default"/>
                <w:lang w:val="en-US" w:eastAsia="zh-CN"/>
              </w:rPr>
              <w:t>2.65GHz,L3</w:t>
            </w:r>
            <w:r>
              <w:rPr>
                <w:rFonts w:hint="eastAsia"/>
                <w:lang w:val="en-US" w:eastAsia="zh-CN"/>
              </w:rPr>
              <w:t>缓存</w:t>
            </w:r>
            <w:r>
              <w:rPr>
                <w:rFonts w:hint="default"/>
                <w:lang w:val="en-US" w:eastAsia="zh-CN"/>
              </w:rPr>
              <w:t>128MB,TDP180W</w:t>
            </w:r>
            <w:r>
              <w:rPr>
                <w:rFonts w:hint="eastAsia"/>
                <w:lang w:val="en-US" w:eastAsia="zh-CN"/>
              </w:rPr>
              <w:t>，支持内存</w:t>
            </w:r>
            <w:r>
              <w:rPr>
                <w:rFonts w:hint="default"/>
                <w:lang w:val="en-US" w:eastAsia="zh-CN"/>
              </w:rPr>
              <w:t>DDR4-3200</w:t>
            </w:r>
          </w:p>
        </w:tc>
        <w:tc>
          <w:tcPr>
            <w:tcW w:w="0" w:type="auto"/>
            <w:vMerge w:val="continue"/>
            <w:tcBorders>
              <w:left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x86</w:t>
            </w:r>
            <w:r>
              <w:rPr>
                <w:rFonts w:hint="eastAsia"/>
                <w:lang w:val="en-US" w:eastAsia="zh-CN"/>
              </w:rPr>
              <w:t>处理器，内核数</w:t>
            </w:r>
            <w:r>
              <w:rPr>
                <w:rFonts w:hint="default"/>
                <w:lang w:val="en-US" w:eastAsia="zh-CN"/>
              </w:rPr>
              <w:t>48</w:t>
            </w:r>
            <w:r>
              <w:rPr>
                <w:rFonts w:hint="eastAsia"/>
                <w:lang w:val="en-US" w:eastAsia="zh-CN"/>
              </w:rPr>
              <w:t>核，主频</w:t>
            </w:r>
            <w:r>
              <w:rPr>
                <w:rFonts w:hint="default"/>
                <w:lang w:val="en-US" w:eastAsia="zh-CN"/>
              </w:rPr>
              <w:t>2.75GHz,L3</w:t>
            </w:r>
            <w:r>
              <w:rPr>
                <w:rFonts w:hint="eastAsia"/>
                <w:lang w:val="en-US" w:eastAsia="zh-CN"/>
              </w:rPr>
              <w:t>缓存</w:t>
            </w:r>
            <w:r>
              <w:rPr>
                <w:rFonts w:hint="default"/>
                <w:lang w:val="en-US" w:eastAsia="zh-CN"/>
              </w:rPr>
              <w:t>256MB,TDP290W</w:t>
            </w:r>
            <w:r>
              <w:rPr>
                <w:rFonts w:hint="eastAsia"/>
                <w:lang w:val="en-US" w:eastAsia="zh-CN"/>
              </w:rPr>
              <w:t>，支持内存</w:t>
            </w:r>
            <w:r>
              <w:rPr>
                <w:rFonts w:hint="default"/>
                <w:lang w:val="en-US" w:eastAsia="zh-CN"/>
              </w:rPr>
              <w:t>DDR5-4800</w:t>
            </w:r>
          </w:p>
        </w:tc>
        <w:tc>
          <w:tcPr>
            <w:tcW w:w="0" w:type="auto"/>
            <w:vMerge w:val="continue"/>
            <w:tcBorders>
              <w:left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x86</w:t>
            </w:r>
            <w:r>
              <w:rPr>
                <w:rFonts w:hint="eastAsia"/>
                <w:lang w:val="en-US" w:eastAsia="zh-CN"/>
              </w:rPr>
              <w:t>处理器，内核数</w:t>
            </w:r>
            <w:r>
              <w:rPr>
                <w:rFonts w:hint="default"/>
                <w:lang w:val="en-US" w:eastAsia="zh-CN"/>
              </w:rPr>
              <w:t>64</w:t>
            </w:r>
            <w:r>
              <w:rPr>
                <w:rFonts w:hint="eastAsia"/>
                <w:lang w:val="en-US" w:eastAsia="zh-CN"/>
              </w:rPr>
              <w:t>核，主频</w:t>
            </w:r>
            <w:r>
              <w:rPr>
                <w:rFonts w:hint="default"/>
                <w:lang w:val="en-US" w:eastAsia="zh-CN"/>
              </w:rPr>
              <w:t>2.45GHz,L3</w:t>
            </w:r>
            <w:r>
              <w:rPr>
                <w:rFonts w:hint="eastAsia"/>
                <w:lang w:val="en-US" w:eastAsia="zh-CN"/>
              </w:rPr>
              <w:t>缓存</w:t>
            </w:r>
            <w:r>
              <w:rPr>
                <w:rFonts w:hint="default"/>
                <w:lang w:val="en-US" w:eastAsia="zh-CN"/>
              </w:rPr>
              <w:t>256MB,TDP280W</w:t>
            </w:r>
            <w:r>
              <w:rPr>
                <w:rFonts w:hint="eastAsia"/>
                <w:lang w:val="en-US" w:eastAsia="zh-CN"/>
              </w:rPr>
              <w:t>，支持内存</w:t>
            </w:r>
            <w:r>
              <w:rPr>
                <w:rFonts w:hint="default"/>
                <w:lang w:val="en-US" w:eastAsia="zh-CN"/>
              </w:rPr>
              <w:t>DDR5-4800</w:t>
            </w:r>
          </w:p>
        </w:tc>
        <w:tc>
          <w:tcPr>
            <w:tcW w:w="0" w:type="auto"/>
            <w:vMerge w:val="continue"/>
            <w:tcBorders>
              <w:left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jc w:val="center"/>
        </w:trPr>
        <w:tc>
          <w:tcPr>
            <w:tcW w:w="0" w:type="auto"/>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x86处理器</w:t>
            </w:r>
            <w:r>
              <w:rPr>
                <w:rFonts w:hint="eastAsia"/>
                <w:lang w:val="en-US" w:eastAsia="zh-CN"/>
              </w:rPr>
              <w:t>，</w:t>
            </w:r>
            <w:r>
              <w:rPr>
                <w:rFonts w:hint="default"/>
                <w:lang w:val="en-US" w:eastAsia="zh-CN"/>
              </w:rPr>
              <w:t>内核数96核</w:t>
            </w:r>
            <w:r>
              <w:rPr>
                <w:rFonts w:hint="eastAsia"/>
                <w:lang w:val="en-US" w:eastAsia="zh-CN"/>
              </w:rPr>
              <w:t>，</w:t>
            </w:r>
            <w:r>
              <w:rPr>
                <w:rFonts w:hint="default"/>
                <w:lang w:val="en-US" w:eastAsia="zh-CN"/>
              </w:rPr>
              <w:t>主频2.4GHz,L3缓存384MB,TDP360W</w:t>
            </w:r>
            <w:r>
              <w:rPr>
                <w:rFonts w:hint="eastAsia"/>
                <w:lang w:val="en-US" w:eastAsia="zh-CN"/>
              </w:rPr>
              <w:t>，</w:t>
            </w:r>
            <w:r>
              <w:rPr>
                <w:rFonts w:hint="default"/>
                <w:lang w:val="en-US" w:eastAsia="zh-CN"/>
              </w:rPr>
              <w:t>支持内存DDR5-4800</w:t>
            </w:r>
          </w:p>
        </w:tc>
        <w:tc>
          <w:tcPr>
            <w:tcW w:w="0" w:type="auto"/>
            <w:vMerge w:val="continue"/>
            <w:tcBorders>
              <w:left w:val="single" w:color="auto" w:sz="4" w:space="0"/>
              <w:bottom w:val="single" w:color="000000"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default"/>
                <w:lang w:val="en-US" w:eastAsia="zh-CN"/>
              </w:rPr>
              <w:t>GPU</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PCIe</w:t>
            </w:r>
            <w:r>
              <w:rPr>
                <w:rFonts w:hint="eastAsia"/>
                <w:lang w:val="en-US" w:eastAsia="zh-CN"/>
              </w:rPr>
              <w:t>接口，显存</w:t>
            </w:r>
            <w:r>
              <w:rPr>
                <w:rFonts w:hint="default"/>
                <w:lang w:val="en-US" w:eastAsia="zh-CN"/>
              </w:rPr>
              <w:t>≥16GB,Tensor</w:t>
            </w:r>
            <w:r>
              <w:rPr>
                <w:rFonts w:hint="eastAsia"/>
                <w:lang w:val="en-US" w:eastAsia="zh-CN"/>
              </w:rPr>
              <w:t>核</w:t>
            </w:r>
            <w:r>
              <w:rPr>
                <w:rFonts w:hint="default"/>
                <w:lang w:val="en-US" w:eastAsia="zh-CN"/>
              </w:rPr>
              <w:t>≥320</w:t>
            </w:r>
            <w:r>
              <w:rPr>
                <w:rFonts w:hint="eastAsia"/>
                <w:lang w:val="en-US" w:eastAsia="zh-CN"/>
              </w:rPr>
              <w:t>个，</w:t>
            </w:r>
            <w:r>
              <w:rPr>
                <w:rFonts w:hint="default"/>
                <w:lang w:val="en-US" w:eastAsia="zh-CN"/>
              </w:rPr>
              <w:t>FP32≥8</w:t>
            </w:r>
            <w:r>
              <w:rPr>
                <w:rFonts w:hint="eastAsia"/>
                <w:lang w:val="en-US" w:eastAsia="zh-CN"/>
              </w:rPr>
              <w:t>.</w:t>
            </w:r>
            <w:r>
              <w:rPr>
                <w:rFonts w:hint="default"/>
                <w:lang w:val="en-US" w:eastAsia="zh-CN"/>
              </w:rPr>
              <w:t>1</w:t>
            </w:r>
            <w:r>
              <w:rPr>
                <w:rFonts w:hint="eastAsia"/>
                <w:lang w:val="en-US" w:eastAsia="zh-CN"/>
              </w:rPr>
              <w:t xml:space="preserve"> </w:t>
            </w:r>
            <w:r>
              <w:rPr>
                <w:rFonts w:hint="default"/>
                <w:lang w:val="en-US" w:eastAsia="zh-CN"/>
              </w:rPr>
              <w:t>TFLOPS,</w:t>
            </w:r>
          </w:p>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INT8≥130</w:t>
            </w:r>
            <w:r>
              <w:rPr>
                <w:rFonts w:hint="eastAsia"/>
                <w:lang w:val="en-US" w:eastAsia="zh-CN"/>
              </w:rPr>
              <w:t xml:space="preserve"> </w:t>
            </w:r>
            <w:r>
              <w:rPr>
                <w:rFonts w:hint="default"/>
                <w:lang w:val="en-US" w:eastAsia="zh-CN"/>
              </w:rPr>
              <w:t>TOPS,TDP≤70W</w:t>
            </w:r>
          </w:p>
        </w:tc>
        <w:tc>
          <w:tcPr>
            <w:tcW w:w="0" w:type="auto"/>
            <w:vMerge w:val="restart"/>
            <w:tcBorders>
              <w:top w:val="single" w:color="000000" w:sz="4" w:space="0"/>
              <w:left w:val="single" w:color="000000"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200000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PCIe</w:t>
            </w:r>
            <w:r>
              <w:rPr>
                <w:rFonts w:hint="eastAsia"/>
                <w:lang w:val="en-US" w:eastAsia="zh-CN"/>
              </w:rPr>
              <w:t>接口，显存</w:t>
            </w:r>
            <w:r>
              <w:rPr>
                <w:rFonts w:hint="default"/>
                <w:lang w:val="en-US" w:eastAsia="zh-CN"/>
              </w:rPr>
              <w:t>≥16GB,TF32≥18</w:t>
            </w:r>
            <w:r>
              <w:rPr>
                <w:rFonts w:hint="eastAsia"/>
                <w:lang w:val="en-US" w:eastAsia="zh-CN"/>
              </w:rPr>
              <w:t xml:space="preserve"> </w:t>
            </w:r>
            <w:r>
              <w:rPr>
                <w:rFonts w:hint="default"/>
                <w:lang w:val="en-US" w:eastAsia="zh-CN"/>
              </w:rPr>
              <w:t>TFLOPS,FP32≥4.5</w:t>
            </w:r>
            <w:r>
              <w:rPr>
                <w:rFonts w:hint="eastAsia"/>
                <w:lang w:val="en-US" w:eastAsia="zh-CN"/>
              </w:rPr>
              <w:t xml:space="preserve"> </w:t>
            </w:r>
            <w:r>
              <w:rPr>
                <w:rFonts w:hint="default"/>
                <w:lang w:val="en-US" w:eastAsia="zh-CN"/>
              </w:rPr>
              <w:t>TFLOPS,</w:t>
            </w:r>
          </w:p>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RT</w:t>
            </w:r>
            <w:r>
              <w:rPr>
                <w:rFonts w:hint="eastAsia"/>
                <w:lang w:val="en-US" w:eastAsia="zh-CN"/>
              </w:rPr>
              <w:t>核</w:t>
            </w:r>
            <w:r>
              <w:rPr>
                <w:rFonts w:hint="default"/>
                <w:lang w:val="en-US" w:eastAsia="zh-CN"/>
              </w:rPr>
              <w:t>≥10</w:t>
            </w:r>
            <w:r>
              <w:rPr>
                <w:rFonts w:hint="eastAsia"/>
                <w:lang w:val="en-US" w:eastAsia="zh-CN"/>
              </w:rPr>
              <w:t>个，</w:t>
            </w:r>
            <w:r>
              <w:rPr>
                <w:rFonts w:hint="default"/>
                <w:lang w:val="en-US" w:eastAsia="zh-CN"/>
              </w:rPr>
              <w:t>TDP≤60W</w:t>
            </w:r>
          </w:p>
        </w:tc>
        <w:tc>
          <w:tcPr>
            <w:tcW w:w="0" w:type="auto"/>
            <w:vMerge w:val="continue"/>
            <w:tcBorders>
              <w:left w:val="single" w:color="000000"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PCIe</w:t>
            </w:r>
            <w:r>
              <w:rPr>
                <w:rFonts w:hint="eastAsia"/>
                <w:lang w:val="en-US" w:eastAsia="zh-CN"/>
              </w:rPr>
              <w:t>接口，显存</w:t>
            </w:r>
            <w:r>
              <w:rPr>
                <w:rFonts w:hint="default"/>
                <w:lang w:val="en-US" w:eastAsia="zh-CN"/>
              </w:rPr>
              <w:t>≥24GB,FP32≥31.2</w:t>
            </w:r>
            <w:r>
              <w:rPr>
                <w:rFonts w:hint="eastAsia"/>
                <w:lang w:val="en-US" w:eastAsia="zh-CN"/>
              </w:rPr>
              <w:t xml:space="preserve"> </w:t>
            </w:r>
            <w:r>
              <w:rPr>
                <w:rFonts w:hint="default"/>
                <w:lang w:val="en-US" w:eastAsia="zh-CN"/>
              </w:rPr>
              <w:t>TFLOPS,RT</w:t>
            </w:r>
            <w:r>
              <w:rPr>
                <w:rFonts w:hint="eastAsia"/>
                <w:lang w:val="en-US" w:eastAsia="zh-CN"/>
              </w:rPr>
              <w:t>核</w:t>
            </w:r>
            <w:r>
              <w:rPr>
                <w:rFonts w:hint="default"/>
                <w:lang w:val="en-US" w:eastAsia="zh-CN"/>
              </w:rPr>
              <w:t>≥72</w:t>
            </w:r>
            <w:r>
              <w:rPr>
                <w:rFonts w:hint="eastAsia"/>
                <w:lang w:val="en-US" w:eastAsia="zh-CN"/>
              </w:rPr>
              <w:t>个，</w:t>
            </w:r>
            <w:r>
              <w:rPr>
                <w:rFonts w:hint="default"/>
                <w:lang w:val="en-US" w:eastAsia="zh-CN"/>
              </w:rPr>
              <w:t>1</w:t>
            </w:r>
            <w:r>
              <w:rPr>
                <w:rFonts w:hint="eastAsia"/>
                <w:lang w:val="en-US" w:eastAsia="zh-CN"/>
              </w:rPr>
              <w:t>个编码器，</w:t>
            </w:r>
            <w:r>
              <w:rPr>
                <w:rFonts w:hint="default"/>
                <w:lang w:val="en-US" w:eastAsia="zh-CN"/>
              </w:rPr>
              <w:t>2</w:t>
            </w:r>
            <w:r>
              <w:rPr>
                <w:rFonts w:hint="eastAsia"/>
                <w:lang w:val="en-US" w:eastAsia="zh-CN"/>
              </w:rPr>
              <w:t>个解码器，</w:t>
            </w:r>
            <w:r>
              <w:rPr>
                <w:rFonts w:hint="default"/>
                <w:lang w:val="en-US" w:eastAsia="zh-CN"/>
              </w:rPr>
              <w:t>TDP≤150W</w:t>
            </w:r>
          </w:p>
        </w:tc>
        <w:tc>
          <w:tcPr>
            <w:tcW w:w="0" w:type="auto"/>
            <w:vMerge w:val="continue"/>
            <w:tcBorders>
              <w:left w:val="single" w:color="000000"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PCIe</w:t>
            </w:r>
            <w:r>
              <w:rPr>
                <w:rFonts w:hint="eastAsia"/>
                <w:lang w:val="en-US" w:eastAsia="zh-CN"/>
              </w:rPr>
              <w:t>接口，显存</w:t>
            </w:r>
            <w:r>
              <w:rPr>
                <w:rFonts w:hint="default"/>
                <w:lang w:val="en-US" w:eastAsia="zh-CN"/>
              </w:rPr>
              <w:t>≥64GB,FP32≥18</w:t>
            </w:r>
            <w:r>
              <w:rPr>
                <w:rFonts w:hint="eastAsia"/>
                <w:lang w:val="en-US" w:eastAsia="zh-CN"/>
              </w:rPr>
              <w:t xml:space="preserve"> </w:t>
            </w:r>
            <w:r>
              <w:rPr>
                <w:rFonts w:hint="default"/>
                <w:lang w:val="en-US" w:eastAsia="zh-CN"/>
              </w:rPr>
              <w:t>TFLOPS,TF32≥36</w:t>
            </w:r>
            <w:r>
              <w:rPr>
                <w:rFonts w:hint="eastAsia"/>
                <w:lang w:val="en-US" w:eastAsia="zh-CN"/>
              </w:rPr>
              <w:t xml:space="preserve"> </w:t>
            </w:r>
            <w:r>
              <w:rPr>
                <w:rFonts w:hint="default"/>
                <w:lang w:val="en-US" w:eastAsia="zh-CN"/>
              </w:rPr>
              <w:t>TFLOPS,</w:t>
            </w:r>
          </w:p>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INT8≥143.6</w:t>
            </w:r>
            <w:r>
              <w:rPr>
                <w:rFonts w:hint="eastAsia"/>
                <w:lang w:val="en-US" w:eastAsia="zh-CN"/>
              </w:rPr>
              <w:t xml:space="preserve"> </w:t>
            </w:r>
            <w:r>
              <w:rPr>
                <w:rFonts w:hint="default"/>
                <w:lang w:val="en-US" w:eastAsia="zh-CN"/>
              </w:rPr>
              <w:t>TOPS</w:t>
            </w:r>
            <w:r>
              <w:rPr>
                <w:rFonts w:hint="eastAsia"/>
                <w:lang w:val="en-US" w:eastAsia="zh-CN"/>
              </w:rPr>
              <w:t>，支持</w:t>
            </w:r>
            <w:r>
              <w:rPr>
                <w:rFonts w:hint="default"/>
                <w:lang w:val="en-US" w:eastAsia="zh-CN"/>
              </w:rPr>
              <w:t>GPU</w:t>
            </w:r>
            <w:r>
              <w:rPr>
                <w:rFonts w:hint="eastAsia"/>
                <w:lang w:val="en-US" w:eastAsia="zh-CN"/>
              </w:rPr>
              <w:t>虚拟化，</w:t>
            </w:r>
            <w:r>
              <w:rPr>
                <w:rFonts w:hint="default"/>
                <w:lang w:val="en-US" w:eastAsia="zh-CN"/>
              </w:rPr>
              <w:t>TDP≤250W</w:t>
            </w:r>
          </w:p>
        </w:tc>
        <w:tc>
          <w:tcPr>
            <w:tcW w:w="0" w:type="auto"/>
            <w:vMerge w:val="continue"/>
            <w:tcBorders>
              <w:left w:val="single" w:color="000000"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eastAsia"/>
              </w:rPr>
              <w:t>PCIe接口，显存≥24GB，TF32≥48.3 TFLOPS，FP32≥24.1 TFLOPS，FP16≥96.5 TFLOPS，INT8≥193 TFLOPS，TDP≤100W</w:t>
            </w:r>
          </w:p>
        </w:tc>
        <w:tc>
          <w:tcPr>
            <w:tcW w:w="0" w:type="auto"/>
            <w:vMerge w:val="continue"/>
            <w:tcBorders>
              <w:left w:val="single" w:color="000000"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eastAsia"/>
              </w:rPr>
              <w:t>PCIe接口，显存≥48GB，TF32≥59.8 TFLOPS，FP32≥59.8 TFLOPS，FP16≥119.5 TFLOPS，INT8≥239 TFLOPS，TDP≤275W</w:t>
            </w:r>
          </w:p>
        </w:tc>
        <w:tc>
          <w:tcPr>
            <w:tcW w:w="0" w:type="auto"/>
            <w:vMerge w:val="continue"/>
            <w:tcBorders>
              <w:left w:val="single" w:color="000000"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eastAsia"/>
              </w:rPr>
              <w:t>HGX接口，单卡显存≥96GB，FP64≥1 TFLOPS，TF32≥74 TFLOPS，FP32≥44 TFLOPS，FP16≥148 TFLOPS，INT8≥296 TFLOPS，TDP≤400W</w:t>
            </w:r>
          </w:p>
        </w:tc>
        <w:tc>
          <w:tcPr>
            <w:tcW w:w="0" w:type="auto"/>
            <w:vMerge w:val="continue"/>
            <w:tcBorders>
              <w:left w:val="single" w:color="000000" w:sz="4" w:space="0"/>
              <w:bottom w:val="single" w:color="000000"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0" w:type="auto"/>
            <w:vMerge w:val="restart"/>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3</w:t>
            </w:r>
          </w:p>
        </w:tc>
        <w:tc>
          <w:tcPr>
            <w:tcW w:w="0" w:type="auto"/>
            <w:vMerge w:val="restart"/>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内存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16GBRDIMM,DDR4,3200MHz</w:t>
            </w:r>
          </w:p>
        </w:tc>
        <w:tc>
          <w:tcPr>
            <w:tcW w:w="0" w:type="auto"/>
            <w:vMerge w:val="restart"/>
            <w:tcBorders>
              <w:top w:val="single" w:color="000000" w:sz="4" w:space="0"/>
              <w:left w:val="single" w:color="000000"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15000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32GBRDIMM,DDR4,3200MHz</w:t>
            </w:r>
          </w:p>
        </w:tc>
        <w:tc>
          <w:tcPr>
            <w:tcW w:w="0" w:type="auto"/>
            <w:vMerge w:val="continue"/>
            <w:tcBorders>
              <w:left w:val="single" w:color="000000"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64GBRDIMM,DDR4,3200MHz</w:t>
            </w:r>
          </w:p>
        </w:tc>
        <w:tc>
          <w:tcPr>
            <w:tcW w:w="0" w:type="auto"/>
            <w:vMerge w:val="continue"/>
            <w:tcBorders>
              <w:left w:val="single" w:color="000000"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16GRDIMM,DDR5,4800MHz</w:t>
            </w:r>
          </w:p>
        </w:tc>
        <w:tc>
          <w:tcPr>
            <w:tcW w:w="0" w:type="auto"/>
            <w:vMerge w:val="continue"/>
            <w:tcBorders>
              <w:left w:val="single" w:color="000000"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32GRDIMM,DDR5,4800MHz</w:t>
            </w:r>
          </w:p>
        </w:tc>
        <w:tc>
          <w:tcPr>
            <w:tcW w:w="0" w:type="auto"/>
            <w:vMerge w:val="continue"/>
            <w:tcBorders>
              <w:left w:val="single" w:color="000000"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64GRDIMM,DDR5,4800MHz</w:t>
            </w:r>
          </w:p>
        </w:tc>
        <w:tc>
          <w:tcPr>
            <w:tcW w:w="0" w:type="auto"/>
            <w:vMerge w:val="continue"/>
            <w:tcBorders>
              <w:left w:val="single" w:color="000000"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eastAsia"/>
              </w:rPr>
              <w:t>16GRDIMM,DDR5,5600MHz</w:t>
            </w:r>
          </w:p>
        </w:tc>
        <w:tc>
          <w:tcPr>
            <w:tcW w:w="0" w:type="auto"/>
            <w:vMerge w:val="continue"/>
            <w:tcBorders>
              <w:left w:val="single" w:color="000000"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eastAsia"/>
              </w:rPr>
              <w:t>32GRDIMM,DDR5,5600MHz</w:t>
            </w:r>
          </w:p>
        </w:tc>
        <w:tc>
          <w:tcPr>
            <w:tcW w:w="0" w:type="auto"/>
            <w:vMerge w:val="continue"/>
            <w:tcBorders>
              <w:left w:val="single" w:color="000000"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eastAsia"/>
              </w:rPr>
              <w:t>64GRDIMM,DDR5,5600MHz</w:t>
            </w:r>
          </w:p>
        </w:tc>
        <w:tc>
          <w:tcPr>
            <w:tcW w:w="0" w:type="auto"/>
            <w:vMerge w:val="continue"/>
            <w:tcBorders>
              <w:left w:val="single" w:color="000000" w:sz="4" w:space="0"/>
              <w:bottom w:val="single" w:color="000000"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4</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硬盘</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2.5</w:t>
            </w:r>
            <w:r>
              <w:rPr>
                <w:rFonts w:hint="eastAsia"/>
                <w:lang w:val="en-US" w:eastAsia="zh-CN"/>
              </w:rPr>
              <w:t>英寸</w:t>
            </w:r>
            <w:r>
              <w:rPr>
                <w:rFonts w:hint="default"/>
                <w:lang w:val="en-US" w:eastAsia="zh-CN"/>
              </w:rPr>
              <w:t>1.6TBNVMe</w:t>
            </w:r>
          </w:p>
        </w:tc>
        <w:tc>
          <w:tcPr>
            <w:tcW w:w="0" w:type="auto"/>
            <w:vMerge w:val="restart"/>
            <w:tcBorders>
              <w:top w:val="single" w:color="000000" w:sz="4" w:space="0"/>
              <w:left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25000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2.5</w:t>
            </w:r>
            <w:r>
              <w:rPr>
                <w:rFonts w:hint="eastAsia"/>
                <w:lang w:val="en-US" w:eastAsia="zh-CN"/>
              </w:rPr>
              <w:t>英寸</w:t>
            </w:r>
            <w:r>
              <w:rPr>
                <w:rFonts w:hint="default"/>
                <w:lang w:val="en-US" w:eastAsia="zh-CN"/>
              </w:rPr>
              <w:t>1.92TBNVMe</w:t>
            </w:r>
          </w:p>
        </w:tc>
        <w:tc>
          <w:tcPr>
            <w:tcW w:w="0" w:type="auto"/>
            <w:vMerge w:val="continue"/>
            <w:tcBorders>
              <w:left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2.5</w:t>
            </w:r>
            <w:r>
              <w:rPr>
                <w:rFonts w:hint="eastAsia"/>
                <w:lang w:val="en-US" w:eastAsia="zh-CN"/>
              </w:rPr>
              <w:t>英寸</w:t>
            </w:r>
            <w:r>
              <w:rPr>
                <w:rFonts w:hint="default"/>
                <w:lang w:val="en-US" w:eastAsia="zh-CN"/>
              </w:rPr>
              <w:t>3.84TBNVMe</w:t>
            </w:r>
          </w:p>
        </w:tc>
        <w:tc>
          <w:tcPr>
            <w:tcW w:w="0" w:type="auto"/>
            <w:vMerge w:val="continue"/>
            <w:tcBorders>
              <w:left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2.5</w:t>
            </w:r>
            <w:r>
              <w:rPr>
                <w:rFonts w:hint="eastAsia"/>
                <w:lang w:val="en-US" w:eastAsia="zh-CN"/>
              </w:rPr>
              <w:t>英寸</w:t>
            </w:r>
            <w:r>
              <w:rPr>
                <w:rFonts w:hint="default"/>
                <w:lang w:val="en-US" w:eastAsia="zh-CN"/>
              </w:rPr>
              <w:t>480GB</w:t>
            </w:r>
            <w:r>
              <w:rPr>
                <w:rFonts w:hint="eastAsia"/>
                <w:lang w:val="en-US" w:eastAsia="zh-CN"/>
              </w:rPr>
              <w:t>热插拔固态硬盘，读取密集型</w:t>
            </w:r>
          </w:p>
        </w:tc>
        <w:tc>
          <w:tcPr>
            <w:tcW w:w="0" w:type="auto"/>
            <w:vMerge w:val="continue"/>
            <w:tcBorders>
              <w:left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2.5</w:t>
            </w:r>
            <w:r>
              <w:rPr>
                <w:rFonts w:hint="eastAsia"/>
                <w:lang w:val="en-US" w:eastAsia="zh-CN"/>
              </w:rPr>
              <w:t>英寸</w:t>
            </w:r>
            <w:r>
              <w:rPr>
                <w:rFonts w:hint="default"/>
                <w:lang w:val="en-US" w:eastAsia="zh-CN"/>
              </w:rPr>
              <w:t>800GB</w:t>
            </w:r>
            <w:r>
              <w:rPr>
                <w:rFonts w:hint="eastAsia"/>
                <w:lang w:val="en-US" w:eastAsia="zh-CN"/>
              </w:rPr>
              <w:t>热插拔固态硬盘，混合使用</w:t>
            </w:r>
          </w:p>
        </w:tc>
        <w:tc>
          <w:tcPr>
            <w:tcW w:w="0" w:type="auto"/>
            <w:vMerge w:val="continue"/>
            <w:tcBorders>
              <w:left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2.5</w:t>
            </w:r>
            <w:r>
              <w:rPr>
                <w:rFonts w:hint="eastAsia"/>
                <w:lang w:val="en-US" w:eastAsia="zh-CN"/>
              </w:rPr>
              <w:t>英寸</w:t>
            </w:r>
            <w:r>
              <w:rPr>
                <w:rFonts w:hint="default"/>
                <w:lang w:val="en-US" w:eastAsia="zh-CN"/>
              </w:rPr>
              <w:t>960GB</w:t>
            </w:r>
            <w:r>
              <w:rPr>
                <w:rFonts w:hint="eastAsia"/>
                <w:lang w:val="en-US" w:eastAsia="zh-CN"/>
              </w:rPr>
              <w:t>热插拔固态硬盘，读取密集型</w:t>
            </w:r>
          </w:p>
        </w:tc>
        <w:tc>
          <w:tcPr>
            <w:tcW w:w="0" w:type="auto"/>
            <w:vMerge w:val="continue"/>
            <w:tcBorders>
              <w:left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0" w:type="auto"/>
            <w:vMerge w:val="continue"/>
            <w:tcBorders>
              <w:top w:val="single" w:color="auto" w:sz="4" w:space="0"/>
              <w:left w:val="single" w:color="auto"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top w:val="single" w:color="auto" w:sz="4" w:space="0"/>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2.5</w:t>
            </w:r>
            <w:r>
              <w:rPr>
                <w:rFonts w:hint="eastAsia"/>
                <w:lang w:val="en-US" w:eastAsia="zh-CN"/>
              </w:rPr>
              <w:t>英寸</w:t>
            </w:r>
            <w:r>
              <w:rPr>
                <w:rFonts w:hint="default"/>
                <w:lang w:val="en-US" w:eastAsia="zh-CN"/>
              </w:rPr>
              <w:t>1.6TB</w:t>
            </w:r>
            <w:r>
              <w:rPr>
                <w:rFonts w:hint="eastAsia"/>
                <w:lang w:val="en-US" w:eastAsia="zh-CN"/>
              </w:rPr>
              <w:t>热插拔固态硬盘，混合使用</w:t>
            </w:r>
          </w:p>
        </w:tc>
        <w:tc>
          <w:tcPr>
            <w:tcW w:w="0" w:type="auto"/>
            <w:vMerge w:val="continue"/>
            <w:tcBorders>
              <w:left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0" w:type="auto"/>
            <w:vMerge w:val="continue"/>
            <w:tcBorders>
              <w:left w:val="single" w:color="auto"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2.5</w:t>
            </w:r>
            <w:r>
              <w:rPr>
                <w:rFonts w:hint="eastAsia"/>
                <w:lang w:val="en-US" w:eastAsia="zh-CN"/>
              </w:rPr>
              <w:t>英寸</w:t>
            </w:r>
            <w:r>
              <w:rPr>
                <w:rFonts w:hint="default"/>
                <w:lang w:val="en-US" w:eastAsia="zh-CN"/>
              </w:rPr>
              <w:t>1.92TB</w:t>
            </w:r>
            <w:r>
              <w:rPr>
                <w:rFonts w:hint="eastAsia"/>
                <w:lang w:val="en-US" w:eastAsia="zh-CN"/>
              </w:rPr>
              <w:t>热插拔固态硬盘，读取密集型</w:t>
            </w:r>
          </w:p>
        </w:tc>
        <w:tc>
          <w:tcPr>
            <w:tcW w:w="0" w:type="auto"/>
            <w:vMerge w:val="continue"/>
            <w:tcBorders>
              <w:left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0" w:type="auto"/>
            <w:vMerge w:val="continue"/>
            <w:tcBorders>
              <w:left w:val="single" w:color="auto"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2.5</w:t>
            </w:r>
            <w:r>
              <w:rPr>
                <w:rFonts w:hint="eastAsia"/>
                <w:lang w:val="en-US" w:eastAsia="zh-CN"/>
              </w:rPr>
              <w:t>英寸</w:t>
            </w:r>
            <w:r>
              <w:rPr>
                <w:rFonts w:hint="default"/>
                <w:lang w:val="en-US" w:eastAsia="zh-CN"/>
              </w:rPr>
              <w:t>3.2TB</w:t>
            </w:r>
            <w:r>
              <w:rPr>
                <w:rFonts w:hint="eastAsia"/>
                <w:lang w:val="en-US" w:eastAsia="zh-CN"/>
              </w:rPr>
              <w:t>热插拔固态硬盘，混合使用</w:t>
            </w:r>
          </w:p>
        </w:tc>
        <w:tc>
          <w:tcPr>
            <w:tcW w:w="0" w:type="auto"/>
            <w:vMerge w:val="continue"/>
            <w:tcBorders>
              <w:left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0" w:type="auto"/>
            <w:vMerge w:val="continue"/>
            <w:tcBorders>
              <w:left w:val="single" w:color="auto"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2.5</w:t>
            </w:r>
            <w:r>
              <w:rPr>
                <w:rFonts w:hint="eastAsia"/>
                <w:lang w:val="en-US" w:eastAsia="zh-CN"/>
              </w:rPr>
              <w:t>英寸</w:t>
            </w:r>
            <w:r>
              <w:rPr>
                <w:rFonts w:hint="default"/>
                <w:lang w:val="en-US" w:eastAsia="zh-CN"/>
              </w:rPr>
              <w:t>3.84TB</w:t>
            </w:r>
            <w:r>
              <w:rPr>
                <w:rFonts w:hint="eastAsia"/>
                <w:lang w:val="en-US" w:eastAsia="zh-CN"/>
              </w:rPr>
              <w:t>热插拔固态硬盘，读取密集型</w:t>
            </w:r>
          </w:p>
        </w:tc>
        <w:tc>
          <w:tcPr>
            <w:tcW w:w="0" w:type="auto"/>
            <w:vMerge w:val="continue"/>
            <w:tcBorders>
              <w:left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0" w:type="auto"/>
            <w:vMerge w:val="continue"/>
            <w:tcBorders>
              <w:left w:val="single" w:color="auto"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2.5</w:t>
            </w:r>
            <w:r>
              <w:rPr>
                <w:rFonts w:hint="eastAsia"/>
                <w:lang w:val="en-US" w:eastAsia="zh-CN"/>
              </w:rPr>
              <w:t>英寸</w:t>
            </w:r>
            <w:r>
              <w:rPr>
                <w:rFonts w:hint="default"/>
                <w:lang w:val="en-US" w:eastAsia="zh-CN"/>
              </w:rPr>
              <w:t>600GB10KSAS</w:t>
            </w:r>
            <w:r>
              <w:rPr>
                <w:rFonts w:hint="eastAsia"/>
                <w:lang w:val="en-US" w:eastAsia="zh-CN"/>
              </w:rPr>
              <w:t>热插拔硬盘</w:t>
            </w:r>
          </w:p>
        </w:tc>
        <w:tc>
          <w:tcPr>
            <w:tcW w:w="0" w:type="auto"/>
            <w:vMerge w:val="continue"/>
            <w:tcBorders>
              <w:left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0" w:type="auto"/>
            <w:vMerge w:val="continue"/>
            <w:tcBorders>
              <w:left w:val="single" w:color="auto"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2.5</w:t>
            </w:r>
            <w:r>
              <w:rPr>
                <w:rFonts w:hint="eastAsia"/>
                <w:lang w:val="en-US" w:eastAsia="zh-CN"/>
              </w:rPr>
              <w:t>英寸</w:t>
            </w:r>
            <w:r>
              <w:rPr>
                <w:rFonts w:hint="default"/>
                <w:lang w:val="en-US" w:eastAsia="zh-CN"/>
              </w:rPr>
              <w:t>1.2TB10KSAS</w:t>
            </w:r>
            <w:r>
              <w:rPr>
                <w:rFonts w:hint="eastAsia"/>
                <w:lang w:val="en-US" w:eastAsia="zh-CN"/>
              </w:rPr>
              <w:t>热插拔硬盘</w:t>
            </w:r>
          </w:p>
        </w:tc>
        <w:tc>
          <w:tcPr>
            <w:tcW w:w="0" w:type="auto"/>
            <w:vMerge w:val="continue"/>
            <w:tcBorders>
              <w:left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0" w:type="auto"/>
            <w:vMerge w:val="continue"/>
            <w:tcBorders>
              <w:left w:val="single" w:color="auto"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2.5</w:t>
            </w:r>
            <w:r>
              <w:rPr>
                <w:rFonts w:hint="eastAsia"/>
                <w:lang w:val="en-US" w:eastAsia="zh-CN"/>
              </w:rPr>
              <w:t>英寸</w:t>
            </w:r>
            <w:r>
              <w:rPr>
                <w:rFonts w:hint="default"/>
                <w:lang w:val="en-US" w:eastAsia="zh-CN"/>
              </w:rPr>
              <w:t>2.4TB10KSAS</w:t>
            </w:r>
            <w:r>
              <w:rPr>
                <w:rFonts w:hint="eastAsia"/>
                <w:lang w:val="en-US" w:eastAsia="zh-CN"/>
              </w:rPr>
              <w:t>热插拔硬盘</w:t>
            </w:r>
          </w:p>
        </w:tc>
        <w:tc>
          <w:tcPr>
            <w:tcW w:w="0" w:type="auto"/>
            <w:vMerge w:val="continue"/>
            <w:tcBorders>
              <w:left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0" w:type="auto"/>
            <w:vMerge w:val="continue"/>
            <w:tcBorders>
              <w:left w:val="single" w:color="auto"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3.5</w:t>
            </w:r>
            <w:r>
              <w:rPr>
                <w:rFonts w:hint="eastAsia"/>
                <w:lang w:val="en-US" w:eastAsia="zh-CN"/>
              </w:rPr>
              <w:t>英寸</w:t>
            </w:r>
            <w:r>
              <w:rPr>
                <w:rFonts w:hint="default"/>
                <w:lang w:val="en-US" w:eastAsia="zh-CN"/>
              </w:rPr>
              <w:t>4TB7.2K</w:t>
            </w:r>
            <w:r>
              <w:rPr>
                <w:rFonts w:hint="eastAsia"/>
                <w:lang w:val="en-US" w:eastAsia="zh-CN"/>
              </w:rPr>
              <w:t>热插拔硬盘</w:t>
            </w:r>
          </w:p>
        </w:tc>
        <w:tc>
          <w:tcPr>
            <w:tcW w:w="0" w:type="auto"/>
            <w:vMerge w:val="continue"/>
            <w:tcBorders>
              <w:left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0" w:type="auto"/>
            <w:vMerge w:val="continue"/>
            <w:tcBorders>
              <w:left w:val="single" w:color="auto"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3.5</w:t>
            </w:r>
            <w:r>
              <w:rPr>
                <w:rFonts w:hint="eastAsia"/>
                <w:lang w:val="en-US" w:eastAsia="zh-CN"/>
              </w:rPr>
              <w:t>英寸</w:t>
            </w:r>
            <w:r>
              <w:rPr>
                <w:rFonts w:hint="default"/>
                <w:lang w:val="en-US" w:eastAsia="zh-CN"/>
              </w:rPr>
              <w:t>8TB7.2K</w:t>
            </w:r>
            <w:r>
              <w:rPr>
                <w:rFonts w:hint="eastAsia"/>
                <w:lang w:val="en-US" w:eastAsia="zh-CN"/>
              </w:rPr>
              <w:t>热插拔硬盘</w:t>
            </w:r>
          </w:p>
        </w:tc>
        <w:tc>
          <w:tcPr>
            <w:tcW w:w="0" w:type="auto"/>
            <w:vMerge w:val="continue"/>
            <w:tcBorders>
              <w:left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0" w:type="auto"/>
            <w:vMerge w:val="continue"/>
            <w:tcBorders>
              <w:left w:val="single" w:color="auto"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3.5</w:t>
            </w:r>
            <w:r>
              <w:rPr>
                <w:rFonts w:hint="eastAsia"/>
                <w:lang w:val="en-US" w:eastAsia="zh-CN"/>
              </w:rPr>
              <w:t>英寸</w:t>
            </w:r>
            <w:r>
              <w:rPr>
                <w:rFonts w:hint="default"/>
                <w:lang w:val="en-US" w:eastAsia="zh-CN"/>
              </w:rPr>
              <w:t>16TB7.2K</w:t>
            </w:r>
            <w:r>
              <w:rPr>
                <w:rFonts w:hint="eastAsia"/>
                <w:lang w:val="en-US" w:eastAsia="zh-CN"/>
              </w:rPr>
              <w:t>热插拔硬盘</w:t>
            </w:r>
          </w:p>
        </w:tc>
        <w:tc>
          <w:tcPr>
            <w:tcW w:w="0" w:type="auto"/>
            <w:vMerge w:val="continue"/>
            <w:tcBorders>
              <w:left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0" w:type="auto"/>
            <w:vMerge w:val="continue"/>
            <w:tcBorders>
              <w:left w:val="single" w:color="auto"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eastAsia"/>
              </w:rPr>
              <w:t>3.5英寸18TB7.2K热插拔硬盘</w:t>
            </w:r>
          </w:p>
        </w:tc>
        <w:tc>
          <w:tcPr>
            <w:tcW w:w="0" w:type="auto"/>
            <w:vMerge w:val="continue"/>
            <w:tcBorders>
              <w:left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0" w:type="auto"/>
            <w:vMerge w:val="continue"/>
            <w:tcBorders>
              <w:left w:val="single" w:color="auto"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eastAsia"/>
              </w:rPr>
              <w:t>3.5英寸20TB7.2K热插拔硬盘</w:t>
            </w:r>
          </w:p>
        </w:tc>
        <w:tc>
          <w:tcPr>
            <w:tcW w:w="0" w:type="auto"/>
            <w:vMerge w:val="continue"/>
            <w:tcBorders>
              <w:left w:val="single" w:color="auto" w:sz="4" w:space="0"/>
              <w:bottom w:val="single" w:color="000000"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0" w:type="auto"/>
            <w:vMerge w:val="restart"/>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5</w:t>
            </w:r>
          </w:p>
        </w:tc>
        <w:tc>
          <w:tcPr>
            <w:tcW w:w="0" w:type="auto"/>
            <w:vMerge w:val="restart"/>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default"/>
                <w:lang w:val="en-US" w:eastAsia="zh-CN"/>
              </w:rPr>
              <w:t>RAID</w:t>
            </w:r>
            <w:r>
              <w:rPr>
                <w:rFonts w:hint="eastAsia"/>
                <w:lang w:val="en-US" w:eastAsia="zh-CN"/>
              </w:rPr>
              <w:t>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eastAsia"/>
                <w:lang w:val="en-US" w:eastAsia="zh-CN"/>
              </w:rPr>
              <w:t>无缓存</w:t>
            </w:r>
          </w:p>
        </w:tc>
        <w:tc>
          <w:tcPr>
            <w:tcW w:w="0" w:type="auto"/>
            <w:vMerge w:val="restart"/>
            <w:tcBorders>
              <w:top w:val="single" w:color="000000" w:sz="4" w:space="0"/>
              <w:left w:val="single" w:color="000000"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10000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2G</w:t>
            </w:r>
            <w:r>
              <w:rPr>
                <w:rFonts w:hint="eastAsia"/>
                <w:lang w:val="en-US" w:eastAsia="zh-CN"/>
              </w:rPr>
              <w:t>缓存</w:t>
            </w:r>
          </w:p>
        </w:tc>
        <w:tc>
          <w:tcPr>
            <w:tcW w:w="0" w:type="auto"/>
            <w:vMerge w:val="continue"/>
            <w:tcBorders>
              <w:left w:val="single" w:color="000000"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4G</w:t>
            </w:r>
            <w:r>
              <w:rPr>
                <w:rFonts w:hint="eastAsia"/>
                <w:lang w:val="en-US" w:eastAsia="zh-CN"/>
              </w:rPr>
              <w:t>缓存</w:t>
            </w:r>
          </w:p>
        </w:tc>
        <w:tc>
          <w:tcPr>
            <w:tcW w:w="0" w:type="auto"/>
            <w:vMerge w:val="continue"/>
            <w:tcBorders>
              <w:left w:val="single" w:color="000000"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0" w:type="auto"/>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8G</w:t>
            </w:r>
            <w:r>
              <w:rPr>
                <w:rFonts w:hint="eastAsia"/>
                <w:lang w:val="en-US" w:eastAsia="zh-CN"/>
              </w:rPr>
              <w:t>缓存</w:t>
            </w:r>
          </w:p>
        </w:tc>
        <w:tc>
          <w:tcPr>
            <w:tcW w:w="0" w:type="auto"/>
            <w:vMerge w:val="continue"/>
            <w:tcBorders>
              <w:left w:val="single" w:color="000000" w:sz="4" w:space="0"/>
              <w:bottom w:val="single" w:color="000000"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网卡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eastAsia"/>
              </w:rPr>
              <w:t>1G千兆2口电口</w:t>
            </w:r>
          </w:p>
        </w:tc>
        <w:tc>
          <w:tcPr>
            <w:tcW w:w="0" w:type="auto"/>
            <w:vMerge w:val="restart"/>
            <w:tcBorders>
              <w:top w:val="single" w:color="000000" w:sz="4" w:space="0"/>
              <w:left w:val="single" w:color="000000"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r>
              <w:rPr>
                <w:rFonts w:hint="eastAsia"/>
              </w:rPr>
              <w:t>5000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eastAsia"/>
              </w:rPr>
              <w:t>1G千兆4口电口</w:t>
            </w:r>
          </w:p>
        </w:tc>
        <w:tc>
          <w:tcPr>
            <w:tcW w:w="0" w:type="auto"/>
            <w:vMerge w:val="continue"/>
            <w:tcBorders>
              <w:left w:val="single" w:color="000000"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eastAsia"/>
              </w:rPr>
              <w:t>10G万兆光双口</w:t>
            </w:r>
            <w:r>
              <w:rPr>
                <w:rFonts w:hint="eastAsia"/>
                <w:lang w:eastAsia="zh-CN"/>
              </w:rPr>
              <w:t>，</w:t>
            </w:r>
            <w:r>
              <w:rPr>
                <w:rFonts w:hint="eastAsia"/>
              </w:rPr>
              <w:t>含双模块</w:t>
            </w:r>
          </w:p>
        </w:tc>
        <w:tc>
          <w:tcPr>
            <w:tcW w:w="0" w:type="auto"/>
            <w:vMerge w:val="continue"/>
            <w:tcBorders>
              <w:left w:val="single" w:color="000000"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eastAsia"/>
              </w:rPr>
              <w:t>25G光双口</w:t>
            </w:r>
            <w:r>
              <w:rPr>
                <w:rFonts w:hint="eastAsia"/>
                <w:lang w:eastAsia="zh-CN"/>
              </w:rPr>
              <w:t>，</w:t>
            </w:r>
            <w:r>
              <w:rPr>
                <w:rFonts w:hint="eastAsia"/>
              </w:rPr>
              <w:t>含双模块</w:t>
            </w:r>
          </w:p>
        </w:tc>
        <w:tc>
          <w:tcPr>
            <w:tcW w:w="0" w:type="auto"/>
            <w:vMerge w:val="continue"/>
            <w:tcBorders>
              <w:left w:val="single" w:color="000000" w:sz="4" w:space="0"/>
              <w:bottom w:val="single" w:color="000000"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0" w:type="auto"/>
            <w:vMerge w:val="restart"/>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7</w:t>
            </w:r>
          </w:p>
        </w:tc>
        <w:tc>
          <w:tcPr>
            <w:tcW w:w="0" w:type="auto"/>
            <w:vMerge w:val="restart"/>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IB卡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lang w:val="en-US" w:eastAsia="zh-CN"/>
              </w:rPr>
            </w:pPr>
            <w:r>
              <w:rPr>
                <w:rFonts w:hint="eastAsia"/>
              </w:rPr>
              <w:t>100G单口</w:t>
            </w:r>
          </w:p>
        </w:tc>
        <w:tc>
          <w:tcPr>
            <w:tcW w:w="0" w:type="auto"/>
            <w:vMerge w:val="restart"/>
            <w:tcBorders>
              <w:top w:val="single" w:color="000000" w:sz="4" w:space="0"/>
              <w:left w:val="single" w:color="000000"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3</w:t>
            </w:r>
            <w:r>
              <w:rPr>
                <w:rFonts w:hint="eastAsia"/>
              </w:rPr>
              <w:t>0000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color w:val="auto"/>
                <w:lang w:val="en-US" w:eastAsia="zh-CN"/>
              </w:rPr>
            </w:pPr>
            <w:r>
              <w:rPr>
                <w:rFonts w:hint="eastAsia"/>
                <w:color w:val="auto"/>
              </w:rPr>
              <w:t>200G单口</w:t>
            </w:r>
          </w:p>
        </w:tc>
        <w:tc>
          <w:tcPr>
            <w:tcW w:w="0" w:type="auto"/>
            <w:vMerge w:val="continue"/>
            <w:tcBorders>
              <w:left w:val="single" w:color="000000"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0" w:type="auto"/>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color w:val="auto"/>
                <w:lang w:val="en-US" w:eastAsia="zh-CN"/>
              </w:rPr>
            </w:pPr>
            <w:r>
              <w:rPr>
                <w:rFonts w:hint="eastAsia"/>
                <w:color w:val="auto"/>
              </w:rPr>
              <w:t>200G双口</w:t>
            </w:r>
          </w:p>
        </w:tc>
        <w:tc>
          <w:tcPr>
            <w:tcW w:w="0" w:type="auto"/>
            <w:vMerge w:val="continue"/>
            <w:tcBorders>
              <w:left w:val="single" w:color="000000" w:sz="4" w:space="0"/>
              <w:bottom w:val="single" w:color="000000"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default"/>
                <w:lang w:val="en-US" w:eastAsia="zh-CN"/>
              </w:rPr>
              <w:t>HBA</w:t>
            </w:r>
            <w:r>
              <w:rPr>
                <w:rFonts w:hint="eastAsia"/>
                <w:lang w:val="en-US" w:eastAsia="zh-CN"/>
              </w:rPr>
              <w:t>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12GSASHBA</w:t>
            </w:r>
          </w:p>
        </w:tc>
        <w:tc>
          <w:tcPr>
            <w:tcW w:w="0" w:type="auto"/>
            <w:vMerge w:val="restart"/>
            <w:tcBorders>
              <w:top w:val="single" w:color="000000" w:sz="4" w:space="0"/>
              <w:left w:val="single" w:color="000000"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13000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16GFC</w:t>
            </w:r>
            <w:r>
              <w:rPr>
                <w:rFonts w:hint="eastAsia"/>
                <w:lang w:val="en-US" w:eastAsia="zh-CN"/>
              </w:rPr>
              <w:t>双口，含双模块</w:t>
            </w:r>
          </w:p>
        </w:tc>
        <w:tc>
          <w:tcPr>
            <w:tcW w:w="0" w:type="auto"/>
            <w:vMerge w:val="continue"/>
            <w:tcBorders>
              <w:left w:val="single" w:color="000000"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32GFC</w:t>
            </w:r>
            <w:r>
              <w:rPr>
                <w:rFonts w:hint="eastAsia"/>
                <w:lang w:val="en-US" w:eastAsia="zh-CN"/>
              </w:rPr>
              <w:t>双口，含双模块</w:t>
            </w:r>
          </w:p>
        </w:tc>
        <w:tc>
          <w:tcPr>
            <w:tcW w:w="0" w:type="auto"/>
            <w:vMerge w:val="continue"/>
            <w:tcBorders>
              <w:left w:val="single" w:color="000000" w:sz="4" w:space="0"/>
              <w:bottom w:val="single" w:color="000000"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0" w:type="auto"/>
            <w:vMerge w:val="restart"/>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9</w:t>
            </w:r>
          </w:p>
        </w:tc>
        <w:tc>
          <w:tcPr>
            <w:tcW w:w="0" w:type="auto"/>
            <w:vMerge w:val="restart"/>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eastAsia"/>
                <w:lang w:val="en-US" w:eastAsia="zh-CN"/>
              </w:rPr>
              <w:t>≥250W</w:t>
            </w:r>
          </w:p>
        </w:tc>
        <w:tc>
          <w:tcPr>
            <w:tcW w:w="0" w:type="auto"/>
            <w:vMerge w:val="restart"/>
            <w:tcBorders>
              <w:top w:val="single" w:color="000000" w:sz="4" w:space="0"/>
              <w:left w:val="single" w:color="000000"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5000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eastAsia"/>
                <w:lang w:val="en-US" w:eastAsia="zh-CN"/>
              </w:rPr>
              <w:t>≥500W</w:t>
            </w:r>
          </w:p>
        </w:tc>
        <w:tc>
          <w:tcPr>
            <w:tcW w:w="0" w:type="auto"/>
            <w:vMerge w:val="continue"/>
            <w:tcBorders>
              <w:left w:val="single" w:color="000000"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eastAsia"/>
                <w:lang w:val="en-US" w:eastAsia="zh-CN"/>
              </w:rPr>
              <w:t>≥700W</w:t>
            </w:r>
          </w:p>
        </w:tc>
        <w:tc>
          <w:tcPr>
            <w:tcW w:w="0" w:type="auto"/>
            <w:vMerge w:val="continue"/>
            <w:tcBorders>
              <w:left w:val="single" w:color="000000"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eastAsia"/>
                <w:lang w:val="en-US" w:eastAsia="zh-CN"/>
              </w:rPr>
              <w:t>≥1100W</w:t>
            </w:r>
          </w:p>
        </w:tc>
        <w:tc>
          <w:tcPr>
            <w:tcW w:w="0" w:type="auto"/>
            <w:vMerge w:val="continue"/>
            <w:tcBorders>
              <w:left w:val="single" w:color="000000"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left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eastAsia"/>
                <w:lang w:val="en-US" w:eastAsia="zh-CN"/>
              </w:rPr>
              <w:t>≥1400W</w:t>
            </w:r>
          </w:p>
        </w:tc>
        <w:tc>
          <w:tcPr>
            <w:tcW w:w="0" w:type="auto"/>
            <w:vMerge w:val="continue"/>
            <w:tcBorders>
              <w:left w:val="single" w:color="000000"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0" w:type="auto"/>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eastAsia"/>
                <w:lang w:val="en-US" w:eastAsia="zh-CN"/>
              </w:rPr>
              <w:t>≥2000W</w:t>
            </w:r>
          </w:p>
        </w:tc>
        <w:tc>
          <w:tcPr>
            <w:tcW w:w="0" w:type="auto"/>
            <w:vMerge w:val="continue"/>
            <w:tcBorders>
              <w:left w:val="single" w:color="000000" w:sz="4" w:space="0"/>
              <w:bottom w:val="single" w:color="000000"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选填配件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最高限价（元）</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增值服务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lang w:val="en-US" w:eastAsia="zh-CN"/>
              </w:rPr>
            </w:pPr>
            <w:r>
              <w:rPr>
                <w:rFonts w:hint="eastAsia"/>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硬盘不返还服务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lang w:val="en-US" w:eastAsia="zh-CN"/>
              </w:rPr>
            </w:pPr>
            <w:r>
              <w:rPr>
                <w:rFonts w:hint="eastAsia"/>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default"/>
                <w:lang w:val="en-US" w:eastAsia="zh-CN"/>
              </w:rPr>
              <w:t>DVD</w:t>
            </w:r>
            <w:r>
              <w:rPr>
                <w:rFonts w:hint="eastAsia"/>
                <w:lang w:val="en-US" w:eastAsia="zh-CN"/>
              </w:rPr>
              <w:t>光驱</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lang w:val="en-US" w:eastAsia="zh-CN"/>
              </w:rPr>
            </w:pPr>
            <w:r>
              <w:rPr>
                <w:rFonts w:hint="eastAsia"/>
                <w:lang w:val="en-US" w:eastAsia="zh-CN"/>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操作系统（三年）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eastAsia"/>
                <w:lang w:val="en-US" w:eastAsia="zh-CN"/>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1</w:t>
            </w:r>
            <w:r>
              <w:rPr>
                <w:rFonts w:hint="eastAsia"/>
                <w:lang w:val="en-US" w:eastAsia="zh-CN"/>
              </w:rPr>
              <w:t>.</w:t>
            </w:r>
            <w:r>
              <w:rPr>
                <w:rFonts w:hint="default"/>
                <w:lang w:val="en-US" w:eastAsia="zh-CN"/>
              </w:rPr>
              <w:t>CPU、GPU卡、内存、硬盘、RAID卡、网卡、HBA卡、电源为必填配件</w:t>
            </w:r>
            <w:r>
              <w:rPr>
                <w:rFonts w:hint="eastAsia"/>
                <w:lang w:val="en-US" w:eastAsia="zh-CN"/>
              </w:rPr>
              <w:t>。</w:t>
            </w:r>
          </w:p>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2</w:t>
            </w:r>
            <w:r>
              <w:rPr>
                <w:rFonts w:hint="eastAsia"/>
                <w:lang w:val="en-US" w:eastAsia="zh-CN"/>
              </w:rPr>
              <w:t>.</w:t>
            </w:r>
            <w:r>
              <w:rPr>
                <w:rFonts w:hint="default"/>
                <w:lang w:val="en-US" w:eastAsia="zh-CN"/>
              </w:rPr>
              <w:t>增值服务、硬盘不返还服务、DVD光驱、</w:t>
            </w:r>
            <w:r>
              <w:rPr>
                <w:rFonts w:hint="eastAsia"/>
                <w:lang w:val="en-US" w:eastAsia="zh-CN"/>
              </w:rPr>
              <w:t>操作系统</w:t>
            </w:r>
            <w:r>
              <w:rPr>
                <w:rFonts w:hint="default"/>
                <w:lang w:val="en-US" w:eastAsia="zh-CN"/>
              </w:rPr>
              <w:t>为选填配件</w:t>
            </w:r>
            <w:r>
              <w:rPr>
                <w:rFonts w:hint="eastAsia"/>
                <w:lang w:val="en-US" w:eastAsia="zh-CN"/>
              </w:rPr>
              <w:t>。</w:t>
            </w:r>
          </w:p>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3</w:t>
            </w:r>
            <w:r>
              <w:rPr>
                <w:rFonts w:hint="eastAsia"/>
                <w:lang w:val="en-US" w:eastAsia="zh-CN"/>
              </w:rPr>
              <w:t>.</w:t>
            </w:r>
            <w:r>
              <w:rPr>
                <w:rFonts w:hint="default"/>
                <w:lang w:val="en-US" w:eastAsia="zh-CN"/>
              </w:rPr>
              <w:t>配件均提供原制造厂商36个月免费质量保证期</w:t>
            </w:r>
            <w:r>
              <w:rPr>
                <w:rFonts w:hint="eastAsia"/>
                <w:lang w:val="en-US" w:eastAsia="zh-CN"/>
              </w:rPr>
              <w:t>。</w:t>
            </w:r>
          </w:p>
          <w:p>
            <w:pPr>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4</w:t>
            </w:r>
            <w:r>
              <w:rPr>
                <w:rFonts w:hint="eastAsia"/>
                <w:lang w:val="en-US" w:eastAsia="zh-CN"/>
              </w:rPr>
              <w:t>.</w:t>
            </w:r>
            <w:r>
              <w:rPr>
                <w:rFonts w:hint="default"/>
                <w:lang w:val="en-US" w:eastAsia="zh-CN"/>
              </w:rPr>
              <w:t>供应商应按配件需求在采购云平台如实、准确、完整地录入各类配件的具体规格型号及价格.必填配件多响应或少响应的</w:t>
            </w:r>
            <w:r>
              <w:rPr>
                <w:rFonts w:hint="eastAsia"/>
                <w:lang w:val="en-US" w:eastAsia="zh-CN"/>
              </w:rPr>
              <w:t>，</w:t>
            </w:r>
            <w:r>
              <w:rPr>
                <w:rFonts w:hint="default"/>
                <w:lang w:val="en-US" w:eastAsia="zh-CN"/>
              </w:rPr>
              <w:t>均视为不满足技术配置要求</w:t>
            </w:r>
            <w:r>
              <w:rPr>
                <w:rFonts w:hint="eastAsia"/>
                <w:lang w:val="en-US" w:eastAsia="zh-CN"/>
              </w:rPr>
              <w:t>。</w:t>
            </w:r>
          </w:p>
          <w:p>
            <w:pPr>
              <w:keepNext w:val="0"/>
              <w:keepLines w:val="0"/>
              <w:suppressLineNumbers w:val="0"/>
              <w:bidi w:val="0"/>
              <w:spacing w:before="0" w:beforeAutospacing="0" w:after="0" w:afterAutospacing="0"/>
              <w:ind w:left="0" w:right="0"/>
              <w:rPr>
                <w:rFonts w:hint="eastAsia"/>
                <w:b/>
                <w:bCs/>
                <w:color w:val="FF0000"/>
                <w:lang w:val="en-US" w:eastAsia="zh-CN"/>
              </w:rPr>
            </w:pPr>
            <w:r>
              <w:rPr>
                <w:rFonts w:hint="eastAsia"/>
                <w:b/>
                <w:bCs/>
                <w:color w:val="FF0000"/>
                <w:lang w:val="en-US" w:eastAsia="zh-CN"/>
              </w:rPr>
              <w:t>5.若提供增值服务须填写具体的服务，列明具体内容。</w:t>
            </w:r>
          </w:p>
          <w:p>
            <w:pPr>
              <w:keepNext w:val="0"/>
              <w:keepLines w:val="0"/>
              <w:suppressLineNumbers w:val="0"/>
              <w:bidi w:val="0"/>
              <w:spacing w:before="0" w:beforeAutospacing="0" w:after="0" w:afterAutospacing="0"/>
              <w:ind w:left="0" w:right="0"/>
              <w:jc w:val="both"/>
              <w:rPr>
                <w:rFonts w:hint="eastAsia"/>
                <w:b/>
                <w:bCs/>
                <w:color w:val="FF0000"/>
                <w:lang w:val="en-US" w:eastAsia="zh-CN"/>
              </w:rPr>
            </w:pPr>
            <w:r>
              <w:rPr>
                <w:rFonts w:hint="eastAsia"/>
                <w:b/>
                <w:bCs/>
                <w:color w:val="FF0000"/>
                <w:lang w:val="en-US" w:eastAsia="zh-CN"/>
              </w:rPr>
              <w:t>6.所有产品价格不高于市场价，在同一地方的报价低于其他任何非政府采购或市场平均价格。</w:t>
            </w:r>
          </w:p>
        </w:tc>
      </w:tr>
    </w:tbl>
    <w:p>
      <w:pPr>
        <w:snapToGrid w:val="0"/>
        <w:spacing w:line="400" w:lineRule="exact"/>
        <w:ind w:firstLine="980" w:firstLineChars="350"/>
        <w:jc w:val="left"/>
        <w:rPr>
          <w:rFonts w:hint="eastAsia" w:ascii="宋体" w:hAnsi="宋体"/>
          <w:color w:val="auto"/>
          <w:sz w:val="28"/>
          <w:szCs w:val="28"/>
        </w:rPr>
      </w:pPr>
    </w:p>
    <w:p>
      <w:pPr>
        <w:snapToGrid w:val="0"/>
        <w:spacing w:line="400" w:lineRule="exact"/>
        <w:ind w:firstLine="980" w:firstLineChars="350"/>
        <w:jc w:val="left"/>
        <w:rPr>
          <w:rFonts w:ascii="宋体" w:hAnsi="宋体"/>
          <w:color w:val="auto"/>
          <w:sz w:val="30"/>
          <w:szCs w:val="30"/>
        </w:rPr>
      </w:pPr>
      <w:r>
        <w:rPr>
          <w:rFonts w:hint="eastAsia" w:ascii="宋体" w:hAnsi="宋体"/>
          <w:color w:val="auto"/>
          <w:sz w:val="28"/>
          <w:szCs w:val="28"/>
        </w:rPr>
        <w:t xml:space="preserve">                                日期： </w:t>
      </w:r>
    </w:p>
    <w:p>
      <w:pPr>
        <w:rPr>
          <w:rFonts w:hint="eastAsia" w:ascii="宋体" w:hAnsi="宋体"/>
          <w:color w:val="auto"/>
          <w:sz w:val="30"/>
          <w:szCs w:val="30"/>
        </w:rPr>
      </w:pPr>
      <w:r>
        <w:rPr>
          <w:rFonts w:hint="eastAsia" w:ascii="宋体" w:hAnsi="宋体"/>
          <w:color w:val="auto"/>
          <w:sz w:val="30"/>
          <w:szCs w:val="30"/>
        </w:rPr>
        <w:br w:type="page"/>
      </w:r>
    </w:p>
    <w:p>
      <w:pPr>
        <w:snapToGrid w:val="0"/>
        <w:spacing w:line="360" w:lineRule="auto"/>
        <w:ind w:left="0" w:leftChars="0" w:firstLine="0" w:firstLineChars="0"/>
        <w:rPr>
          <w:rFonts w:ascii="仿宋" w:hAnsi="仿宋" w:eastAsia="仿宋"/>
          <w:color w:val="auto"/>
          <w:sz w:val="30"/>
          <w:szCs w:val="30"/>
        </w:rPr>
      </w:pPr>
      <w:r>
        <w:rPr>
          <w:rFonts w:hint="eastAsia" w:ascii="宋体" w:hAnsi="宋体"/>
          <w:color w:val="auto"/>
          <w:sz w:val="30"/>
          <w:szCs w:val="30"/>
        </w:rPr>
        <w:t>附件</w:t>
      </w:r>
      <w:r>
        <w:rPr>
          <w:rFonts w:hint="eastAsia" w:ascii="宋体" w:hAnsi="宋体"/>
          <w:color w:val="auto"/>
          <w:sz w:val="30"/>
          <w:szCs w:val="30"/>
          <w:lang w:val="en-US" w:eastAsia="zh-CN"/>
        </w:rPr>
        <w:t>11</w:t>
      </w:r>
      <w:r>
        <w:rPr>
          <w:rFonts w:hint="eastAsia" w:ascii="宋体" w:hAnsi="宋体"/>
          <w:color w:val="auto"/>
          <w:sz w:val="30"/>
          <w:szCs w:val="30"/>
        </w:rPr>
        <w:t>：</w:t>
      </w:r>
    </w:p>
    <w:p>
      <w:pPr>
        <w:bidi w:val="0"/>
        <w:jc w:val="center"/>
        <w:rPr>
          <w:b/>
          <w:bCs/>
          <w:color w:val="auto"/>
          <w:sz w:val="36"/>
          <w:szCs w:val="24"/>
        </w:rPr>
      </w:pPr>
      <w:r>
        <w:rPr>
          <w:rFonts w:hint="eastAsia"/>
          <w:b/>
          <w:bCs/>
          <w:color w:val="auto"/>
          <w:sz w:val="36"/>
          <w:szCs w:val="24"/>
        </w:rPr>
        <w:t>中小企业声明函（货物）</w:t>
      </w:r>
    </w:p>
    <w:p>
      <w:pPr>
        <w:snapToGrid w:val="0"/>
        <w:spacing w:line="360" w:lineRule="auto"/>
        <w:rPr>
          <w:rFonts w:ascii="仿宋" w:hAnsi="仿宋" w:eastAsia="仿宋"/>
          <w:color w:val="auto"/>
          <w:sz w:val="28"/>
          <w:szCs w:val="28"/>
        </w:rPr>
      </w:pPr>
    </w:p>
    <w:p>
      <w:pPr>
        <w:snapToGrid w:val="0"/>
        <w:spacing w:line="360" w:lineRule="auto"/>
        <w:ind w:firstLine="560" w:firstLineChars="200"/>
        <w:jc w:val="left"/>
        <w:rPr>
          <w:rFonts w:ascii="仿宋" w:hAnsi="仿宋" w:eastAsia="仿宋"/>
          <w:color w:val="auto"/>
          <w:sz w:val="28"/>
          <w:szCs w:val="28"/>
        </w:rPr>
      </w:pPr>
      <w:r>
        <w:rPr>
          <w:rFonts w:ascii="仿宋" w:hAnsi="仿宋" w:eastAsia="仿宋"/>
          <w:color w:val="auto"/>
          <w:sz w:val="28"/>
          <w:szCs w:val="28"/>
        </w:rPr>
        <w:t>本公司（联合体）郑重声明，根据《政府采购促进中小企业发展管理办法》（财库﹝2020﹞46号）的规定，本公司（联合体）参加</w:t>
      </w:r>
      <w:r>
        <w:rPr>
          <w:rFonts w:ascii="仿宋" w:hAnsi="仿宋" w:eastAsia="仿宋"/>
          <w:color w:val="auto"/>
          <w:sz w:val="28"/>
          <w:szCs w:val="28"/>
          <w:u w:val="single"/>
        </w:rPr>
        <w:t>（单位名称）</w:t>
      </w:r>
      <w:r>
        <w:rPr>
          <w:rFonts w:ascii="仿宋" w:hAnsi="仿宋" w:eastAsia="仿宋"/>
          <w:color w:val="auto"/>
          <w:sz w:val="28"/>
          <w:szCs w:val="28"/>
        </w:rPr>
        <w:t>的</w:t>
      </w:r>
      <w:r>
        <w:rPr>
          <w:rFonts w:ascii="仿宋" w:hAnsi="仿宋" w:eastAsia="仿宋"/>
          <w:color w:val="auto"/>
          <w:sz w:val="28"/>
          <w:szCs w:val="28"/>
          <w:u w:val="single"/>
        </w:rPr>
        <w:t>（项目名称）</w:t>
      </w:r>
      <w:r>
        <w:rPr>
          <w:rFonts w:ascii="仿宋" w:hAnsi="仿宋" w:eastAsia="仿宋"/>
          <w:color w:val="auto"/>
          <w:sz w:val="28"/>
          <w:szCs w:val="28"/>
        </w:rPr>
        <w:t xml:space="preserve">采购活动，提供的货物全部由符合政策要求的中小企业制造。相关企业（含联合体中的中小企业、签订分包意向协议的中小企业）的具体情况如下： </w:t>
      </w:r>
    </w:p>
    <w:p>
      <w:pPr>
        <w:snapToGrid w:val="0"/>
        <w:spacing w:line="360" w:lineRule="auto"/>
        <w:ind w:firstLine="560" w:firstLineChars="200"/>
        <w:jc w:val="left"/>
        <w:rPr>
          <w:rFonts w:ascii="仿宋" w:hAnsi="仿宋" w:eastAsia="仿宋"/>
          <w:color w:val="auto"/>
          <w:sz w:val="28"/>
          <w:szCs w:val="28"/>
        </w:rPr>
      </w:pPr>
      <w:r>
        <w:rPr>
          <w:rFonts w:ascii="仿宋" w:hAnsi="仿宋" w:eastAsia="仿宋"/>
          <w:color w:val="auto"/>
          <w:sz w:val="28"/>
          <w:szCs w:val="28"/>
        </w:rPr>
        <w:t xml:space="preserve">1. </w:t>
      </w:r>
      <w:r>
        <w:rPr>
          <w:rFonts w:ascii="仿宋" w:hAnsi="仿宋" w:eastAsia="仿宋"/>
          <w:color w:val="auto"/>
          <w:sz w:val="28"/>
          <w:szCs w:val="28"/>
          <w:u w:val="single"/>
        </w:rPr>
        <w:t>（标的名称）</w:t>
      </w:r>
      <w:r>
        <w:rPr>
          <w:rFonts w:ascii="仿宋" w:hAnsi="仿宋" w:eastAsia="仿宋"/>
          <w:color w:val="auto"/>
          <w:sz w:val="28"/>
          <w:szCs w:val="28"/>
        </w:rPr>
        <w:t xml:space="preserve"> ，属于</w:t>
      </w:r>
      <w:r>
        <w:rPr>
          <w:rFonts w:ascii="仿宋" w:hAnsi="仿宋" w:eastAsia="仿宋"/>
          <w:color w:val="auto"/>
          <w:sz w:val="28"/>
          <w:szCs w:val="28"/>
          <w:u w:val="single"/>
        </w:rPr>
        <w:t>（采购文件中明确的所属行业） 行业</w:t>
      </w:r>
      <w:r>
        <w:rPr>
          <w:rFonts w:ascii="仿宋" w:hAnsi="仿宋" w:eastAsia="仿宋"/>
          <w:color w:val="auto"/>
          <w:sz w:val="28"/>
          <w:szCs w:val="28"/>
        </w:rPr>
        <w:t>；制造商为</w:t>
      </w:r>
      <w:r>
        <w:rPr>
          <w:rFonts w:ascii="仿宋" w:hAnsi="仿宋" w:eastAsia="仿宋"/>
          <w:color w:val="auto"/>
          <w:sz w:val="28"/>
          <w:szCs w:val="28"/>
          <w:u w:val="single"/>
        </w:rPr>
        <w:t>（企业名称）</w:t>
      </w:r>
      <w:r>
        <w:rPr>
          <w:rFonts w:ascii="仿宋" w:hAnsi="仿宋" w:eastAsia="仿宋"/>
          <w:color w:val="auto"/>
          <w:sz w:val="28"/>
          <w:szCs w:val="28"/>
        </w:rPr>
        <w:t>，从业人员人，营业收入为万元，资产总额为万元</w:t>
      </w:r>
      <w:r>
        <w:rPr>
          <w:rFonts w:ascii="仿宋" w:hAnsi="仿宋" w:eastAsia="仿宋"/>
          <w:color w:val="auto"/>
          <w:sz w:val="28"/>
          <w:szCs w:val="28"/>
          <w:vertAlign w:val="superscript"/>
        </w:rPr>
        <w:t xml:space="preserve"> 1</w:t>
      </w:r>
      <w:r>
        <w:rPr>
          <w:rFonts w:ascii="仿宋" w:hAnsi="仿宋" w:eastAsia="仿宋"/>
          <w:color w:val="auto"/>
          <w:sz w:val="28"/>
          <w:szCs w:val="28"/>
        </w:rPr>
        <w:t>，属于</w:t>
      </w:r>
      <w:r>
        <w:rPr>
          <w:rFonts w:ascii="仿宋" w:hAnsi="仿宋" w:eastAsia="仿宋"/>
          <w:color w:val="auto"/>
          <w:sz w:val="28"/>
          <w:szCs w:val="28"/>
          <w:u w:val="single"/>
        </w:rPr>
        <w:t>（中型企业、小 型企业、微型企业）</w:t>
      </w:r>
      <w:r>
        <w:rPr>
          <w:rFonts w:ascii="仿宋" w:hAnsi="仿宋" w:eastAsia="仿宋"/>
          <w:color w:val="auto"/>
          <w:sz w:val="28"/>
          <w:szCs w:val="28"/>
        </w:rPr>
        <w:t xml:space="preserve">； </w:t>
      </w:r>
    </w:p>
    <w:p>
      <w:pPr>
        <w:snapToGrid w:val="0"/>
        <w:spacing w:line="360" w:lineRule="auto"/>
        <w:jc w:val="left"/>
        <w:rPr>
          <w:rFonts w:ascii="仿宋" w:hAnsi="仿宋" w:eastAsia="仿宋"/>
          <w:color w:val="auto"/>
          <w:sz w:val="28"/>
          <w:szCs w:val="28"/>
        </w:rPr>
      </w:pPr>
      <w:r>
        <w:rPr>
          <w:rFonts w:ascii="仿宋" w:hAnsi="仿宋" w:eastAsia="仿宋"/>
          <w:color w:val="auto"/>
          <w:sz w:val="28"/>
          <w:szCs w:val="28"/>
        </w:rPr>
        <w:t xml:space="preserve">2. </w:t>
      </w:r>
      <w:r>
        <w:rPr>
          <w:rFonts w:ascii="仿宋" w:hAnsi="仿宋" w:eastAsia="仿宋"/>
          <w:color w:val="auto"/>
          <w:sz w:val="28"/>
          <w:szCs w:val="28"/>
          <w:u w:val="single"/>
        </w:rPr>
        <w:t>（标的名称）</w:t>
      </w:r>
      <w:r>
        <w:rPr>
          <w:rFonts w:ascii="仿宋" w:hAnsi="仿宋" w:eastAsia="仿宋"/>
          <w:color w:val="auto"/>
          <w:sz w:val="28"/>
          <w:szCs w:val="28"/>
        </w:rPr>
        <w:t xml:space="preserve"> ，属于（</w:t>
      </w:r>
      <w:r>
        <w:rPr>
          <w:rFonts w:ascii="仿宋" w:hAnsi="仿宋" w:eastAsia="仿宋"/>
          <w:color w:val="auto"/>
          <w:sz w:val="28"/>
          <w:szCs w:val="28"/>
          <w:u w:val="single"/>
        </w:rPr>
        <w:t>采购文件中明确的所属行业）</w:t>
      </w:r>
      <w:r>
        <w:rPr>
          <w:rFonts w:ascii="仿宋" w:hAnsi="仿宋" w:eastAsia="仿宋"/>
          <w:color w:val="auto"/>
          <w:sz w:val="28"/>
          <w:szCs w:val="28"/>
        </w:rPr>
        <w:t>行业；制造商为</w:t>
      </w:r>
      <w:r>
        <w:rPr>
          <w:rFonts w:ascii="仿宋" w:hAnsi="仿宋" w:eastAsia="仿宋"/>
          <w:color w:val="auto"/>
          <w:sz w:val="28"/>
          <w:szCs w:val="28"/>
          <w:u w:val="single"/>
        </w:rPr>
        <w:t>（企业名称）</w:t>
      </w:r>
      <w:r>
        <w:rPr>
          <w:rFonts w:ascii="仿宋" w:hAnsi="仿宋" w:eastAsia="仿宋"/>
          <w:color w:val="auto"/>
          <w:sz w:val="28"/>
          <w:szCs w:val="28"/>
        </w:rPr>
        <w:t>，从业人员人，营业收入为万元，资产总额为万元，属于（中型企业、小型企业、微型企业）；</w:t>
      </w:r>
    </w:p>
    <w:p>
      <w:pPr>
        <w:snapToGrid w:val="0"/>
        <w:spacing w:line="360" w:lineRule="auto"/>
        <w:ind w:firstLine="560" w:firstLineChars="200"/>
        <w:jc w:val="left"/>
        <w:rPr>
          <w:rFonts w:ascii="仿宋" w:hAnsi="仿宋" w:eastAsia="仿宋"/>
          <w:color w:val="auto"/>
          <w:sz w:val="28"/>
          <w:szCs w:val="28"/>
        </w:rPr>
      </w:pPr>
      <w:r>
        <w:rPr>
          <w:rFonts w:ascii="仿宋" w:hAnsi="仿宋" w:eastAsia="仿宋"/>
          <w:color w:val="auto"/>
          <w:sz w:val="28"/>
          <w:szCs w:val="28"/>
        </w:rPr>
        <w:t xml:space="preserve"> ……</w:t>
      </w:r>
    </w:p>
    <w:p>
      <w:pPr>
        <w:snapToGrid w:val="0"/>
        <w:spacing w:line="360" w:lineRule="auto"/>
        <w:jc w:val="left"/>
        <w:rPr>
          <w:rFonts w:ascii="仿宋" w:hAnsi="仿宋" w:eastAsia="仿宋"/>
          <w:color w:val="auto"/>
          <w:sz w:val="28"/>
          <w:szCs w:val="28"/>
        </w:rPr>
      </w:pPr>
      <w:r>
        <w:rPr>
          <w:rFonts w:ascii="仿宋" w:hAnsi="仿宋" w:eastAsia="仿宋"/>
          <w:color w:val="auto"/>
          <w:sz w:val="28"/>
          <w:szCs w:val="28"/>
        </w:rPr>
        <w:t xml:space="preserve">以上企业，不属于大企业的分支机构，不存在控股股东为大企业的情形，也不存在与大企业的负责人为同一人的情形。 </w:t>
      </w:r>
    </w:p>
    <w:p>
      <w:pPr>
        <w:snapToGrid w:val="0"/>
        <w:spacing w:line="360" w:lineRule="auto"/>
        <w:ind w:firstLine="560" w:firstLineChars="200"/>
        <w:jc w:val="left"/>
        <w:rPr>
          <w:rFonts w:ascii="仿宋" w:hAnsi="仿宋" w:eastAsia="仿宋"/>
          <w:color w:val="auto"/>
          <w:sz w:val="28"/>
          <w:szCs w:val="28"/>
        </w:rPr>
      </w:pPr>
      <w:r>
        <w:rPr>
          <w:rFonts w:ascii="仿宋" w:hAnsi="仿宋" w:eastAsia="仿宋"/>
          <w:color w:val="auto"/>
          <w:sz w:val="28"/>
          <w:szCs w:val="28"/>
        </w:rPr>
        <w:t>本企业对上述声明内容的真实性负责。如有虚假，将依法承担相应责任。</w:t>
      </w:r>
    </w:p>
    <w:p>
      <w:pPr>
        <w:snapToGrid w:val="0"/>
        <w:spacing w:line="360" w:lineRule="auto"/>
        <w:ind w:firstLine="560" w:firstLineChars="200"/>
        <w:jc w:val="right"/>
        <w:rPr>
          <w:rFonts w:ascii="仿宋" w:hAnsi="仿宋" w:eastAsia="仿宋"/>
          <w:color w:val="auto"/>
          <w:sz w:val="28"/>
          <w:szCs w:val="28"/>
        </w:rPr>
      </w:pPr>
      <w:r>
        <w:rPr>
          <w:rFonts w:hint="eastAsia" w:ascii="仿宋" w:hAnsi="仿宋" w:eastAsia="仿宋"/>
          <w:color w:val="auto"/>
          <w:sz w:val="28"/>
          <w:szCs w:val="28"/>
        </w:rPr>
        <w:t xml:space="preserve">响应方名称（盖章）： </w:t>
      </w:r>
    </w:p>
    <w:p>
      <w:pPr>
        <w:snapToGrid w:val="0"/>
        <w:spacing w:line="360" w:lineRule="auto"/>
        <w:jc w:val="right"/>
        <w:rPr>
          <w:rFonts w:ascii="仿宋" w:hAnsi="仿宋" w:eastAsia="仿宋"/>
          <w:color w:val="auto"/>
          <w:sz w:val="28"/>
          <w:szCs w:val="28"/>
        </w:rPr>
      </w:pPr>
      <w:r>
        <w:rPr>
          <w:rFonts w:hint="eastAsia" w:ascii="仿宋" w:hAnsi="仿宋" w:eastAsia="仿宋"/>
          <w:color w:val="auto"/>
          <w:sz w:val="28"/>
          <w:szCs w:val="28"/>
        </w:rPr>
        <w:t xml:space="preserve">                     日  期：</w:t>
      </w:r>
    </w:p>
    <w:p>
      <w:pPr>
        <w:pStyle w:val="11"/>
        <w:spacing w:before="120" w:after="120" w:line="360" w:lineRule="auto"/>
        <w:rPr>
          <w:rFonts w:hint="eastAsia"/>
          <w:color w:val="auto"/>
          <w:sz w:val="18"/>
        </w:rPr>
      </w:pPr>
      <w:r>
        <w:rPr>
          <w:rFonts w:ascii="Times New Roman" w:eastAsia="Times New Roman"/>
          <w:color w:val="auto"/>
          <w:position w:val="6"/>
          <w:sz w:val="11"/>
        </w:rPr>
        <w:t>1</w:t>
      </w:r>
      <w:r>
        <w:rPr>
          <w:rFonts w:hint="eastAsia"/>
          <w:color w:val="auto"/>
          <w:sz w:val="18"/>
        </w:rPr>
        <w:t>从业人员、营业收入、资产总额填报上一年度数据，无上一年度数据的新成立企业可不填报。</w:t>
      </w:r>
    </w:p>
    <w:p>
      <w:pPr>
        <w:rPr>
          <w:rFonts w:hint="eastAsia"/>
          <w:color w:val="auto"/>
          <w:sz w:val="18"/>
        </w:rPr>
      </w:pPr>
      <w:r>
        <w:rPr>
          <w:rFonts w:hint="eastAsia"/>
          <w:color w:val="auto"/>
          <w:sz w:val="18"/>
        </w:rPr>
        <w:br w:type="page"/>
      </w:r>
    </w:p>
    <w:p>
      <w:pPr>
        <w:ind w:left="0" w:leftChars="0" w:firstLine="0" w:firstLineChars="0"/>
        <w:rPr>
          <w:rFonts w:ascii="宋体" w:hAnsi="宋体"/>
          <w:color w:val="auto"/>
        </w:rPr>
      </w:pPr>
      <w:r>
        <w:rPr>
          <w:rFonts w:hint="eastAsia" w:ascii="宋体" w:hAnsi="宋体"/>
          <w:color w:val="auto"/>
          <w:sz w:val="30"/>
          <w:szCs w:val="30"/>
        </w:rPr>
        <w:t>附件</w:t>
      </w:r>
      <w:r>
        <w:rPr>
          <w:rFonts w:hint="eastAsia" w:ascii="宋体" w:hAnsi="宋体"/>
          <w:color w:val="auto"/>
          <w:sz w:val="30"/>
          <w:szCs w:val="30"/>
          <w:lang w:val="en-US" w:eastAsia="zh-CN"/>
        </w:rPr>
        <w:t>12</w:t>
      </w:r>
      <w:r>
        <w:rPr>
          <w:rFonts w:hint="eastAsia" w:ascii="宋体" w:hAnsi="宋体"/>
          <w:color w:val="auto"/>
          <w:sz w:val="30"/>
          <w:szCs w:val="30"/>
        </w:rPr>
        <w:t>：</w:t>
      </w:r>
    </w:p>
    <w:p>
      <w:pPr>
        <w:rPr>
          <w:rFonts w:ascii="宋体" w:hAnsi="宋体"/>
          <w:color w:val="auto"/>
        </w:rPr>
      </w:pPr>
    </w:p>
    <w:p>
      <w:pPr>
        <w:bidi w:val="0"/>
        <w:jc w:val="center"/>
        <w:rPr>
          <w:b/>
          <w:bCs/>
          <w:color w:val="auto"/>
          <w:sz w:val="40"/>
          <w:szCs w:val="28"/>
        </w:rPr>
      </w:pPr>
      <w:r>
        <w:rPr>
          <w:rFonts w:hint="eastAsia"/>
          <w:b/>
          <w:bCs/>
          <w:color w:val="auto"/>
          <w:sz w:val="40"/>
          <w:szCs w:val="28"/>
        </w:rPr>
        <w:t>残疾人福利性单位声明函</w:t>
      </w:r>
    </w:p>
    <w:p>
      <w:pPr>
        <w:spacing w:line="588" w:lineRule="exact"/>
        <w:rPr>
          <w:rFonts w:ascii="宋体" w:hAnsi="宋体"/>
          <w:b/>
          <w:color w:val="auto"/>
          <w:spacing w:val="6"/>
          <w:sz w:val="30"/>
          <w:szCs w:val="30"/>
        </w:rPr>
      </w:pPr>
    </w:p>
    <w:p>
      <w:pPr>
        <w:snapToGrid w:val="0"/>
        <w:spacing w:line="360" w:lineRule="auto"/>
        <w:ind w:firstLine="560" w:firstLineChars="200"/>
        <w:rPr>
          <w:rFonts w:ascii="宋体" w:hAnsi="宋体"/>
          <w:color w:val="auto"/>
          <w:sz w:val="28"/>
          <w:szCs w:val="28"/>
        </w:rPr>
      </w:pPr>
      <w:r>
        <w:rPr>
          <w:rFonts w:hint="eastAsia" w:ascii="宋体" w:hAnsi="宋体"/>
          <w:color w:val="auto"/>
          <w:sz w:val="28"/>
          <w:szCs w:val="28"/>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产品（由本单位承担工程/提供服务），或者提供其他残疾人福利性单位制造的产品（不包括使用非残疾人福利性单位注册商标的产品）。</w:t>
      </w:r>
    </w:p>
    <w:p>
      <w:pPr>
        <w:snapToGrid w:val="0"/>
        <w:spacing w:line="360" w:lineRule="auto"/>
        <w:ind w:firstLine="560" w:firstLineChars="200"/>
        <w:rPr>
          <w:rFonts w:ascii="宋体" w:hAnsi="宋体"/>
          <w:color w:val="auto"/>
          <w:sz w:val="28"/>
          <w:szCs w:val="28"/>
        </w:rPr>
      </w:pPr>
      <w:r>
        <w:rPr>
          <w:rFonts w:hint="eastAsia" w:ascii="宋体" w:hAnsi="宋体"/>
          <w:color w:val="auto"/>
          <w:sz w:val="28"/>
          <w:szCs w:val="28"/>
        </w:rPr>
        <w:t>本单位对上述声明的真实性负责。如有虚假，将依法承担相应责任。</w:t>
      </w:r>
    </w:p>
    <w:p>
      <w:pPr>
        <w:snapToGrid w:val="0"/>
        <w:spacing w:line="360" w:lineRule="auto"/>
        <w:ind w:firstLine="560" w:firstLineChars="200"/>
        <w:rPr>
          <w:rFonts w:ascii="宋体" w:hAnsi="宋体"/>
          <w:color w:val="auto"/>
          <w:sz w:val="28"/>
          <w:szCs w:val="28"/>
        </w:rPr>
      </w:pPr>
    </w:p>
    <w:p>
      <w:pPr>
        <w:spacing w:line="588" w:lineRule="exact"/>
        <w:ind w:firstLine="624" w:firstLineChars="200"/>
        <w:rPr>
          <w:rFonts w:ascii="宋体" w:hAnsi="宋体"/>
          <w:color w:val="auto"/>
          <w:spacing w:val="6"/>
          <w:sz w:val="30"/>
          <w:szCs w:val="30"/>
        </w:rPr>
      </w:pPr>
    </w:p>
    <w:p>
      <w:pPr>
        <w:snapToGrid w:val="0"/>
        <w:spacing w:line="360" w:lineRule="auto"/>
        <w:ind w:firstLine="560" w:firstLineChars="200"/>
        <w:jc w:val="right"/>
        <w:rPr>
          <w:rFonts w:ascii="宋体" w:hAnsi="宋体"/>
          <w:color w:val="auto"/>
          <w:sz w:val="28"/>
          <w:szCs w:val="28"/>
        </w:rPr>
      </w:pPr>
      <w:r>
        <w:rPr>
          <w:rFonts w:hint="eastAsia" w:ascii="宋体" w:hAnsi="宋体"/>
          <w:color w:val="auto"/>
          <w:sz w:val="28"/>
          <w:szCs w:val="28"/>
        </w:rPr>
        <w:t xml:space="preserve">      单位名称（盖章）：</w:t>
      </w:r>
    </w:p>
    <w:p>
      <w:pPr>
        <w:snapToGrid w:val="0"/>
        <w:spacing w:line="360" w:lineRule="auto"/>
        <w:ind w:firstLine="560" w:firstLineChars="200"/>
        <w:jc w:val="right"/>
        <w:rPr>
          <w:rFonts w:ascii="宋体" w:hAnsi="宋体"/>
          <w:color w:val="auto"/>
          <w:sz w:val="28"/>
          <w:szCs w:val="28"/>
        </w:rPr>
      </w:pPr>
      <w:r>
        <w:rPr>
          <w:rFonts w:hint="eastAsia" w:ascii="宋体" w:hAnsi="宋体"/>
          <w:color w:val="auto"/>
          <w:sz w:val="28"/>
          <w:szCs w:val="28"/>
        </w:rPr>
        <w:t xml:space="preserve">       日  期：</w:t>
      </w:r>
    </w:p>
    <w:p>
      <w:pPr>
        <w:rPr>
          <w:color w:val="auto"/>
        </w:rPr>
      </w:pPr>
    </w:p>
    <w:sectPr>
      <w:headerReference r:id="rId9" w:type="first"/>
      <w:footerReference r:id="rId12" w:type="first"/>
      <w:headerReference r:id="rId8" w:type="default"/>
      <w:footerReference r:id="rId10" w:type="default"/>
      <w:footerReference r:id="rId11" w:type="even"/>
      <w:pgSz w:w="11906" w:h="16838"/>
      <w:pgMar w:top="1558" w:right="1531" w:bottom="468" w:left="1531" w:header="851" w:footer="851" w:gutter="0"/>
      <w:pgNumType w:fmt="decimal" w:chapStyle="1" w:chapSep="colon"/>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ACE68C2-5A4D-4B53-B13F-C372BFAFC447}"/>
  </w:font>
  <w:font w:name="黑体">
    <w:panose1 w:val="02010609060101010101"/>
    <w:charset w:val="86"/>
    <w:family w:val="auto"/>
    <w:pitch w:val="default"/>
    <w:sig w:usb0="800002BF" w:usb1="38CF7CFA" w:usb2="00000016" w:usb3="00000000" w:csb0="00040001" w:csb1="00000000"/>
    <w:embedRegular r:id="rId2" w:fontKey="{F8C27245-714A-4F8B-A57C-6E105C3AF2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A00CD8BE-617F-4EAA-9E01-4FB3FFBCB162}"/>
  </w:font>
  <w:font w:name="仿宋">
    <w:panose1 w:val="02010609060101010101"/>
    <w:charset w:val="86"/>
    <w:family w:val="auto"/>
    <w:pitch w:val="default"/>
    <w:sig w:usb0="800002BF" w:usb1="38CF7CFA" w:usb2="00000016" w:usb3="00000000" w:csb0="00040001" w:csb1="00000000"/>
    <w:embedRegular r:id="rId4" w:fontKey="{BA69ACFF-3370-4F12-B153-85994ACB5AB4}"/>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FFDADC2D-A056-4AFA-9C19-324535ED27BC}"/>
  </w:font>
  <w:font w:name="Microsoft JhengHei">
    <w:panose1 w:val="020B0604030504040204"/>
    <w:charset w:val="88"/>
    <w:family w:val="swiss"/>
    <w:pitch w:val="default"/>
    <w:sig w:usb0="000002A7" w:usb1="28CF4400" w:usb2="00000016" w:usb3="00000000" w:csb0="00100009" w:csb1="00000000"/>
    <w:embedRegular r:id="rId6" w:fontKey="{5F6DDA60-04CA-424A-980B-77BFBC2D4FB5}"/>
  </w:font>
  <w:font w:name="等线">
    <w:panose1 w:val="02010600030101010101"/>
    <w:charset w:val="86"/>
    <w:family w:val="auto"/>
    <w:pitch w:val="default"/>
    <w:sig w:usb0="A00002BF" w:usb1="38CF7CFA" w:usb2="00000016" w:usb3="00000000" w:csb0="0004000F" w:csb1="00000000"/>
    <w:embedRegular r:id="rId7" w:fontKey="{D3FF4CDB-0683-418C-B0AE-86D3FDC3BB5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center"/>
                          </w:pPr>
                          <w:r>
                            <w:fldChar w:fldCharType="begin"/>
                          </w:r>
                          <w:r>
                            <w:instrText xml:space="preserve"> PAGE   \* MERGEFORMAT </w:instrText>
                          </w:r>
                          <w:r>
                            <w:fldChar w:fldCharType="separate"/>
                          </w:r>
                          <w:r>
                            <w:rPr>
                              <w:lang w:val="zh-CN"/>
                            </w:rPr>
                            <w:t>4</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jc w:val="center"/>
                    </w:pPr>
                    <w:r>
                      <w:fldChar w:fldCharType="begin"/>
                    </w:r>
                    <w:r>
                      <w:instrText xml:space="preserve"> PAGE   \* MERGEFORMAT </w:instrText>
                    </w:r>
                    <w:r>
                      <w:fldChar w:fldCharType="separate"/>
                    </w:r>
                    <w:r>
                      <w:rPr>
                        <w:lang w:val="zh-CN"/>
                      </w:rPr>
                      <w:t>4</w:t>
                    </w:r>
                    <w:r>
                      <w:rPr>
                        <w:lang w:val="zh-CN"/>
                      </w:rPr>
                      <w:fldChar w:fldCharType="end"/>
                    </w:r>
                  </w:p>
                </w:txbxContent>
              </v:textbox>
            </v:shape>
          </w:pict>
        </mc:Fallback>
      </mc:AlternateConten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center"/>
                          </w:pPr>
                          <w:r>
                            <w:fldChar w:fldCharType="begin"/>
                          </w:r>
                          <w:r>
                            <w:instrText xml:space="preserve"> PAGE   \* MERGEFORMAT </w:instrText>
                          </w:r>
                          <w:r>
                            <w:fldChar w:fldCharType="separate"/>
                          </w:r>
                          <w:r>
                            <w:rPr>
                              <w:lang w:val="zh-CN"/>
                            </w:rPr>
                            <w:t>4</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jc w:val="center"/>
                    </w:pPr>
                    <w:r>
                      <w:fldChar w:fldCharType="begin"/>
                    </w:r>
                    <w:r>
                      <w:instrText xml:space="preserve"> PAGE   \* MERGEFORMAT </w:instrText>
                    </w:r>
                    <w:r>
                      <w:fldChar w:fldCharType="separate"/>
                    </w:r>
                    <w:r>
                      <w:rPr>
                        <w:lang w:val="zh-CN"/>
                      </w:rPr>
                      <w:t>4</w:t>
                    </w:r>
                    <w:r>
                      <w:rPr>
                        <w:lang w:val="zh-CN"/>
                      </w:rPr>
                      <w:fldChar w:fldCharType="end"/>
                    </w:r>
                  </w:p>
                </w:txbxContent>
              </v:textbox>
            </v:shape>
          </w:pict>
        </mc:Fallback>
      </mc:AlternateContent>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720" w:firstLine="180" w:firstLineChars="10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Style w:val="20"/>
                              <w:rFonts w:ascii="宋体" w:hAnsi="宋体"/>
                              <w:sz w:val="28"/>
                              <w:szCs w:val="28"/>
                            </w:rPr>
                          </w:pPr>
                          <w:r>
                            <w:rPr>
                              <w:rStyle w:val="20"/>
                              <w:rFonts w:hint="eastAsia" w:ascii="宋体" w:hAnsi="宋体"/>
                              <w:sz w:val="28"/>
                              <w:szCs w:val="28"/>
                            </w:rPr>
                            <w:t xml:space="preserve">— </w:t>
                          </w: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57</w:t>
                          </w:r>
                          <w:r>
                            <w:rPr>
                              <w:rFonts w:ascii="宋体" w:hAnsi="宋体"/>
                              <w:sz w:val="28"/>
                              <w:szCs w:val="28"/>
                            </w:rPr>
                            <w:fldChar w:fldCharType="end"/>
                          </w:r>
                          <w:r>
                            <w:rPr>
                              <w:rStyle w:val="20"/>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rPr>
                        <w:rStyle w:val="20"/>
                        <w:rFonts w:ascii="宋体" w:hAnsi="宋体"/>
                        <w:sz w:val="28"/>
                        <w:szCs w:val="28"/>
                      </w:rPr>
                    </w:pPr>
                    <w:r>
                      <w:rPr>
                        <w:rStyle w:val="20"/>
                        <w:rFonts w:hint="eastAsia" w:ascii="宋体" w:hAnsi="宋体"/>
                        <w:sz w:val="28"/>
                        <w:szCs w:val="28"/>
                      </w:rPr>
                      <w:t xml:space="preserve">— </w:t>
                    </w: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57</w:t>
                    </w:r>
                    <w:r>
                      <w:rPr>
                        <w:rFonts w:ascii="宋体" w:hAnsi="宋体"/>
                        <w:sz w:val="28"/>
                        <w:szCs w:val="28"/>
                      </w:rPr>
                      <w:fldChar w:fldCharType="end"/>
                    </w:r>
                    <w:r>
                      <w:rPr>
                        <w:rStyle w:val="20"/>
                        <w:rFonts w:hint="eastAsia" w:ascii="宋体" w:hAnsi="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0"/>
      </w:rPr>
    </w:pPr>
    <w:r>
      <w:fldChar w:fldCharType="begin"/>
    </w:r>
    <w:r>
      <w:rPr>
        <w:rStyle w:val="20"/>
      </w:rPr>
      <w:instrText xml:space="preserve">PAGE  </w:instrText>
    </w:r>
    <w:r>
      <w:fldChar w:fldCharType="end"/>
    </w:r>
  </w:p>
  <w:p>
    <w:pPr>
      <w:pStyle w:val="1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5AE09"/>
    <w:multiLevelType w:val="singleLevel"/>
    <w:tmpl w:val="83F5AE09"/>
    <w:lvl w:ilvl="0" w:tentative="0">
      <w:start w:val="1"/>
      <w:numFmt w:val="decimal"/>
      <w:suff w:val="nothing"/>
      <w:lvlText w:val="%1．"/>
      <w:lvlJc w:val="left"/>
      <w:pPr>
        <w:tabs>
          <w:tab w:val="left" w:pos="420"/>
        </w:tabs>
        <w:ind w:left="0" w:leftChars="0" w:firstLine="0" w:firstLineChars="0"/>
      </w:pPr>
    </w:lvl>
  </w:abstractNum>
  <w:abstractNum w:abstractNumId="1">
    <w:nsid w:val="CCEFB115"/>
    <w:multiLevelType w:val="singleLevel"/>
    <w:tmpl w:val="CCEFB115"/>
    <w:lvl w:ilvl="0" w:tentative="0">
      <w:start w:val="1"/>
      <w:numFmt w:val="decimal"/>
      <w:suff w:val="nothing"/>
      <w:lvlText w:val="%1."/>
      <w:lvlJc w:val="left"/>
    </w:lvl>
  </w:abstractNum>
  <w:abstractNum w:abstractNumId="2">
    <w:nsid w:val="EE290749"/>
    <w:multiLevelType w:val="singleLevel"/>
    <w:tmpl w:val="EE290749"/>
    <w:lvl w:ilvl="0" w:tentative="0">
      <w:start w:val="2"/>
      <w:numFmt w:val="chineseCountingThousand"/>
      <w:suff w:val="nothing"/>
      <w:lvlText w:val="（%1）"/>
      <w:lvlJc w:val="left"/>
      <w:pPr>
        <w:tabs>
          <w:tab w:val="left" w:pos="420"/>
        </w:tabs>
        <w:ind w:left="0" w:leftChars="0" w:firstLine="0" w:firstLineChars="0"/>
      </w:pPr>
      <w:rPr>
        <w:rFonts w:hint="eastAsia"/>
      </w:rPr>
    </w:lvl>
  </w:abstractNum>
  <w:abstractNum w:abstractNumId="3">
    <w:nsid w:val="2215C2E5"/>
    <w:multiLevelType w:val="singleLevel"/>
    <w:tmpl w:val="2215C2E5"/>
    <w:lvl w:ilvl="0" w:tentative="0">
      <w:start w:val="7"/>
      <w:numFmt w:val="chineseCountingThousand"/>
      <w:suff w:val="nothing"/>
      <w:lvlText w:val="%1、"/>
      <w:lvlJc w:val="left"/>
      <w:pPr>
        <w:tabs>
          <w:tab w:val="left" w:pos="420"/>
        </w:tabs>
        <w:ind w:left="0" w:leftChars="0" w:firstLine="0" w:firstLineChars="0"/>
      </w:pPr>
      <w:rPr>
        <w:rFonts w:hint="eastAsia"/>
      </w:rPr>
    </w:lvl>
  </w:abstractNum>
  <w:abstractNum w:abstractNumId="4">
    <w:nsid w:val="7A943454"/>
    <w:multiLevelType w:val="singleLevel"/>
    <w:tmpl w:val="7A943454"/>
    <w:lvl w:ilvl="0" w:tentative="0">
      <w:start w:val="1"/>
      <w:numFmt w:val="decimal"/>
      <w:pStyle w:val="6"/>
      <w:lvlText w:val="%1."/>
      <w:lvlJc w:val="left"/>
      <w:pPr>
        <w:tabs>
          <w:tab w:val="left" w:pos="360"/>
        </w:tabs>
        <w:ind w:left="360" w:hanging="360"/>
      </w:pPr>
    </w:lvl>
  </w:abstractNum>
  <w:abstractNum w:abstractNumId="5">
    <w:nsid w:val="7F0330E1"/>
    <w:multiLevelType w:val="singleLevel"/>
    <w:tmpl w:val="7F0330E1"/>
    <w:lvl w:ilvl="0" w:tentative="0">
      <w:start w:val="1"/>
      <w:numFmt w:val="chineseCountingThousand"/>
      <w:suff w:val="nothing"/>
      <w:lvlText w:val="（%1）"/>
      <w:lvlJc w:val="left"/>
      <w:pPr>
        <w:tabs>
          <w:tab w:val="left" w:pos="420"/>
        </w:tabs>
        <w:ind w:left="0" w:leftChars="0" w:firstLine="0" w:firstLineChars="0"/>
      </w:pPr>
      <w:rPr>
        <w:rFonts w:hint="eastAsia"/>
      </w:r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wZDJlMWFhMGNkOWFkMGQzY2UzZTQ0Nzc4N2FmZTcifQ=="/>
  </w:docVars>
  <w:rsids>
    <w:rsidRoot w:val="78E95D81"/>
    <w:rsid w:val="00A53D92"/>
    <w:rsid w:val="012C2BC2"/>
    <w:rsid w:val="02850273"/>
    <w:rsid w:val="033E7D6F"/>
    <w:rsid w:val="03A002AD"/>
    <w:rsid w:val="04960E16"/>
    <w:rsid w:val="04B95E1F"/>
    <w:rsid w:val="05733052"/>
    <w:rsid w:val="06757F4C"/>
    <w:rsid w:val="07452362"/>
    <w:rsid w:val="07A111CC"/>
    <w:rsid w:val="091121B6"/>
    <w:rsid w:val="09416F9C"/>
    <w:rsid w:val="09640802"/>
    <w:rsid w:val="0A040B37"/>
    <w:rsid w:val="0A9450C5"/>
    <w:rsid w:val="0C2B1A59"/>
    <w:rsid w:val="0C3C7A4D"/>
    <w:rsid w:val="0D58062B"/>
    <w:rsid w:val="0D6574E3"/>
    <w:rsid w:val="0DB96D9E"/>
    <w:rsid w:val="0F0A3BA7"/>
    <w:rsid w:val="0FAF611A"/>
    <w:rsid w:val="10D964BD"/>
    <w:rsid w:val="129F0080"/>
    <w:rsid w:val="12C30C3D"/>
    <w:rsid w:val="13897551"/>
    <w:rsid w:val="139A1FCC"/>
    <w:rsid w:val="154C4A76"/>
    <w:rsid w:val="15C1550A"/>
    <w:rsid w:val="1653052A"/>
    <w:rsid w:val="16641A9A"/>
    <w:rsid w:val="166458DD"/>
    <w:rsid w:val="16690C14"/>
    <w:rsid w:val="166F0EAA"/>
    <w:rsid w:val="16E20D61"/>
    <w:rsid w:val="1732730E"/>
    <w:rsid w:val="17DE3E23"/>
    <w:rsid w:val="18251A52"/>
    <w:rsid w:val="186C6AAE"/>
    <w:rsid w:val="190A3382"/>
    <w:rsid w:val="199E386A"/>
    <w:rsid w:val="1A66640A"/>
    <w:rsid w:val="1A8F4299"/>
    <w:rsid w:val="1A9A3C5A"/>
    <w:rsid w:val="1AFE6F04"/>
    <w:rsid w:val="1C03369A"/>
    <w:rsid w:val="1E7C48B5"/>
    <w:rsid w:val="1F4E7D01"/>
    <w:rsid w:val="1F5270C9"/>
    <w:rsid w:val="1FF137F3"/>
    <w:rsid w:val="2036403B"/>
    <w:rsid w:val="21D6624A"/>
    <w:rsid w:val="22D8766B"/>
    <w:rsid w:val="23CA4912"/>
    <w:rsid w:val="25444566"/>
    <w:rsid w:val="255527CF"/>
    <w:rsid w:val="259E376E"/>
    <w:rsid w:val="25F60708"/>
    <w:rsid w:val="27181248"/>
    <w:rsid w:val="284101E2"/>
    <w:rsid w:val="284545B5"/>
    <w:rsid w:val="29710802"/>
    <w:rsid w:val="2A9F7B53"/>
    <w:rsid w:val="2B070347"/>
    <w:rsid w:val="2B8166CF"/>
    <w:rsid w:val="2C8763E0"/>
    <w:rsid w:val="2CA174A1"/>
    <w:rsid w:val="2D3F62DD"/>
    <w:rsid w:val="2E033BFD"/>
    <w:rsid w:val="2EBA6F40"/>
    <w:rsid w:val="2EF43CAC"/>
    <w:rsid w:val="30355640"/>
    <w:rsid w:val="30AF46A8"/>
    <w:rsid w:val="30E47066"/>
    <w:rsid w:val="3206202B"/>
    <w:rsid w:val="34847083"/>
    <w:rsid w:val="349A72C3"/>
    <w:rsid w:val="34E5343E"/>
    <w:rsid w:val="359B742E"/>
    <w:rsid w:val="35D7324A"/>
    <w:rsid w:val="36512CA3"/>
    <w:rsid w:val="37263407"/>
    <w:rsid w:val="376E1E32"/>
    <w:rsid w:val="377643BE"/>
    <w:rsid w:val="38262F51"/>
    <w:rsid w:val="397C1F04"/>
    <w:rsid w:val="3A460FFD"/>
    <w:rsid w:val="3A711B0F"/>
    <w:rsid w:val="3AC5424C"/>
    <w:rsid w:val="3AE71D69"/>
    <w:rsid w:val="3C9E36B3"/>
    <w:rsid w:val="3CD127EB"/>
    <w:rsid w:val="3D5A4DF8"/>
    <w:rsid w:val="407F03D4"/>
    <w:rsid w:val="413F3E4F"/>
    <w:rsid w:val="41937CFE"/>
    <w:rsid w:val="41984EBF"/>
    <w:rsid w:val="43A833B4"/>
    <w:rsid w:val="43BB5A92"/>
    <w:rsid w:val="446816BA"/>
    <w:rsid w:val="44D86109"/>
    <w:rsid w:val="45B103BB"/>
    <w:rsid w:val="46C81ECF"/>
    <w:rsid w:val="46DE25C5"/>
    <w:rsid w:val="47081113"/>
    <w:rsid w:val="48FA0FF0"/>
    <w:rsid w:val="49452816"/>
    <w:rsid w:val="49E41780"/>
    <w:rsid w:val="4A776F34"/>
    <w:rsid w:val="4AF173EE"/>
    <w:rsid w:val="4AF36FF3"/>
    <w:rsid w:val="4C256444"/>
    <w:rsid w:val="4C97154F"/>
    <w:rsid w:val="4CA83642"/>
    <w:rsid w:val="4CFF6B7D"/>
    <w:rsid w:val="4DAF115D"/>
    <w:rsid w:val="4EA81658"/>
    <w:rsid w:val="4F0B7D8C"/>
    <w:rsid w:val="4F6F1183"/>
    <w:rsid w:val="50153290"/>
    <w:rsid w:val="50982878"/>
    <w:rsid w:val="51131AF5"/>
    <w:rsid w:val="51603DE8"/>
    <w:rsid w:val="51814BE3"/>
    <w:rsid w:val="52001B34"/>
    <w:rsid w:val="52280E42"/>
    <w:rsid w:val="52AA3BD3"/>
    <w:rsid w:val="52CB6777"/>
    <w:rsid w:val="52F97853"/>
    <w:rsid w:val="531D1D3B"/>
    <w:rsid w:val="54602A1F"/>
    <w:rsid w:val="54FB1595"/>
    <w:rsid w:val="568E77BC"/>
    <w:rsid w:val="56AB6D5E"/>
    <w:rsid w:val="58E77445"/>
    <w:rsid w:val="5B275F2D"/>
    <w:rsid w:val="5C1A1B2F"/>
    <w:rsid w:val="5D514781"/>
    <w:rsid w:val="5E3A1126"/>
    <w:rsid w:val="5E8250F2"/>
    <w:rsid w:val="60664E21"/>
    <w:rsid w:val="608841C5"/>
    <w:rsid w:val="609815BC"/>
    <w:rsid w:val="613B6AB1"/>
    <w:rsid w:val="61A77CCB"/>
    <w:rsid w:val="61D276B4"/>
    <w:rsid w:val="628E57A9"/>
    <w:rsid w:val="629848C7"/>
    <w:rsid w:val="632C6A25"/>
    <w:rsid w:val="637B6651"/>
    <w:rsid w:val="63DA40BE"/>
    <w:rsid w:val="643028DD"/>
    <w:rsid w:val="64953E3C"/>
    <w:rsid w:val="653A731D"/>
    <w:rsid w:val="654303BB"/>
    <w:rsid w:val="65640A91"/>
    <w:rsid w:val="657B763E"/>
    <w:rsid w:val="659F4BDC"/>
    <w:rsid w:val="65EC668D"/>
    <w:rsid w:val="664C6822"/>
    <w:rsid w:val="67AE0D16"/>
    <w:rsid w:val="681008B5"/>
    <w:rsid w:val="69E403F2"/>
    <w:rsid w:val="6C45573D"/>
    <w:rsid w:val="6CE64481"/>
    <w:rsid w:val="6E296387"/>
    <w:rsid w:val="6E5D75DC"/>
    <w:rsid w:val="6E8F5FB4"/>
    <w:rsid w:val="6FF72921"/>
    <w:rsid w:val="7025307A"/>
    <w:rsid w:val="71136CD7"/>
    <w:rsid w:val="72EC74C4"/>
    <w:rsid w:val="7426442E"/>
    <w:rsid w:val="744877CF"/>
    <w:rsid w:val="74FB3482"/>
    <w:rsid w:val="75432946"/>
    <w:rsid w:val="759149C7"/>
    <w:rsid w:val="75C87AE8"/>
    <w:rsid w:val="77006F06"/>
    <w:rsid w:val="7721508F"/>
    <w:rsid w:val="77CD33DE"/>
    <w:rsid w:val="77ED0327"/>
    <w:rsid w:val="78093A6C"/>
    <w:rsid w:val="78E95D81"/>
    <w:rsid w:val="795A5C11"/>
    <w:rsid w:val="798E2CBF"/>
    <w:rsid w:val="79931392"/>
    <w:rsid w:val="7ABC1A24"/>
    <w:rsid w:val="7B657F29"/>
    <w:rsid w:val="7C7845DB"/>
    <w:rsid w:val="7C8E0E31"/>
    <w:rsid w:val="7CC573B1"/>
    <w:rsid w:val="7DC842D9"/>
    <w:rsid w:val="7EA710C3"/>
    <w:rsid w:val="7EFC1F1D"/>
    <w:rsid w:val="7F567EE9"/>
    <w:rsid w:val="7F6467FE"/>
    <w:rsid w:val="7F985AAF"/>
    <w:rsid w:val="7F9F031B"/>
    <w:rsid w:val="7FC05959"/>
    <w:rsid w:val="7FFC1B5D"/>
    <w:rsid w:val="EF9D602C"/>
    <w:rsid w:val="FCFF14E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1"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0" w:firstLineChars="0"/>
      <w:jc w:val="both"/>
    </w:pPr>
    <w:rPr>
      <w:rFonts w:ascii="Calibri" w:hAnsi="Calibri" w:eastAsia="仿宋" w:cs="Times New Roman"/>
      <w:kern w:val="2"/>
      <w:sz w:val="24"/>
      <w:szCs w:val="22"/>
      <w:lang w:val="en-US" w:eastAsia="zh-CN" w:bidi="ar-SA"/>
    </w:rPr>
  </w:style>
  <w:style w:type="paragraph" w:styleId="2">
    <w:name w:val="heading 1"/>
    <w:basedOn w:val="1"/>
    <w:next w:val="1"/>
    <w:link w:val="27"/>
    <w:autoRedefine/>
    <w:qFormat/>
    <w:uiPriority w:val="0"/>
    <w:pPr>
      <w:keepNext/>
      <w:keepLines/>
      <w:spacing w:before="100" w:beforeLines="0" w:beforeAutospacing="0" w:after="330" w:afterLines="0" w:afterAutospacing="0" w:line="360" w:lineRule="auto"/>
      <w:ind w:firstLine="1004" w:firstLineChars="200"/>
      <w:jc w:val="center"/>
      <w:outlineLvl w:val="0"/>
    </w:pPr>
    <w:rPr>
      <w:rFonts w:eastAsia="宋体"/>
      <w:b/>
      <w:kern w:val="44"/>
      <w:sz w:val="44"/>
    </w:rPr>
  </w:style>
  <w:style w:type="paragraph" w:styleId="3">
    <w:name w:val="heading 2"/>
    <w:basedOn w:val="1"/>
    <w:next w:val="1"/>
    <w:link w:val="28"/>
    <w:autoRedefine/>
    <w:unhideWhenUsed/>
    <w:qFormat/>
    <w:uiPriority w:val="0"/>
    <w:pPr>
      <w:keepNext/>
      <w:keepLines/>
      <w:spacing w:before="360" w:beforeLines="0" w:beforeAutospacing="0" w:after="60" w:afterLines="0" w:afterAutospacing="0" w:line="360" w:lineRule="auto"/>
      <w:ind w:firstLine="1004" w:firstLineChars="200"/>
      <w:jc w:val="left"/>
      <w:outlineLvl w:val="1"/>
    </w:pPr>
    <w:rPr>
      <w:rFonts w:ascii="Arial" w:hAnsi="Arial" w:eastAsia="黑体"/>
      <w:b/>
    </w:rPr>
  </w:style>
  <w:style w:type="paragraph" w:styleId="4">
    <w:name w:val="heading 3"/>
    <w:basedOn w:val="1"/>
    <w:next w:val="1"/>
    <w:autoRedefine/>
    <w:qFormat/>
    <w:uiPriority w:val="1"/>
    <w:pPr>
      <w:keepNext/>
      <w:keepLines/>
      <w:spacing w:before="140" w:beforeLines="0" w:beforeAutospacing="0" w:after="140" w:afterLines="0" w:afterAutospacing="0" w:line="360" w:lineRule="auto"/>
      <w:ind w:firstLine="1004" w:firstLineChars="200"/>
      <w:jc w:val="left"/>
      <w:outlineLvl w:val="2"/>
    </w:pPr>
    <w:rPr>
      <w:rFonts w:eastAsia="仿宋"/>
      <w:b/>
    </w:rPr>
  </w:style>
  <w:style w:type="paragraph" w:styleId="5">
    <w:name w:val="heading 4"/>
    <w:basedOn w:val="1"/>
    <w:next w:val="1"/>
    <w:autoRedefine/>
    <w:unhideWhenUsed/>
    <w:qFormat/>
    <w:uiPriority w:val="0"/>
    <w:pPr>
      <w:keepNext/>
      <w:keepLines/>
      <w:spacing w:before="280" w:beforeLines="0" w:beforeAutospacing="0" w:after="290" w:afterLines="0" w:afterAutospacing="0" w:line="240" w:lineRule="auto"/>
      <w:ind w:firstLine="1004" w:firstLineChars="200"/>
      <w:outlineLvl w:val="3"/>
    </w:pPr>
    <w:rPr>
      <w:rFonts w:ascii="Arial" w:hAnsi="Arial" w:eastAsia="仿宋"/>
      <w:sz w:val="28"/>
    </w:rPr>
  </w:style>
  <w:style w:type="character" w:default="1" w:styleId="19">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6">
    <w:name w:val="List Number"/>
    <w:basedOn w:val="1"/>
    <w:autoRedefine/>
    <w:qFormat/>
    <w:uiPriority w:val="0"/>
    <w:pPr>
      <w:numPr>
        <w:ilvl w:val="0"/>
        <w:numId w:val="1"/>
      </w:numPr>
    </w:pPr>
  </w:style>
  <w:style w:type="paragraph" w:styleId="7">
    <w:name w:val="caption"/>
    <w:basedOn w:val="1"/>
    <w:next w:val="1"/>
    <w:autoRedefine/>
    <w:qFormat/>
    <w:uiPriority w:val="0"/>
    <w:pPr>
      <w:spacing w:before="152" w:after="160"/>
    </w:pPr>
    <w:rPr>
      <w:rFonts w:ascii="Arial" w:hAnsi="Arial" w:eastAsia="黑体"/>
      <w:sz w:val="20"/>
      <w:szCs w:val="20"/>
    </w:rPr>
  </w:style>
  <w:style w:type="paragraph" w:styleId="8">
    <w:name w:val="annotation text"/>
    <w:basedOn w:val="1"/>
    <w:autoRedefine/>
    <w:qFormat/>
    <w:uiPriority w:val="0"/>
    <w:pPr>
      <w:jc w:val="left"/>
    </w:pPr>
  </w:style>
  <w:style w:type="paragraph" w:styleId="9">
    <w:name w:val="Body Text"/>
    <w:basedOn w:val="1"/>
    <w:autoRedefine/>
    <w:qFormat/>
    <w:uiPriority w:val="0"/>
    <w:pPr>
      <w:spacing w:after="120"/>
    </w:pPr>
    <w:rPr>
      <w:rFonts w:ascii="Times New Roman" w:hAnsi="Times New Roman"/>
      <w:sz w:val="28"/>
      <w:szCs w:val="24"/>
    </w:rPr>
  </w:style>
  <w:style w:type="paragraph" w:styleId="10">
    <w:name w:val="Body Text Indent"/>
    <w:basedOn w:val="1"/>
    <w:autoRedefine/>
    <w:qFormat/>
    <w:uiPriority w:val="0"/>
    <w:pPr>
      <w:spacing w:line="200" w:lineRule="exact"/>
      <w:ind w:firstLine="301"/>
    </w:pPr>
    <w:rPr>
      <w:rFonts w:ascii="宋体" w:hAnsi="Courier New"/>
      <w:spacing w:val="-4"/>
      <w:sz w:val="18"/>
      <w:szCs w:val="20"/>
    </w:rPr>
  </w:style>
  <w:style w:type="paragraph" w:styleId="11">
    <w:name w:val="Plain Text"/>
    <w:basedOn w:val="1"/>
    <w:autoRedefine/>
    <w:qFormat/>
    <w:uiPriority w:val="0"/>
    <w:pPr>
      <w:spacing w:beforeLines="50" w:afterLines="50" w:line="400" w:lineRule="exact"/>
    </w:pPr>
    <w:rPr>
      <w:rFonts w:ascii="宋体" w:hAnsi="Courier New"/>
      <w:sz w:val="24"/>
      <w:szCs w:val="24"/>
    </w:rPr>
  </w:style>
  <w:style w:type="paragraph" w:styleId="12">
    <w:name w:val="Date"/>
    <w:basedOn w:val="1"/>
    <w:next w:val="1"/>
    <w:autoRedefine/>
    <w:qFormat/>
    <w:uiPriority w:val="99"/>
    <w:pPr>
      <w:ind w:left="2500" w:leftChars="2500"/>
    </w:pPr>
    <w:rPr>
      <w:rFonts w:ascii="Times New Roman" w:hAnsi="Times New Roman" w:eastAsia="楷体_GB2312"/>
      <w:sz w:val="32"/>
      <w:szCs w:val="20"/>
    </w:rPr>
  </w:style>
  <w:style w:type="paragraph" w:styleId="13">
    <w:name w:val="footer"/>
    <w:basedOn w:val="1"/>
    <w:autoRedefine/>
    <w:unhideWhenUsed/>
    <w:qFormat/>
    <w:uiPriority w:val="99"/>
    <w:pPr>
      <w:tabs>
        <w:tab w:val="center" w:pos="4153"/>
        <w:tab w:val="right" w:pos="8306"/>
      </w:tabs>
      <w:snapToGrid w:val="0"/>
      <w:jc w:val="left"/>
    </w:pPr>
    <w:rPr>
      <w:rFonts w:ascii="Times New Roman" w:hAnsi="Times New Roman"/>
      <w:sz w:val="18"/>
      <w:szCs w:val="18"/>
    </w:rPr>
  </w:style>
  <w:style w:type="paragraph" w:styleId="14">
    <w:name w:val="header"/>
    <w:basedOn w:val="1"/>
    <w:autoRedefine/>
    <w:unhideWhenUsed/>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5">
    <w:name w:val="toc 1"/>
    <w:basedOn w:val="1"/>
    <w:next w:val="1"/>
    <w:autoRedefine/>
    <w:qFormat/>
    <w:uiPriority w:val="39"/>
    <w:pPr>
      <w:spacing w:before="240" w:after="240"/>
    </w:pPr>
    <w:rPr>
      <w:rFonts w:ascii="Times New Roman" w:hAnsi="Times New Roman" w:eastAsia="仿宋"/>
      <w:sz w:val="36"/>
      <w:szCs w:val="24"/>
    </w:rPr>
  </w:style>
  <w:style w:type="paragraph" w:styleId="16">
    <w:name w:val="Body Text 2"/>
    <w:basedOn w:val="1"/>
    <w:autoRedefine/>
    <w:qFormat/>
    <w:uiPriority w:val="99"/>
    <w:pPr>
      <w:widowControl/>
      <w:snapToGrid w:val="0"/>
      <w:spacing w:before="50" w:afterLines="50" w:line="400" w:lineRule="exact"/>
      <w:jc w:val="left"/>
    </w:pPr>
    <w:rPr>
      <w:rFonts w:ascii="宋体" w:hAnsi="宋体"/>
      <w:color w:val="000000"/>
      <w:sz w:val="24"/>
      <w:szCs w:val="24"/>
    </w:rPr>
  </w:style>
  <w:style w:type="paragraph" w:styleId="17">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character" w:styleId="20">
    <w:name w:val="page number"/>
    <w:autoRedefine/>
    <w:qFormat/>
    <w:uiPriority w:val="0"/>
  </w:style>
  <w:style w:type="character" w:styleId="21">
    <w:name w:val="Hyperlink"/>
    <w:autoRedefine/>
    <w:qFormat/>
    <w:uiPriority w:val="99"/>
    <w:rPr>
      <w:color w:val="0000FF"/>
      <w:u w:val="single"/>
    </w:rPr>
  </w:style>
  <w:style w:type="character" w:styleId="22">
    <w:name w:val="HTML Sample"/>
    <w:basedOn w:val="19"/>
    <w:autoRedefine/>
    <w:qFormat/>
    <w:uiPriority w:val="0"/>
    <w:rPr>
      <w:rFonts w:ascii="Courier New" w:hAnsi="Courier New"/>
    </w:rPr>
  </w:style>
  <w:style w:type="paragraph" w:customStyle="1" w:styleId="23">
    <w:name w:val="正文段"/>
    <w:basedOn w:val="1"/>
    <w:autoRedefine/>
    <w:qFormat/>
    <w:uiPriority w:val="99"/>
    <w:pPr>
      <w:widowControl/>
      <w:snapToGrid w:val="0"/>
      <w:spacing w:afterLines="50"/>
      <w:ind w:firstLine="200" w:firstLineChars="200"/>
    </w:pPr>
    <w:rPr>
      <w:rFonts w:ascii="Times New Roman" w:hAnsi="Times New Roman"/>
      <w:kern w:val="0"/>
      <w:sz w:val="24"/>
      <w:szCs w:val="20"/>
    </w:rPr>
  </w:style>
  <w:style w:type="paragraph" w:styleId="24">
    <w:name w:val="List Paragraph"/>
    <w:basedOn w:val="1"/>
    <w:autoRedefine/>
    <w:qFormat/>
    <w:uiPriority w:val="0"/>
    <w:pPr>
      <w:ind w:firstLine="420" w:firstLineChars="200"/>
    </w:pPr>
    <w:rPr>
      <w:rFonts w:ascii="Times New Roman" w:hAnsi="Times New Roman"/>
    </w:rPr>
  </w:style>
  <w:style w:type="paragraph" w:customStyle="1" w:styleId="25">
    <w:name w:val="正文2"/>
    <w:basedOn w:val="1"/>
    <w:autoRedefine/>
    <w:qFormat/>
    <w:uiPriority w:val="0"/>
    <w:pPr>
      <w:spacing w:before="156" w:line="360" w:lineRule="auto"/>
      <w:ind w:firstLine="510" w:firstLineChars="200"/>
    </w:pPr>
    <w:rPr>
      <w:rFonts w:ascii="Times New Roman" w:hAnsi="Times New Roman"/>
      <w:sz w:val="24"/>
      <w:szCs w:val="20"/>
    </w:rPr>
  </w:style>
  <w:style w:type="paragraph" w:customStyle="1" w:styleId="26">
    <w:name w:val="Table Text"/>
    <w:basedOn w:val="1"/>
    <w:autoRedefine/>
    <w:semiHidden/>
    <w:qFormat/>
    <w:uiPriority w:val="0"/>
    <w:rPr>
      <w:rFonts w:ascii="宋体" w:hAnsi="宋体" w:eastAsia="宋体" w:cs="宋体"/>
      <w:sz w:val="22"/>
      <w:szCs w:val="22"/>
      <w:lang w:val="en-US" w:eastAsia="en-US" w:bidi="ar-SA"/>
    </w:rPr>
  </w:style>
  <w:style w:type="character" w:customStyle="1" w:styleId="27">
    <w:name w:val="标题 1 Char"/>
    <w:link w:val="2"/>
    <w:autoRedefine/>
    <w:qFormat/>
    <w:uiPriority w:val="0"/>
    <w:rPr>
      <w:rFonts w:eastAsia="宋体"/>
      <w:b/>
      <w:kern w:val="44"/>
      <w:sz w:val="44"/>
    </w:rPr>
  </w:style>
  <w:style w:type="character" w:customStyle="1" w:styleId="28">
    <w:name w:val="标题 2 Char"/>
    <w:link w:val="3"/>
    <w:autoRedefine/>
    <w:qFormat/>
    <w:uiPriority w:val="0"/>
    <w:rPr>
      <w:rFonts w:ascii="Arial" w:hAnsi="Arial" w:eastAsia="黑体"/>
      <w:b/>
    </w:rPr>
  </w:style>
  <w:style w:type="paragraph" w:customStyle="1" w:styleId="29">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162</Pages>
  <Words>480</Words>
  <Characters>552</Characters>
  <Lines>0</Lines>
  <Paragraphs>0</Paragraphs>
  <TotalTime>24</TotalTime>
  <ScaleCrop>false</ScaleCrop>
  <LinksUpToDate>false</LinksUpToDate>
  <CharactersWithSpaces>590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2023-10-08T07:52:00Z</dcterms:created>
  <dc:creator>sco64</dc:creator>
  <cp:lastModifiedBy>蒋文菲</cp:lastModifiedBy>
  <cp:lastPrinted>2024-11-09T00:57:00Z</cp:lastPrinted>
  <dcterms:modified xsi:type="dcterms:W3CDTF">2024-12-20T09:47:54Z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5320937133E14EDCB9AE1A3B2B721DF2_13</vt:lpwstr>
  </property>
</Properties>
</file>