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ascii="黑体" w:eastAsia="黑体"/>
          <w:sz w:val="32"/>
          <w:lang w:eastAsia="zh-CN"/>
        </w:rPr>
      </w:pPr>
      <w:bookmarkStart w:id="0" w:name="urgentLevel"/>
      <w:r>
        <w:rPr>
          <w:rFonts w:hint="eastAsia" w:ascii="黑体" w:eastAsia="黑体"/>
          <w:sz w:val="32"/>
          <w:lang w:eastAsia="zh-CN"/>
        </w:rPr>
        <w:t>加  急</w:t>
      </w:r>
      <w:bookmarkEnd w:id="0"/>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tbl>
      <w:tblPr>
        <w:tblStyle w:val="6"/>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8"/>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04" w:hRule="atLeast"/>
          <w:jc w:val="center"/>
        </w:trPr>
        <w:tc>
          <w:tcPr>
            <w:tcW w:w="6768" w:type="dxa"/>
            <w:vAlign w:val="top"/>
          </w:tcPr>
          <w:p>
            <w:pPr>
              <w:jc w:val="distribute"/>
              <w:rPr>
                <w:rFonts w:hint="eastAsia" w:ascii="方正小标宋简体" w:eastAsia="方正小标宋简体"/>
                <w:vanish w:val="0"/>
                <w:color w:val="FF0000"/>
                <w:sz w:val="44"/>
                <w:szCs w:val="44"/>
                <w:lang w:eastAsia="zh-CN"/>
              </w:rPr>
            </w:pPr>
            <w:bookmarkStart w:id="1" w:name="markhead"/>
            <w:r>
              <w:rPr>
                <w:rFonts w:hint="eastAsia" w:ascii="方正小标宋简体" w:eastAsia="方正小标宋简体"/>
                <w:vanish w:val="0"/>
                <w:color w:val="FF0000"/>
                <w:sz w:val="44"/>
                <w:szCs w:val="44"/>
                <w:lang w:eastAsia="zh-CN"/>
              </w:rPr>
              <w:t>浙江省财政厅</w:t>
            </w:r>
            <w:bookmarkEnd w:id="1"/>
          </w:p>
        </w:tc>
        <w:tc>
          <w:tcPr>
            <w:tcW w:w="2292" w:type="dxa"/>
            <w:vAlign w:val="center"/>
          </w:tcPr>
          <w:p>
            <w:pPr>
              <w:jc w:val="distribute"/>
              <w:rPr>
                <w:rFonts w:hint="eastAsia" w:ascii="方正小标宋简体" w:eastAsia="方正小标宋简体"/>
                <w:vanish w:val="0"/>
                <w:color w:val="FF0000"/>
                <w:sz w:val="44"/>
                <w:szCs w:val="44"/>
                <w:lang w:eastAsia="zh-CN"/>
              </w:rPr>
            </w:pPr>
            <w:bookmarkStart w:id="2" w:name="fileType"/>
            <w:r>
              <w:rPr>
                <w:rFonts w:hint="eastAsia" w:ascii="方正小标宋简体" w:eastAsia="方正小标宋简体"/>
                <w:vanish w:val="0"/>
                <w:color w:val="FF0000"/>
                <w:sz w:val="44"/>
                <w:szCs w:val="44"/>
                <w:lang w:eastAsia="zh-CN"/>
              </w:rPr>
              <w:t>文件</w:t>
            </w:r>
            <w:bookmarkEnd w:id="2"/>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eastAsia="仿宋_GB2312"/>
        </w:rPr>
      </w:pPr>
    </w:p>
    <w:p>
      <w:pPr>
        <w:jc w:val="center"/>
        <w:rPr>
          <w:rFonts w:hint="eastAsia" w:eastAsia="仿宋_GB2312"/>
          <w:sz w:val="32"/>
          <w:lang w:eastAsia="zh-CN"/>
        </w:rPr>
      </w:pPr>
      <w:bookmarkStart w:id="3" w:name="_GoBack"/>
      <w:r>
        <w:rPr>
          <w:rFonts w:hint="eastAsia" w:ascii="仿宋_GB2312" w:hAnsi="仿宋_GB2312" w:eastAsia="仿宋_GB2312" w:cs="仿宋_GB2312"/>
          <w:sz w:val="32"/>
          <w:lang w:eastAsia="zh-CN"/>
        </w:rPr>
        <w:t>浙财采监〔2017〕6号</w:t>
      </w:r>
    </w:p>
    <w:bookmarkEnd w:id="3"/>
    <w:p>
      <w:pPr>
        <w:tabs>
          <w:tab w:val="left" w:pos="3071"/>
        </w:tabs>
        <w:rPr>
          <w:rFonts w:hint="eastAsia" w:ascii="仿宋_GB2312" w:eastAsia="仿宋_GB2312"/>
          <w:vanish w:val="0"/>
          <w:szCs w:val="21"/>
        </w:rPr>
      </w:pPr>
      <w:r>
        <w:rPr>
          <w:rFonts w:ascii="仿宋_GB2312" w:eastAsia="仿宋_GB2312"/>
          <w:vanish w:val="0"/>
          <w:sz w:val="2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230505</wp:posOffset>
                </wp:positionV>
                <wp:extent cx="5529580" cy="0"/>
                <wp:effectExtent l="0" t="0" r="0" b="0"/>
                <wp:wrapNone/>
                <wp:docPr id="1" name="Line 2"/>
                <wp:cNvGraphicFramePr/>
                <a:graphic xmlns:a="http://schemas.openxmlformats.org/drawingml/2006/main">
                  <a:graphicData uri="http://schemas.microsoft.com/office/word/2010/wordprocessingShape">
                    <wps:wsp>
                      <wps:cNvSpPr/>
                      <wps:spPr>
                        <a:xfrm>
                          <a:off x="0" y="0"/>
                          <a:ext cx="55295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18.15pt;height:0pt;width:435.4pt;z-index:251658240;mso-width-relative:page;mso-height-relative:page;" filled="f" stroked="t" coordsize="21600,21600" o:gfxdata="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jK9XtQAAAAGAQAADwAAAAAAAAABACAAAAAiAAAAZHJzL2Rvd25yZXYueG1s&#10;UEsBAhQAFAAAAAgAh07iQLfSxg/DAQAAjAMAAA4AAAAAAAAAAQAgAAAAIwEAAGRycy9lMm9Eb2Mu&#10;eG1sUEsFBgAAAAAGAAYAWQEAAFgFAAAAAA==&#10;">
                <v:path arrowok="t"/>
                <v:fill on="f" focussize="0,0"/>
                <v:stroke weight="2.25pt" color="#FF0000"/>
                <v:imagedata o:title=""/>
                <o:lock v:ext="edit" grouping="f" rotation="f" text="f" aspectratio="f"/>
              </v:line>
            </w:pict>
          </mc:Fallback>
        </mc:AlternateContent>
      </w:r>
      <w:r>
        <w:rPr>
          <w:rFonts w:hint="eastAsia" w:ascii="仿宋_GB2312" w:eastAsia="仿宋_GB2312"/>
          <w:vanish w:val="0"/>
          <w:szCs w:val="21"/>
          <w:lang w:eastAsia="zh-CN"/>
        </w:rPr>
        <w:tab/>
      </w: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lang w:eastAsia="zh-CN"/>
        </w:rPr>
      </w:pPr>
      <w:r>
        <w:rPr>
          <w:rFonts w:hint="eastAsia" w:ascii="方正小标宋简体" w:eastAsia="方正小标宋简体"/>
          <w:sz w:val="44"/>
          <w:lang w:eastAsia="zh-CN"/>
        </w:rPr>
        <w:t>浙江省财政厅关于印发浙江省2017年度</w:t>
      </w:r>
    </w:p>
    <w:p>
      <w:pPr>
        <w:snapToGrid w:val="0"/>
        <w:jc w:val="center"/>
        <w:rPr>
          <w:rFonts w:hint="eastAsia" w:ascii="方正小标宋简体" w:eastAsia="方正小标宋简体"/>
          <w:sz w:val="44"/>
          <w:lang w:eastAsia="zh-CN"/>
        </w:rPr>
      </w:pPr>
      <w:r>
        <w:rPr>
          <w:rFonts w:hint="eastAsia" w:ascii="方正小标宋简体" w:eastAsia="方正小标宋简体"/>
          <w:sz w:val="44"/>
          <w:lang w:eastAsia="zh-CN"/>
        </w:rPr>
        <w:t>政府采购品目分类目录的通知</w:t>
      </w:r>
    </w:p>
    <w:p>
      <w:pPr>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各市、县（市、区）财政局，省政府直属各单位</w:t>
      </w:r>
      <w:r>
        <w:rPr>
          <w:rFonts w:hint="eastAsia" w:ascii="仿宋_GB2312" w:hAnsi="仿宋_GB2312" w:eastAsia="仿宋_GB2312" w:cs="仿宋_GB2312"/>
          <w:sz w:val="32"/>
          <w:szCs w:val="32"/>
        </w:rPr>
        <w:t>：</w:t>
      </w: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按照省政府办公厅《关于公布浙江省2017年度政府集中采购目录及采购限额标准的通知》（浙政办发〔2016〕167号）要求，现将《浙江省2017年度政府采购品目分类目录》印发给你们，请遵照执行。</w:t>
      </w: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执行中的意见和建议，请及时向省财政厅政府采购监管处反馈。联系人：冯华，电话：0571-87055741。</w:t>
      </w:r>
    </w:p>
    <w:p>
      <w:pPr>
        <w:ind w:firstLine="623"/>
        <w:jc w:val="left"/>
        <w:rPr>
          <w:rFonts w:hint="eastAsia" w:ascii="仿宋_GB2312" w:hAnsi="仿宋_GB2312" w:eastAsia="仿宋_GB2312" w:cs="仿宋_GB2312"/>
          <w:sz w:val="32"/>
          <w:szCs w:val="32"/>
          <w:lang w:val="en-US" w:eastAsia="zh-CN"/>
        </w:rPr>
      </w:pPr>
    </w:p>
    <w:p>
      <w:pPr>
        <w:ind w:firstLine="623"/>
        <w:jc w:val="left"/>
        <w:rPr>
          <w:rFonts w:hint="eastAsia" w:ascii="仿宋_GB2312" w:hAnsi="仿宋_GB2312" w:eastAsia="仿宋_GB2312" w:cs="仿宋_GB2312"/>
          <w:sz w:val="32"/>
          <w:szCs w:val="32"/>
          <w:lang w:val="en-US" w:eastAsia="zh-CN"/>
        </w:rPr>
      </w:pP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附件：浙江省2017年度政府采购品目分类目录</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tabs>
          <w:tab w:val="left" w:pos="4554"/>
        </w:tabs>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浙江省财政厅  </w:t>
      </w:r>
    </w:p>
    <w:p>
      <w:pPr>
        <w:spacing w:line="560" w:lineRule="exact"/>
        <w:ind w:left="3027" w:leftChars="1500"/>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spacing w:line="560" w:lineRule="exact"/>
        <w:rPr>
          <w:rFonts w:hint="eastAsia" w:ascii="仿宋_GB2312" w:eastAsia="仿宋_GB2312"/>
          <w:sz w:val="30"/>
          <w:lang w:val="en-US" w:eastAsia="zh-CN"/>
        </w:rPr>
      </w:pPr>
      <w:r>
        <w:rPr>
          <w:rFonts w:hint="eastAsia" w:ascii="仿宋_GB2312" w:eastAsia="仿宋_GB2312"/>
          <w:sz w:val="30"/>
          <w:lang w:val="en-US" w:eastAsia="zh-CN"/>
        </w:rPr>
        <w:t xml:space="preserve">    （此件公开发布）</w:t>
      </w: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snapToGrid/>
        <w:spacing w:line="240" w:lineRule="auto"/>
        <w:jc w:val="left"/>
        <w:rPr>
          <w:rFonts w:hint="eastAsia" w:ascii="仿宋" w:hAnsi="仿宋" w:eastAsia="仿宋" w:cs="仿宋"/>
          <w:kern w:val="2"/>
          <w:sz w:val="32"/>
          <w:szCs w:val="32"/>
          <w:lang w:val="en-US" w:eastAsia="zh-CN" w:bidi="ar-SA"/>
        </w:rPr>
      </w:pPr>
    </w:p>
    <w:p>
      <w:pPr>
        <w:widowControl/>
        <w:spacing w:line="660" w:lineRule="exact"/>
        <w:ind w:left="-426" w:leftChars="-203"/>
        <w:jc w:val="center"/>
        <w:rPr>
          <w:rFonts w:ascii="方正小标宋简体" w:hAnsi="创艺简标宋" w:eastAsia="方正小标宋简体" w:cs="Times New Roman"/>
          <w:kern w:val="0"/>
          <w:sz w:val="44"/>
          <w:szCs w:val="44"/>
        </w:rPr>
      </w:pPr>
      <w:r>
        <w:rPr>
          <w:rFonts w:hint="eastAsia" w:ascii="方正小标宋简体" w:hAnsi="创艺简标宋" w:eastAsia="方正小标宋简体" w:cs="Times New Roman"/>
          <w:kern w:val="0"/>
          <w:sz w:val="44"/>
          <w:szCs w:val="44"/>
        </w:rPr>
        <w:t>浙江省</w:t>
      </w:r>
      <w:r>
        <w:rPr>
          <w:rFonts w:ascii="Times New Roman" w:hAnsi="Times New Roman" w:eastAsia="方正小标宋简体" w:cs="Times New Roman"/>
          <w:kern w:val="0"/>
          <w:sz w:val="44"/>
          <w:szCs w:val="44"/>
        </w:rPr>
        <w:t>201</w:t>
      </w:r>
      <w:r>
        <w:rPr>
          <w:rFonts w:hint="eastAsia" w:ascii="Times New Roman" w:hAnsi="Times New Roman" w:eastAsia="方正小标宋简体" w:cs="Times New Roman"/>
          <w:kern w:val="0"/>
          <w:sz w:val="44"/>
          <w:szCs w:val="44"/>
        </w:rPr>
        <w:t>7</w:t>
      </w:r>
      <w:r>
        <w:rPr>
          <w:rFonts w:hint="eastAsia" w:ascii="方正小标宋简体" w:hAnsi="创艺简标宋" w:eastAsia="方正小标宋简体" w:cs="Times New Roman"/>
          <w:kern w:val="0"/>
          <w:sz w:val="44"/>
          <w:szCs w:val="44"/>
        </w:rPr>
        <w:t>年度政府采购品目分类目录</w:t>
      </w:r>
    </w:p>
    <w:p>
      <w:pPr>
        <w:widowControl/>
        <w:spacing w:line="660" w:lineRule="exact"/>
        <w:ind w:left="-426" w:leftChars="-203"/>
        <w:jc w:val="center"/>
        <w:rPr>
          <w:rFonts w:ascii="Times New Roman" w:hAnsi="Times New Roman" w:eastAsia="仿宋_GB2312" w:cs="Times New Roman"/>
          <w:sz w:val="44"/>
          <w:szCs w:val="44"/>
        </w:rPr>
      </w:pPr>
    </w:p>
    <w:tbl>
      <w:tblPr>
        <w:tblStyle w:val="6"/>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644"/>
        <w:gridCol w:w="2161"/>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
                <w:kern w:val="0"/>
                <w:sz w:val="24"/>
                <w:szCs w:val="24"/>
              </w:rPr>
            </w:pPr>
            <w:r>
              <w:rPr>
                <w:b/>
                <w:kern w:val="0"/>
                <w:sz w:val="24"/>
                <w:szCs w:val="24"/>
              </w:rPr>
              <w:t>品目代码</w:t>
            </w:r>
          </w:p>
        </w:tc>
        <w:tc>
          <w:tcPr>
            <w:tcW w:w="3644" w:type="dxa"/>
            <w:tcBorders>
              <w:top w:val="single" w:color="auto" w:sz="4" w:space="0"/>
              <w:bottom w:val="single" w:color="auto" w:sz="4" w:space="0"/>
            </w:tcBorders>
            <w:vAlign w:val="center"/>
          </w:tcPr>
          <w:p>
            <w:pPr>
              <w:widowControl/>
              <w:spacing w:beforeLines="0" w:afterLines="0" w:line="300" w:lineRule="exact"/>
              <w:jc w:val="center"/>
              <w:rPr>
                <w:b/>
                <w:kern w:val="0"/>
                <w:sz w:val="24"/>
                <w:szCs w:val="24"/>
              </w:rPr>
            </w:pPr>
            <w:r>
              <w:rPr>
                <w:b/>
                <w:kern w:val="0"/>
                <w:sz w:val="24"/>
                <w:szCs w:val="24"/>
              </w:rPr>
              <w:t>品目名称</w:t>
            </w:r>
          </w:p>
        </w:tc>
        <w:tc>
          <w:tcPr>
            <w:tcW w:w="2161" w:type="dxa"/>
            <w:tcBorders>
              <w:top w:val="single" w:color="auto" w:sz="4" w:space="0"/>
              <w:bottom w:val="single" w:color="auto" w:sz="4" w:space="0"/>
            </w:tcBorders>
            <w:vAlign w:val="center"/>
          </w:tcPr>
          <w:p>
            <w:pPr>
              <w:widowControl/>
              <w:spacing w:beforeLines="0" w:afterLines="0" w:line="300" w:lineRule="exact"/>
              <w:jc w:val="center"/>
              <w:rPr>
                <w:b/>
                <w:kern w:val="0"/>
                <w:sz w:val="24"/>
                <w:szCs w:val="24"/>
              </w:rPr>
            </w:pPr>
            <w:r>
              <w:rPr>
                <w:b/>
                <w:kern w:val="0"/>
                <w:sz w:val="24"/>
                <w:szCs w:val="24"/>
              </w:rPr>
              <w:t>说 明</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b/>
                <w:kern w:val="0"/>
                <w:sz w:val="24"/>
                <w:szCs w:val="24"/>
              </w:rPr>
            </w:pPr>
            <w:r>
              <w:rPr>
                <w:b/>
                <w:kern w:val="0"/>
                <w:sz w:val="24"/>
                <w:szCs w:val="24"/>
              </w:rPr>
              <w:t>采购类型（省级）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
                <w:bCs/>
                <w:kern w:val="0"/>
                <w:szCs w:val="21"/>
              </w:rPr>
            </w:pPr>
            <w:r>
              <w:rPr>
                <w:b/>
                <w:bCs/>
                <w:kern w:val="0"/>
                <w:szCs w:val="21"/>
              </w:rPr>
              <w:t>A</w:t>
            </w:r>
          </w:p>
        </w:tc>
        <w:tc>
          <w:tcPr>
            <w:tcW w:w="3644" w:type="dxa"/>
            <w:tcBorders>
              <w:top w:val="single" w:color="auto" w:sz="4" w:space="0"/>
              <w:bottom w:val="single" w:color="auto" w:sz="4" w:space="0"/>
            </w:tcBorders>
            <w:vAlign w:val="center"/>
          </w:tcPr>
          <w:p>
            <w:pPr>
              <w:widowControl/>
              <w:spacing w:beforeLines="0" w:afterLines="0" w:line="300" w:lineRule="exact"/>
              <w:jc w:val="center"/>
              <w:rPr>
                <w:b/>
                <w:bCs/>
                <w:kern w:val="0"/>
                <w:szCs w:val="21"/>
              </w:rPr>
            </w:pPr>
            <w:r>
              <w:rPr>
                <w:b/>
                <w:bCs/>
                <w:kern w:val="0"/>
                <w:szCs w:val="21"/>
              </w:rPr>
              <w:t>货物类</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土地、建筑物及构筑物</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A0101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土地、海域及无居民海岛</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A0102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建筑物</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A0103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构筑物</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通用设备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计算机设备及软件</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A020101</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计算机设备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巨/大/中型计算机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小型计算机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服务器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台式计算机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便携式计算机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p>
            <w:pPr>
              <w:widowControl/>
              <w:spacing w:beforeLines="0" w:afterLines="0" w:line="300" w:lineRule="exact"/>
              <w:rPr>
                <w:kern w:val="0"/>
                <w:szCs w:val="21"/>
              </w:rPr>
            </w:pPr>
            <w:r>
              <w:rPr>
                <w:kern w:val="0"/>
                <w:szCs w:val="21"/>
              </w:rPr>
              <w:t>（协议供货）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平板式微型计算机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其他计算机设备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b w:val="0"/>
                <w:bCs w:val="0"/>
                <w:color w:val="auto"/>
                <w:kern w:val="0"/>
                <w:szCs w:val="21"/>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A020102</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计算机网络设备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A02010201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路由器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A02010202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交换设备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指交换机</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A02010210</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网络检测设备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A02010211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负载均衡设备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A02010299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其他网络设备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FF0000"/>
                <w:kern w:val="0"/>
                <w:szCs w:val="21"/>
                <w:lang w:val="en-US" w:eastAsia="zh-CN"/>
              </w:rPr>
            </w:pPr>
            <w:r>
              <w:rPr>
                <w:rFonts w:hint="eastAsia"/>
                <w:color w:val="auto"/>
                <w:kern w:val="0"/>
                <w:szCs w:val="21"/>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A020103</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信息安全设备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防火墙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入侵防御设备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漏洞扫描设备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容灾备份设备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A02010306</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网络隔离设备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安全审计设备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A02010309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计算机终端安全设备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包括加密狗、U盾等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A02010310</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网闸</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A02010311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上网行为管理设备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A02010312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密码产品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A02010313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虚拟专用网（VPN）设备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A02010399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其他安全设备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color w:val="auto"/>
                <w:kern w:val="0"/>
                <w:szCs w:val="21"/>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A020104</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终端设备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包括触摸式终端设备、终端机等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A020105</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存储设备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包括磁盘机、磁盘阵列、存储用光纤交换机、光盘库、磁带机、磁带库、网络存储设备、移动存储设备（闪存盘、移动硬盘、软盘、光盘）等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A020106</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输入输出设备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打印设备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限于喷墨、激光、热式、针式打印机</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显示设备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指显示器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一般输入设备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包括键盘、鼠标器、控制杆等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strike/>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A02010608</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识别输入设备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包括刷卡机、POS机、纸带输入机、磁卡读写器、集成电路（IC）卡读写器、非接触式智能卡读写机、触摸屏等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strike/>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图形图像输入设备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-5910580</wp:posOffset>
                      </wp:positionV>
                      <wp:extent cx="40005" cy="99695"/>
                      <wp:effectExtent l="4445" t="1905" r="12700" b="12700"/>
                      <wp:wrapNone/>
                      <wp:docPr id="3" name="直接连接符 35"/>
                      <wp:cNvGraphicFramePr/>
                      <a:graphic xmlns:a="http://schemas.openxmlformats.org/drawingml/2006/main">
                        <a:graphicData uri="http://schemas.microsoft.com/office/word/2010/wordprocessingShape">
                          <wps:wsp>
                            <wps:cNvSpPr/>
                            <wps:spPr>
                              <a:xfrm flipH="1" flipV="1">
                                <a:off x="0" y="0"/>
                                <a:ext cx="40005" cy="9969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5" o:spid="_x0000_s1026" o:spt="20" style="position:absolute;left:0pt;flip:x y;margin-left:-6.7pt;margin-top:-465.4pt;height:7.85pt;width:3.15pt;z-index:251659264;mso-width-relative:page;mso-height-relative:page;" filled="f" stroked="t" coordsize="21600,21600" o:gfxdata="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hx/AnaAAAADAEAAA8AAAAAAAAAAQAgAAAAIgAAAGRycy9kb3ducmV2LnhtbFBLAQIUABQA&#10;AAAIAIdO4kA/8Jrw7gEAALcDAAAOAAAAAAAAAAEAIAAAACkBAABkcnMvZTJvRG9jLnhtbFBLBQYA&#10;AAAABgAGAFkBAACJBQAAAAA=&#10;">
                      <v:path arrowok="t"/>
                      <v:fill on="f" focussize="0,0"/>
                      <v:stroke joinstyle="bevel"/>
                      <v:imagedata o:title=""/>
                      <o:lock v:ext="edit" grouping="f" rotation="f" text="f" aspectratio="f"/>
                    </v:line>
                  </w:pict>
                </mc:Fallback>
              </mc:AlternateContent>
            </w:r>
            <w:r>
              <w:rPr>
                <w:kern w:val="0"/>
                <w:szCs w:val="21"/>
              </w:rPr>
              <w:t>A0201060901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扫描仪</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A0201060999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其他图形图像输入设备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包括图形板、光笔、坐标数字化仪等其他图形图像输入设备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A02010699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其他输入输出设备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包括计算机绘图设备、光电设备、KVM设备、综合输入设备、语音输入设备、手写式输入设备、数据录入设备等其他输入输出设备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A020107</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机房辅助设备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A02010701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机柜</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A02010702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机房环境监控设备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A02010799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其他机房辅助设备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FF0000"/>
                <w:kern w:val="0"/>
                <w:szCs w:val="21"/>
                <w:lang w:val="en-US" w:eastAsia="zh-CN"/>
              </w:rPr>
            </w:pPr>
            <w:r>
              <w:rPr>
                <w:rFonts w:hint="eastAsia"/>
                <w:color w:val="auto"/>
                <w:kern w:val="0"/>
                <w:szCs w:val="21"/>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A020108</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kern w:val="0"/>
                <w:szCs w:val="21"/>
              </w:rPr>
            </w:pPr>
            <w:r>
              <w:rPr>
                <w:bCs/>
                <w:kern w:val="0"/>
                <w:szCs w:val="21"/>
              </w:rPr>
              <w:t>计算机软件</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对直接从市场购买的标准软件等非定制开发的商业软件实行政府集中采购，不包括定制软件和对购买的标准软件再进行第二次开发的软件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基础软件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包括操作系统、数据库管理系统、中间件、办公套件、其他基础软件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支撑软件</w:t>
            </w:r>
          </w:p>
        </w:tc>
        <w:tc>
          <w:tcPr>
            <w:tcW w:w="2161" w:type="dxa"/>
            <w:tcBorders>
              <w:top w:val="single" w:color="auto" w:sz="4" w:space="0"/>
              <w:bottom w:val="single" w:color="auto" w:sz="4" w:space="0"/>
            </w:tcBorders>
            <w:vAlign w:val="center"/>
          </w:tcPr>
          <w:p>
            <w:pPr>
              <w:spacing w:beforeLines="0" w:afterLines="0" w:line="300" w:lineRule="exact"/>
              <w:rPr>
                <w:sz w:val="24"/>
                <w:szCs w:val="24"/>
              </w:rPr>
            </w:pPr>
            <w:r>
              <w:rPr>
                <w:szCs w:val="24"/>
              </w:rPr>
              <w:t>包括需求分析软件、建模软件、集成开发环境、测试软件、开发管理软件、逆向工程软件和再工程软件、其他支撑软件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应用软件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A0201080301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通用应用软件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A0201080302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行业应用软件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嵌入式软件</w:t>
            </w:r>
          </w:p>
        </w:tc>
        <w:tc>
          <w:tcPr>
            <w:tcW w:w="2161" w:type="dxa"/>
            <w:tcBorders>
              <w:top w:val="single" w:color="auto" w:sz="4" w:space="0"/>
              <w:bottom w:val="single" w:color="auto" w:sz="4" w:space="0"/>
            </w:tcBorders>
            <w:vAlign w:val="center"/>
          </w:tcPr>
          <w:p>
            <w:pPr>
              <w:spacing w:beforeLines="0" w:afterLines="0" w:line="300" w:lineRule="exact"/>
              <w:rPr>
                <w:sz w:val="24"/>
                <w:szCs w:val="24"/>
              </w:rPr>
            </w:pPr>
            <w:r>
              <w:rPr>
                <w:szCs w:val="24"/>
              </w:rPr>
              <w:t>包括嵌入式操作系统、嵌入式数据库系统、嵌入式开发与仿真软件、嵌入式应用软件、其他嵌入式软件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信息安全软件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bCs/>
                <w:kern w:val="0"/>
                <w:szCs w:val="21"/>
              </w:rPr>
              <w:t>包括基础和平台类安全软件、数据安全软件、网络与边界安全软件、专用安全软件、安全测试评估软件、安全应用软件、安全支撑软件、安全管理软件、其他信息安全软件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A02010899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其他计算机软件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A020199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其他计算机设备及软件</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办公设备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w:t>
            </w:r>
            <w:r>
              <w:rPr>
                <w:rFonts w:hint="eastAsia"/>
                <w:kern w:val="0"/>
                <w:szCs w:val="21"/>
              </w:rPr>
              <w:t>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复印机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投影仪</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投影幕</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多功能一体机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具有多种办公功能的设备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照相机及器材</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strike/>
                <w:dstrike w:val="0"/>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A02020501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照相机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A02020502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镜头及器材</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电子白板</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LED显示屏</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2" name="直接连接符 34"/>
                      <wp:cNvGraphicFramePr/>
                      <a:graphic xmlns:a="http://schemas.openxmlformats.org/drawingml/2006/main">
                        <a:graphicData uri="http://schemas.microsoft.com/office/word/2010/wordprocessingShape">
                          <wps:wsp>
                            <wps:cNvSp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4" o:spid="_x0000_s1026" o:spt="20" style="position:absolute;left:0pt;margin-left:-6.1pt;margin-top:0pt;height:0.05pt;width:496.45pt;z-index:251660288;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K8LI0wAAAAUBAAAPAAAA&#10;AAAAAAEAIAAAACIAAABkcnMvZG93bnJldi54bWxQSwECFAAUAAAACACHTuJA1OUvreEBAACjAwAA&#10;DgAAAAAAAAABACAAAAAiAQAAZHJzL2Uyb0RvYy54bWxQSwUGAAAAAAYABgBZAQAAdQUAAAAA&#10;">
                      <v:path arrowok="t"/>
                      <v:fill on="f" focussize="0,0"/>
                      <v:stroke joinstyle="bevel"/>
                      <v:imagedata o:title=""/>
                      <o:lock v:ext="edit" grouping="f" rotation="f" text="f" aspectratio="f"/>
                    </v:line>
                  </w:pict>
                </mc:Fallback>
              </mc:AlternateContent>
            </w:r>
            <w:r>
              <w:rPr>
                <w:kern w:val="0"/>
                <w:szCs w:val="21"/>
              </w:rPr>
              <w:t>A020208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触控一体机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刻录机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文印设备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速印机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A02021002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胶印机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A02021006</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油印机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其他文印设备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销毁设备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碎纸机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其他销毁设备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包括光盘、硬盘和芯片粉碎机，综合销毁设备等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条码打印机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条码扫描器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会计机械</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包括计算器（不含义务教育科学计算器）等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制图机械</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打字机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A020299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其他办公设备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包括地址打印机等其他办公设备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A0203</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车辆</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载货汽车（含自卸汽车）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乘用车（轿车）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包括驾驶员座位在内不超过（含）12个座位</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A02030501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轿车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A02030502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越野（吉普）车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A02030503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商务（面包）车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A02030599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其他乘用车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客车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专用车辆</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厢式、罐式专用汽车，集装箱运输车辆，科学考察车辆，工程作业车辆，雪地专用车辆，校车，消防车，布障车，清障车，排爆车，装甲防暴车，水炮车，攀登车，通讯指挥车，交通划线车，防弹车，医疗救护车，通信专用车，抢险车，殡仪车，运钞专用车，机动起重车，清洁卫生车辆，冷藏车，炊事车等特种（专业技术）用车</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城市交通车辆</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摩托车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电动自行车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轮椅车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非机动车辆</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A020399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其他车辆</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包括牵引汽车、汽车挂车、汽车列车等其他车辆</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图书档案设备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A020401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图书档案装具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A020402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缩微设备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图书档案消毒设备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其他图书档案设备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机械设备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A020504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锅炉</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A020512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起重设备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包括起重机、电梯、自动扶梯、自动人行道等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A020517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机械立体停车设备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A020523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制冷</w:t>
            </w:r>
            <w:r>
              <w:rPr>
                <w:rFonts w:hint="eastAsia"/>
                <w:kern w:val="0"/>
                <w:szCs w:val="21"/>
                <w:lang w:eastAsia="zh-CN"/>
              </w:rPr>
              <w:t>（暖）</w:t>
            </w:r>
            <w:r>
              <w:rPr>
                <w:kern w:val="0"/>
                <w:szCs w:val="21"/>
              </w:rPr>
              <w:t>空调设备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包括中央空调</w:t>
            </w:r>
            <w:r>
              <w:rPr>
                <w:rFonts w:hint="eastAsia"/>
                <w:bCs/>
                <w:kern w:val="0"/>
                <w:szCs w:val="21"/>
                <w:lang w:eastAsia="zh-CN"/>
              </w:rPr>
              <w:t>（包括冷水机组</w:t>
            </w:r>
            <w:r>
              <w:rPr>
                <w:bCs/>
                <w:kern w:val="0"/>
                <w:szCs w:val="21"/>
              </w:rPr>
              <w:t>、</w:t>
            </w:r>
            <w:r>
              <w:rPr>
                <w:rFonts w:hint="eastAsia"/>
                <w:bCs/>
                <w:kern w:val="0"/>
                <w:szCs w:val="21"/>
                <w:lang w:eastAsia="zh-CN"/>
              </w:rPr>
              <w:t>溴化锂吸收式冷水机组、水源热泵机组等）、多联式空调（指一台或多台室外机与多台室内机组成的空调机组）等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其他机械设备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A0206</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 xml:space="preserve">  电气设备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电源设备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A02061504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不间断电源（UPS）</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A02061599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其他电源设备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生活用电器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制冷电器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A0206180101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电冰箱</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A020618010101</w:t>
            </w:r>
          </w:p>
        </w:tc>
        <w:tc>
          <w:tcPr>
            <w:tcW w:w="3644" w:type="dxa"/>
            <w:tcBorders>
              <w:top w:val="single" w:color="auto" w:sz="4" w:space="0"/>
              <w:bottom w:val="single" w:color="auto" w:sz="4" w:space="0"/>
            </w:tcBorders>
            <w:vAlign w:val="center"/>
          </w:tcPr>
          <w:p>
            <w:pPr>
              <w:widowControl/>
              <w:spacing w:beforeLines="0" w:afterLines="0" w:line="300" w:lineRule="exact"/>
              <w:ind w:firstLine="1050" w:firstLineChars="500"/>
              <w:rPr>
                <w:kern w:val="0"/>
                <w:szCs w:val="21"/>
              </w:rPr>
            </w:pPr>
            <w:r>
              <w:rPr>
                <w:kern w:val="0"/>
                <w:szCs w:val="21"/>
              </w:rPr>
              <w:t>普通电冰箱</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A020618010102</w:t>
            </w:r>
          </w:p>
        </w:tc>
        <w:tc>
          <w:tcPr>
            <w:tcW w:w="3644" w:type="dxa"/>
            <w:tcBorders>
              <w:top w:val="single" w:color="auto" w:sz="4" w:space="0"/>
              <w:bottom w:val="single" w:color="auto" w:sz="4" w:space="0"/>
            </w:tcBorders>
            <w:vAlign w:val="center"/>
          </w:tcPr>
          <w:p>
            <w:pPr>
              <w:widowControl/>
              <w:spacing w:beforeLines="0" w:afterLines="0" w:line="300" w:lineRule="exact"/>
              <w:ind w:firstLine="1050" w:firstLineChars="500"/>
              <w:rPr>
                <w:kern w:val="0"/>
                <w:szCs w:val="21"/>
              </w:rPr>
            </w:pPr>
            <w:r>
              <w:rPr>
                <w:kern w:val="0"/>
                <w:szCs w:val="21"/>
              </w:rPr>
              <w:t>专用电冰箱</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72576" behindDoc="0" locked="0" layoutInCell="1" allowOverlap="1">
                      <wp:simplePos x="0" y="0"/>
                      <wp:positionH relativeFrom="column">
                        <wp:posOffset>-29210</wp:posOffset>
                      </wp:positionH>
                      <wp:positionV relativeFrom="paragraph">
                        <wp:posOffset>635</wp:posOffset>
                      </wp:positionV>
                      <wp:extent cx="6285865" cy="635"/>
                      <wp:effectExtent l="0" t="0" r="0" b="0"/>
                      <wp:wrapNone/>
                      <wp:docPr id="4" name="直接连接符 33"/>
                      <wp:cNvGraphicFramePr/>
                      <a:graphic xmlns:a="http://schemas.openxmlformats.org/drawingml/2006/main">
                        <a:graphicData uri="http://schemas.microsoft.com/office/word/2010/wordprocessingShape">
                          <wps:wsp>
                            <wps:cNvSpPr/>
                            <wps:spPr>
                              <a:xfrm>
                                <a:off x="0" y="0"/>
                                <a:ext cx="628586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3" o:spid="_x0000_s1026" o:spt="20" style="position:absolute;left:0pt;margin-left:-2.3pt;margin-top:0.05pt;height:0.05pt;width:494.95pt;z-index:251672576;mso-width-relative:page;mso-height-relative:page;" filled="f" stroked="t" coordsize="21600,21600" o:gfxdata="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Lz+gtIAAAAEAQAADwAAAAAA&#10;AAABACAAAAAiAAAAZHJzL2Rvd25yZXYueG1sUEsBAhQAFAAAAAgAh07iQIabcTXgAQAAowMAAA4A&#10;AAAAAAAAAQAgAAAAIQEAAGRycy9lMm9Eb2MueG1sUEsFBgAAAAAGAAYAWQEAAHMFAAAAAA==&#10;">
                      <v:path arrowok="t"/>
                      <v:fill on="f" focussize="0,0"/>
                      <v:stroke joinstyle="bevel"/>
                      <v:imagedata o:title=""/>
                      <o:lock v:ext="edit" grouping="f" rotation="f" text="f" aspectratio="f"/>
                    </v:line>
                  </w:pict>
                </mc:Fallback>
              </mc:AlternateContent>
            </w:r>
            <w:r>
              <w:rPr>
                <w:kern w:val="0"/>
                <w:szCs w:val="21"/>
              </w:rPr>
              <w:t>A0206180102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冷藏柜</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A0206180199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其他制冷电器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空气调节电器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A0206180203</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空调机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rFonts w:hint="eastAsia"/>
                <w:kern w:val="0"/>
                <w:szCs w:val="21"/>
                <w:lang w:eastAsia="zh-CN"/>
              </w:rPr>
              <w:t>指中央</w:t>
            </w:r>
            <w:r>
              <w:rPr>
                <w:kern w:val="0"/>
                <w:szCs w:val="21"/>
              </w:rPr>
              <w:t>空调</w:t>
            </w:r>
            <w:r>
              <w:rPr>
                <w:rFonts w:hint="eastAsia"/>
                <w:kern w:val="0"/>
                <w:szCs w:val="21"/>
                <w:lang w:eastAsia="zh-CN"/>
              </w:rPr>
              <w:t>、</w:t>
            </w:r>
            <w:r>
              <w:rPr>
                <w:kern w:val="0"/>
                <w:szCs w:val="21"/>
              </w:rPr>
              <w:t>多联式空调机组</w:t>
            </w:r>
            <w:r>
              <w:rPr>
                <w:rFonts w:hint="eastAsia"/>
                <w:kern w:val="0"/>
                <w:szCs w:val="21"/>
                <w:lang w:eastAsia="zh-CN"/>
              </w:rPr>
              <w:t>以外的空调</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A0206180205</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空气净化设备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A0206180299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其他空气调节电器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包括风扇、通风机、空气滤洁器、排烟系统、取暖器、调湿调温机等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清洁卫生电器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A0206180301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洗衣机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A0206180302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吸尘器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A0206180399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kern w:val="0"/>
                <w:szCs w:val="21"/>
              </w:rPr>
            </w:pPr>
            <w:r>
              <w:rPr>
                <w:kern w:val="0"/>
                <w:szCs w:val="21"/>
              </w:rPr>
              <w:t>其他清洁卫生电器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饮水器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包括净水机、软水机、纯水机等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A02061808</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热水器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包括太阳能集热器和集热系统、电热水器、非电热的快速热水器或储备式热水器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A02061899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其他生活用电器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包括熨烫电器、烹调电器、食品制备电器、美容电器、保健器具、电热卧具和服装等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照明设备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指成套灯具，不含舞台灯具</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A020699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其他电气设备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A0207</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雷达、无线电和卫星导航设备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不包括军用雷达</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A0208</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通信设备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无线电通信设备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包括通用、移动、航空、舰船、铁道、邮电、气象通信专用无线电通信设备等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卫星通信设备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电话通信设备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A02080701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 xml:space="preserve">  固定电话机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A02080702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 xml:space="preserve">  移动电话</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 xml:space="preserve">  其他电话通信设备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包括电话交换设备、会议电话调度设备及市话中继设备等其他电话通信设备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视频会议系统设备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电报通信设备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传真及数据数字通信设备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传真机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其他传真及数据数字通信设备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A020899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其他通信设备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A0209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广播、电视、电影设备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广播发射设备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包括广播发射机、广播差转台，广播发射台等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电视发射设备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包括电视发射机、电视差转台、电视发射台等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广播和电视接收设备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70528"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5" name="直接连接符 29"/>
                      <wp:cNvGraphicFramePr/>
                      <a:graphic xmlns:a="http://schemas.openxmlformats.org/drawingml/2006/main">
                        <a:graphicData uri="http://schemas.microsoft.com/office/word/2010/wordprocessingShape">
                          <wps:wsp>
                            <wps:cNvSp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9" o:spid="_x0000_s1026" o:spt="20" style="position:absolute;left:0pt;margin-left:-6.1pt;margin-top:0pt;height:0.05pt;width:496.45pt;z-index:251670528;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QrwsjTAAAABQEAAA8AAAAA&#10;AAAAAQAgAAAAIgAAAGRycy9kb3ducmV2LnhtbFBLAQIUABQAAAAIAIdO4kAe+/5r4AEAAKMDAAAO&#10;AAAAAAAAAAEAIAAAACIBAABkcnMvZTJvRG9jLnhtbFBLBQYAAAAABgAGAFkBAAB0BQAAAAA=&#10;">
                      <v:path arrowok="t"/>
                      <v:fill on="f" focussize="0,0"/>
                      <v:stroke joinstyle="bevel"/>
                      <v:imagedata o:title=""/>
                      <o:lock v:ext="edit" grouping="f" rotation="f" text="f" aspectratio="f"/>
                    </v:line>
                  </w:pict>
                </mc:Fallback>
              </mc:AlternateContent>
            </w:r>
            <w:r>
              <w:rPr>
                <w:kern w:val="0"/>
                <w:szCs w:val="21"/>
              </w:rPr>
              <w:t>A020904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音频节目制作和播控设备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视频节目制作和播控设备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电视设备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普通电视设备（电视机）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其他电视设备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视频设备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通用摄像机</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A02091107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视频监控设备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包括监控摄像机、报警传感器、数字硬盘录像机、视屏分割器、监控电视墙（拼接显示器）、监视器、门禁系统等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其他视频设备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包括录像机、摄录一体机、平板显示设备、电视唱盘、激光视盘机、视屏处理器、虚拟演播室设备、字幕机等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音频设备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包括录放音机、收音机、话筒设备、数码音频工作站、扩音设备、音箱、复读机、语音语言实验室设备等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组合音像设备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包括音视频播放设备，闭路播放设备，同声翻译设备，会议、广播及音乐欣赏系统</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电影设备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A020999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其他广播、电视、电影设备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仪器仪表</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自动化仪表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电工仪器仪表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光学仪器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分析仪器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试验机</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试验仪器及装置</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计算仪器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量仪</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钟表及定时仪器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A021099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其他仪器仪表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电子和通信测量仪器</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A0212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计量标准器具及量具、衡器</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0</wp:posOffset>
                      </wp:positionV>
                      <wp:extent cx="6312535" cy="635"/>
                      <wp:effectExtent l="0" t="0" r="0" b="0"/>
                      <wp:wrapNone/>
                      <wp:docPr id="6" name="直接连接符 28"/>
                      <wp:cNvGraphicFramePr/>
                      <a:graphic xmlns:a="http://schemas.openxmlformats.org/drawingml/2006/main">
                        <a:graphicData uri="http://schemas.microsoft.com/office/word/2010/wordprocessingShape">
                          <wps:wsp>
                            <wps:cNvSpPr/>
                            <wps:spPr>
                              <a:xfrm>
                                <a:off x="0" y="0"/>
                                <a:ext cx="631253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8" o:spid="_x0000_s1026" o:spt="20" style="position:absolute;left:0pt;margin-left:-6.1pt;margin-top:0pt;height:0.05pt;width:497.05pt;z-index:251661312;mso-width-relative:page;mso-height-relative:page;" filled="f" stroked="t" coordsize="21600,21600" o:gfxdata="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JyD2jTAAAABQEAAA8AAAAA&#10;AAAAAQAgAAAAIgAAAGRycy9kb3ducmV2LnhtbFBLAQIUABQAAAAIAIdO4kAc6uPm4AEAAKMDAAAO&#10;AAAAAAAAAAEAIAAAACIBAABkcnMvZTJvRG9jLnhtbFBLBQYAAAAABgAGAFkBAAB0BQAAAAA=&#10;">
                      <v:path arrowok="t"/>
                      <v:fill on="f" focussize="0,0"/>
                      <v:stroke joinstyle="bevel"/>
                      <v:imagedata o:title=""/>
                      <o:lock v:ext="edit" grouping="f" rotation="f" text="f" aspectratio="f"/>
                    </v:line>
                  </w:pict>
                </mc:Fallback>
              </mc:AlternateContent>
            </w:r>
            <w:r>
              <w:rPr>
                <w:bCs/>
                <w:kern w:val="0"/>
                <w:szCs w:val="21"/>
              </w:rPr>
              <w:t>A0309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工程机械</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A0310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农业和林业机械</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A0318</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造纸和印刷机械</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A0319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化学药品和中药专用设备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A0320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医疗设备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手术器械</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普通诊察器械</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医用电子生理参数检测仪器设备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医用光学仪器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医用超声波仪器及设备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医用激光仪器及设备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医用内窥镜</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物理治疗、康复及体育治疗仪器设备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中医器械设备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医用磁共振设备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医用X线设备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A032012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FF0000"/>
                <w:kern w:val="0"/>
                <w:szCs w:val="21"/>
              </w:rPr>
            </w:pPr>
            <w:r>
              <w:rPr>
                <w:color w:val="FF0000"/>
                <w:kern w:val="0"/>
                <w:szCs w:val="21"/>
              </w:rPr>
              <w:t>医用X线附属设备及部件</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spacing w:beforeLines="0" w:afterLines="0" w:line="300" w:lineRule="exact"/>
              <w:rPr>
                <w:rFonts w:eastAsia="宋体"/>
                <w:color w:val="FF0000"/>
                <w:szCs w:val="24"/>
              </w:rPr>
            </w:pPr>
            <w:r>
              <w:rPr>
                <w:rFonts w:hint="eastAsia"/>
                <w:kern w:val="0"/>
                <w:szCs w:val="21"/>
                <w:lang w:val="en-US" w:eastAsia="zh-CN"/>
              </w:rPr>
              <w:t>仅限省级</w:t>
            </w:r>
            <w:r>
              <w:rPr>
                <w:rFonts w:hint="eastAsia"/>
                <w:color w:val="FF0000"/>
                <w:szCs w:val="24"/>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医用高能射线设备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核医学设备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A032015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FF0000"/>
                <w:kern w:val="0"/>
                <w:szCs w:val="21"/>
              </w:rPr>
            </w:pPr>
            <w:r>
              <w:rPr>
                <w:color w:val="FF0000"/>
                <w:kern w:val="0"/>
                <w:szCs w:val="21"/>
              </w:rPr>
              <w:t>医用射线防护设备</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仅限省级</w:t>
            </w:r>
            <w:r>
              <w:rPr>
                <w:color w:val="FF0000"/>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医用射线监检测设备及用具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临床检验设备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药房设备及器具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体外循环设备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A032020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人工脏器及功能辅助装置</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r>
              <w:rPr>
                <w:rFonts w:hint="eastAsia"/>
                <w:color w:val="auto"/>
                <w:kern w:val="0"/>
                <w:szCs w:val="21"/>
                <w:lang w:val="en-US" w:eastAsia="zh-CN"/>
              </w:rPr>
              <w:t>仅限省级</w:t>
            </w:r>
            <w:r>
              <w:rPr>
                <w:color w:val="auto"/>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A032022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手术急救设备及器具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r>
              <w:rPr>
                <w:rFonts w:hint="eastAsia"/>
                <w:color w:val="auto"/>
                <w:kern w:val="0"/>
                <w:szCs w:val="21"/>
                <w:lang w:val="en-US" w:eastAsia="zh-CN"/>
              </w:rPr>
              <w:t>仅限省级</w:t>
            </w:r>
            <w:r>
              <w:rPr>
                <w:color w:val="auto"/>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A032023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口腔科设备及技工室器具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r>
              <w:rPr>
                <w:rFonts w:hint="eastAsia"/>
                <w:color w:val="auto"/>
                <w:kern w:val="0"/>
                <w:szCs w:val="21"/>
                <w:lang w:val="en-US" w:eastAsia="zh-CN"/>
              </w:rPr>
              <w:t>仅限省级</w:t>
            </w:r>
            <w:r>
              <w:rPr>
                <w:color w:val="auto"/>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A032024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病房护理及医院通用设备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r>
              <w:rPr>
                <w:rFonts w:hint="eastAsia"/>
                <w:color w:val="auto"/>
                <w:kern w:val="0"/>
                <w:szCs w:val="21"/>
                <w:lang w:val="en-US" w:eastAsia="zh-CN"/>
              </w:rPr>
              <w:t>仅限省级</w:t>
            </w:r>
            <w:r>
              <w:rPr>
                <w:color w:val="auto"/>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A032025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消毒灭菌设备及器具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A032026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医用低温、冷疗设备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A032027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防疫、防护卫生装备及器具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A032028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助残器具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A032031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兽医设备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A032032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医疗设备零部件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A032033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属于国际招标的医疗设备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A032099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其他医疗设备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A032</w:t>
            </w:r>
            <w:r>
              <w:rPr>
                <w:rFonts w:hint="eastAsia"/>
                <w:bCs/>
                <w:color w:val="auto"/>
                <w:kern w:val="0"/>
                <w:szCs w:val="21"/>
              </w:rPr>
              <w:t>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rFonts w:hint="eastAsia"/>
                <w:bCs/>
                <w:color w:val="auto"/>
                <w:kern w:val="0"/>
                <w:szCs w:val="21"/>
              </w:rPr>
              <w:t>计划生育避孕药具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rFonts w:hint="eastAsia"/>
                <w:color w:val="auto"/>
                <w:kern w:val="0"/>
                <w:szCs w:val="21"/>
              </w:rPr>
              <w:t>包括宫内节育器、避孕套、避孕药注射液、避孕药片剂、外用避孕药和皮下埋植剂等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lang w:eastAsia="zh-CN"/>
              </w:rPr>
            </w:pPr>
            <w:r>
              <w:rPr>
                <w:rFonts w:hint="eastAsia"/>
                <w:color w:val="auto"/>
                <w:kern w:val="0"/>
                <w:szCs w:val="21"/>
                <w:lang w:val="en-US" w:eastAsia="zh-CN"/>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A0324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环境污染防治设备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A032401</w:t>
            </w:r>
          </w:p>
        </w:tc>
        <w:tc>
          <w:tcPr>
            <w:tcW w:w="3644" w:type="dxa"/>
            <w:tcBorders>
              <w:top w:val="single" w:color="auto" w:sz="4" w:space="0"/>
              <w:bottom w:val="single" w:color="auto" w:sz="4" w:space="0"/>
            </w:tcBorders>
            <w:vAlign w:val="center"/>
          </w:tcPr>
          <w:p>
            <w:pPr>
              <w:widowControl/>
              <w:spacing w:beforeLines="0" w:afterLines="0" w:line="300" w:lineRule="exact"/>
              <w:ind w:firstLine="420"/>
              <w:rPr>
                <w:kern w:val="0"/>
                <w:szCs w:val="21"/>
              </w:rPr>
            </w:pPr>
            <w:r>
              <w:rPr>
                <w:kern w:val="0"/>
                <w:szCs w:val="21"/>
              </w:rPr>
              <w:t>大气污染防治设备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rFonts w:hint="eastAsia"/>
                <w:kern w:val="0"/>
                <w:szCs w:val="21"/>
              </w:rPr>
              <w:t>药片剂</w:t>
            </w:r>
            <w:r>
              <w:rPr>
                <w:kern w:val="0"/>
                <w:szCs w:val="21"/>
              </w:rPr>
              <w:t>A032402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水质污染防治设备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固体废弃物处理设备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A032404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噪声控制设备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A032405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环保监测设备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其他环境污染防治设备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包括金属和非金属废料回收设备、核与辐射安全设备等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A0325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政法、检测专用设备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消防设备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武警消防部队区域专用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消防人员个人防护装备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由省消防总队实行部门集中采购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消防专用车辆装备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由各消防支队实行部门集中采购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消防器具、器材装备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由各消防支队实行部门集中采购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交通管理设备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警械设备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A032599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其他政法、检测专用设备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A0329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殡葬设备及用品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铁路运输设备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水上交通运输设备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航空器及其配套设备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A0333</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海洋仪器设备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专用仪器仪表</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农林牧渔专用仪器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地质勘探、钻采及人工地震仪器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地震专用仪器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0</wp:posOffset>
                      </wp:positionV>
                      <wp:extent cx="6312535" cy="635"/>
                      <wp:effectExtent l="0" t="0" r="0" b="0"/>
                      <wp:wrapNone/>
                      <wp:docPr id="7" name="直接连接符 24"/>
                      <wp:cNvGraphicFramePr/>
                      <a:graphic xmlns:a="http://schemas.openxmlformats.org/drawingml/2006/main">
                        <a:graphicData uri="http://schemas.microsoft.com/office/word/2010/wordprocessingShape">
                          <wps:wsp>
                            <wps:cNvSpPr/>
                            <wps:spPr>
                              <a:xfrm>
                                <a:off x="0" y="0"/>
                                <a:ext cx="631253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4" o:spid="_x0000_s1026" o:spt="20" style="position:absolute;left:0pt;margin-left:-6.1pt;margin-top:0pt;height:0.05pt;width:497.05pt;z-index:251662336;mso-width-relative:page;mso-height-relative:page;" filled="f" stroked="t" coordsize="21600,21600" o:gfxdata="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JyD2jTAAAABQEAAA8AAAAA&#10;AAAAAQAgAAAAIgAAAGRycy9kb3ducmV2LnhtbFBLAQIUABQAAAAIAIdO4kCZY/Op4AEAAKMDAAAO&#10;AAAAAAAAAAEAIAAAACIBAABkcnMvZTJvRG9jLnhtbFBLBQYAAAAABgAGAFkBAAB0BQAAAAA=&#10;">
                      <v:path arrowok="t"/>
                      <v:fill on="f" focussize="0,0"/>
                      <v:stroke joinstyle="bevel"/>
                      <v:imagedata o:title=""/>
                      <o:lock v:ext="edit" grouping="f" rotation="f" text="f" aspectratio="f"/>
                    </v:line>
                  </w:pict>
                </mc:Fallback>
              </mc:AlternateContent>
            </w:r>
            <w:r>
              <w:rPr>
                <w:kern w:val="0"/>
                <w:szCs w:val="21"/>
              </w:rPr>
              <w:t>A033404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安全用仪器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71552" behindDoc="0" locked="0" layoutInCell="1" allowOverlap="1">
                      <wp:simplePos x="0" y="0"/>
                      <wp:positionH relativeFrom="column">
                        <wp:posOffset>-69215</wp:posOffset>
                      </wp:positionH>
                      <wp:positionV relativeFrom="paragraph">
                        <wp:posOffset>0</wp:posOffset>
                      </wp:positionV>
                      <wp:extent cx="6296660" cy="635"/>
                      <wp:effectExtent l="0" t="0" r="0" b="0"/>
                      <wp:wrapNone/>
                      <wp:docPr id="8" name="直接连接符 23"/>
                      <wp:cNvGraphicFramePr/>
                      <a:graphic xmlns:a="http://schemas.openxmlformats.org/drawingml/2006/main">
                        <a:graphicData uri="http://schemas.microsoft.com/office/word/2010/wordprocessingShape">
                          <wps:wsp>
                            <wps:cNvSpPr/>
                            <wps:spPr>
                              <a:xfrm>
                                <a:off x="0" y="0"/>
                                <a:ext cx="629666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3" o:spid="_x0000_s1026" o:spt="20" style="position:absolute;left:0pt;margin-left:-5.45pt;margin-top:0pt;height:0.05pt;width:495.8pt;z-index:251671552;mso-width-relative:page;mso-height-relative:page;" filled="f" stroked="t" coordsize="21600,21600" o:gfxdata="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PVOT0wAAAAUBAAAPAAAA&#10;AAAAAAEAIAAAACIAAABkcnMvZG93bnJldi54bWxQSwECFAAUAAAACACHTuJAkCamYuEBAACjAwAA&#10;DgAAAAAAAAABACAAAAAiAQAAZHJzL2Uyb0RvYy54bWxQSwUGAAAAAAYABgBZAQAAdQUAAAAA&#10;">
                      <v:path arrowok="t"/>
                      <v:fill on="f" focussize="0,0"/>
                      <v:stroke joinstyle="bevel"/>
                      <v:imagedata o:title=""/>
                      <o:lock v:ext="edit" grouping="f" rotation="f" text="f" aspectratio="f"/>
                    </v:line>
                  </w:pict>
                </mc:Fallback>
              </mc:AlternateContent>
            </w:r>
            <w:r>
              <w:rPr>
                <w:kern w:val="0"/>
                <w:szCs w:val="21"/>
              </w:rPr>
              <w:t>A033405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大坝观测仪器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电站热工仪表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电力数字仪表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气象仪器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水文仪器设备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测绘专用仪器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天文仪器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教学专用仪器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普教仪器设备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高中</w:t>
            </w:r>
            <w:r>
              <w:rPr>
                <w:rFonts w:hint="eastAsia"/>
                <w:kern w:val="0"/>
                <w:szCs w:val="21"/>
                <w:lang w:eastAsia="zh-CN"/>
              </w:rPr>
              <w:t>（</w:t>
            </w:r>
            <w:r>
              <w:rPr>
                <w:rFonts w:hint="eastAsia"/>
                <w:kern w:val="0"/>
                <w:szCs w:val="21"/>
                <w:lang w:val="en-US" w:eastAsia="zh-CN"/>
              </w:rPr>
              <w:t>含）</w:t>
            </w:r>
            <w:r>
              <w:rPr>
                <w:kern w:val="0"/>
                <w:szCs w:val="21"/>
              </w:rPr>
              <w:t>以下学校各类实验室及专用功能教室</w:t>
            </w:r>
            <w:r>
              <w:rPr>
                <w:rFonts w:hint="eastAsia"/>
                <w:kern w:val="0"/>
                <w:szCs w:val="21"/>
              </w:rPr>
              <w:t>、</w:t>
            </w:r>
            <w:r>
              <w:rPr>
                <w:rFonts w:hint="eastAsia"/>
                <w:color w:val="auto"/>
                <w:kern w:val="0"/>
                <w:szCs w:val="21"/>
              </w:rPr>
              <w:t>学科教室、创新实验室</w:t>
            </w:r>
            <w:r>
              <w:rPr>
                <w:kern w:val="0"/>
                <w:szCs w:val="21"/>
              </w:rPr>
              <w:t>教学仪器设备、标本、模型等。全省教育系统所属学校由省教育厅实行部门集中采购和协议采购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高教仪器设备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各类大学、学院、职业学院（校）和中专学校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机床类仪器设备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汽车维修类仪器设备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A03341205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电子电工类仪器设备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核子及核辐射测量仪器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船舶专用仪器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纺织专用仪器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建筑工程仪器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汽车拖拉机仪表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A033420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动力测量仪器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A033421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心理仪器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A033422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生理仪器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其他专用仪器仪表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包括航天、航空仪器等其他专用仪器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文艺设备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A033501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乐器</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A033502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演出服装</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A033503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舞台设备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包括舞台灯具和音响设备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bCs/>
                <w:strike/>
                <w:dstrike w:val="0"/>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kern w:val="0"/>
                <w:szCs w:val="21"/>
              </w:rPr>
            </w:pPr>
            <w:r>
              <w:rPr>
                <w:bCs/>
                <w:kern w:val="0"/>
                <w:szCs w:val="21"/>
              </w:rPr>
              <w:t>其他文艺设备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A0336</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体育设备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A0337</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娱乐设备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A033705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彩票销售设备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rFonts w:hint="eastAsia"/>
                <w:kern w:val="0"/>
                <w:szCs w:val="21"/>
                <w:lang w:val="en-US" w:eastAsia="zh-CN"/>
              </w:rPr>
              <w:t>仅限省级</w:t>
            </w: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A033799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其他娱乐设备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A0399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kern w:val="0"/>
                <w:szCs w:val="21"/>
              </w:rPr>
            </w:pPr>
            <w:r>
              <w:rPr>
                <w:bCs/>
                <w:kern w:val="0"/>
                <w:szCs w:val="21"/>
              </w:rPr>
              <w:t>其他专用设备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A04</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文物和陈列品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A05</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图书和档案</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r>
              <w:rPr>
                <w:kern w:val="0"/>
                <w:szCs w:val="21"/>
              </w:rPr>
              <w:t>包括纸质和电子各类图书、期刊、资料（含查询用数据资料库、电子出版物等）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图书资料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A050101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高校图书资料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A050102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中小学图书资料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教科书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义务教育教科书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国家课程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省级地方课程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kern w:val="0"/>
                <w:szCs w:val="21"/>
              </w:rPr>
            </w:pPr>
            <w:r>
              <w:rPr>
                <w:kern w:val="0"/>
                <w:szCs w:val="21"/>
              </w:rPr>
              <w:t>配套作业本</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白练习本由各地集中采购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A050202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其他教科书</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A0599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其他图书、档案资料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家具用具</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办公家具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高校学生课桌椅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高校学生宿舍家具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A0608</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厨卫用具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包括厨房操作台、炊事机械、煤气罐（液化气罐）、餐具等厨房用具, 以及水池、便器、水嘴、沐浴器、沐浴房等卫浴用具</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A0699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其他家具用具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A07</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纺织原料、毛皮、被服装具</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A0701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纺织用料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A0702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皮革、毛皮等用料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A0703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被服装具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A070301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工作制服</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执法人员统一着装</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A070399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kern w:val="0"/>
                <w:szCs w:val="21"/>
              </w:rPr>
            </w:pPr>
            <w:r>
              <w:rPr>
                <w:kern w:val="0"/>
                <w:szCs w:val="21"/>
              </w:rPr>
              <w:t>其他被服装具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包括其他被服用品、床上用品、室内装具、室外装具、箱包等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9" name="直接连接符 22"/>
                      <wp:cNvGraphicFramePr/>
                      <a:graphic xmlns:a="http://schemas.openxmlformats.org/drawingml/2006/main">
                        <a:graphicData uri="http://schemas.microsoft.com/office/word/2010/wordprocessingShape">
                          <wps:wsp>
                            <wps:cNvSp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2" o:spid="_x0000_s1026" o:spt="20" style="position:absolute;left:0pt;margin-left:-6.1pt;margin-top:0pt;height:0.05pt;width:496.45pt;z-index:251663360;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QrwsjTAAAABQEAAA8AAAAA&#10;AAAAAQAgAAAAIgAAAGRycy9kb3ducmV2LnhtbFBLAQIUABQAAAAIAIdO4kCMYzv74AEAAKMDAAAO&#10;AAAAAAAAAAEAIAAAACIBAABkcnMvZTJvRG9jLnhtbFBLBQYAAAAABgAGAFkBAAB0BQAAAAA=&#10;">
                      <v:path arrowok="t"/>
                      <v:fill on="f" focussize="0,0"/>
                      <v:stroke joinstyle="bevel"/>
                      <v:imagedata o:title=""/>
                      <o:lock v:ext="edit" grouping="f" rotation="f" text="f" aspectratio="f"/>
                    </v:line>
                  </w:pict>
                </mc:Fallback>
              </mc:AlternateContent>
            </w:r>
            <w:r>
              <w:rPr>
                <w:bCs/>
                <w:kern w:val="0"/>
                <w:szCs w:val="21"/>
              </w:rPr>
              <w:t>A09</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办公消耗用品及类似物品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纸制文具及办公用品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包括复印纸、信纸、信封等。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strike/>
                <w:dstrike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硒鼓、粉盒</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墨、颜料</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文教用品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清洁用品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A0906</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信息化学品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包括胶片胶卷、录音录像带和其他信息载体</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A0999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其他办公消耗用品及类似物品</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A10</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建筑建材</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FF0000"/>
                <w:kern w:val="0"/>
                <w:szCs w:val="21"/>
              </w:rPr>
            </w:pPr>
            <w:r>
              <w:rPr>
                <w:bCs/>
                <w:color w:val="FF0000"/>
                <w:kern w:val="0"/>
                <w:szCs w:val="21"/>
              </w:rPr>
              <w:t>A11</w:t>
            </w:r>
          </w:p>
        </w:tc>
        <w:tc>
          <w:tcPr>
            <w:tcW w:w="3644"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bCs/>
                <w:color w:val="FF0000"/>
                <w:kern w:val="0"/>
                <w:szCs w:val="21"/>
              </w:rPr>
              <w:t>药品</w:t>
            </w:r>
            <w:r>
              <w:rPr>
                <w:rFonts w:hint="eastAsia"/>
                <w:bCs/>
                <w:color w:val="FF0000"/>
                <w:kern w:val="0"/>
                <w:szCs w:val="21"/>
              </w:rPr>
              <w:t>及耗材</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化学药品原药</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化学药品制剂</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中药饮片</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中药制剂</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兽用药品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A110503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 xml:space="preserve">  兽用疫苗</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bCs/>
                <w:kern w:val="0"/>
                <w:szCs w:val="21"/>
                <w:lang w:val="en-US" w:eastAsia="zh-CN"/>
              </w:rPr>
            </w:pPr>
            <w:r>
              <w:rPr>
                <w:rFonts w:hint="eastAsia"/>
                <w:bCs/>
                <w:kern w:val="0"/>
                <w:szCs w:val="21"/>
                <w:lang w:val="en-US" w:eastAsia="zh-CN"/>
              </w:rPr>
              <w:t>限于动物疾病防控疫苗</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kern w:val="0"/>
                <w:szCs w:val="21"/>
                <w:lang w:val="en-US" w:eastAsia="zh-CN"/>
              </w:rPr>
              <w:t>仅限省级政府集中采购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 xml:space="preserve">  其他兽用药品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生物化学药品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生物化学制剂</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A110703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 xml:space="preserve">  人用疫苗</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bCs/>
                <w:kern w:val="0"/>
                <w:szCs w:val="21"/>
                <w:lang w:val="en-US" w:eastAsia="zh-CN"/>
              </w:rPr>
            </w:pPr>
            <w:r>
              <w:rPr>
                <w:rFonts w:hint="eastAsia"/>
                <w:bCs/>
                <w:color w:val="FF0000"/>
                <w:kern w:val="0"/>
                <w:szCs w:val="21"/>
                <w:lang w:val="en-US" w:eastAsia="zh-CN"/>
              </w:rPr>
              <w:t>限于一类、二类疫苗</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kern w:val="0"/>
                <w:szCs w:val="21"/>
                <w:lang w:val="en-US" w:eastAsia="zh-CN"/>
              </w:rPr>
              <w:t>仅限省级政府集中采购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 xml:space="preserve">  其他生物化学制剂</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FF0000"/>
                <w:kern w:val="0"/>
                <w:szCs w:val="21"/>
              </w:rPr>
            </w:pPr>
            <w:r>
              <w:rPr>
                <w:rFonts w:hint="eastAsia"/>
                <w:color w:val="FF0000"/>
                <w:kern w:val="0"/>
                <w:szCs w:val="21"/>
              </w:rPr>
              <w:t>医用耗材</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手术室常用耗材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包括手术及急救中用于治疗、护理、监测的各类一次性医用耗材和配套手术设备用的一次性医用耗材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非血管介入耗材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包括非血管介入的支架、球囊、导管、取石篮和其他在内窥镜下治疗用的一次性使用耗材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医用x射线设备配套用耗材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包括胶片、高压注射针筒等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检测试剂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包括所有配套检测设备使用的试剂和其他临床检测用试剂</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FF0000"/>
                <w:kern w:val="0"/>
                <w:szCs w:val="21"/>
              </w:rPr>
            </w:pPr>
            <w:r>
              <w:rPr>
                <w:rFonts w:hint="eastAsia"/>
                <w:color w:val="FF0000"/>
                <w:kern w:val="0"/>
                <w:szCs w:val="21"/>
              </w:rPr>
              <w:t>A110805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病理试剂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包括病理检测用试剂</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体外循环耗材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包括人工心肺体外循环时需要使用的一次性使用耗材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眼科耗材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包括眼科人工晶体和其他眼科手术治疗中用到的一次性使用耗材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血液透析及净化耗材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包括血透和血滤和连续血液净化治疗过程中的一次性使用耗材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神经外科耗材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包括脑膜补片、脑脊液分流管等神经外科手术治疗中使用的一次性耗材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心胸外科耗材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包含心脏瓣膜，心脏补片等心胸外科手术治疗时的一次性使用耗材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麻醉类耗材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包含麻醉时使用的气插、气切、镇痛泵、各种传感器、喉罩等一次性使用耗材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整形美容耗材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包含整形手术植入物及其他一次性耗材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口腔科耗材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包含颌面部钢板及口腔义齿等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hint="eastAsia"/>
                <w:color w:val="FF0000"/>
                <w:kern w:val="0"/>
                <w:szCs w:val="21"/>
              </w:rPr>
            </w:pPr>
            <w:r>
              <w:rPr>
                <w:rFonts w:hint="eastAsia"/>
                <w:color w:val="FF0000"/>
                <w:kern w:val="0"/>
                <w:szCs w:val="21"/>
              </w:rPr>
              <w:t>A11081</w:t>
            </w:r>
            <w:r>
              <w:rPr>
                <w:rFonts w:hint="eastAsia"/>
                <w:color w:val="FF0000"/>
                <w:kern w:val="0"/>
                <w:szCs w:val="21"/>
                <w:lang w:val="en-US" w:eastAsia="zh-CN"/>
              </w:rPr>
              <w:t>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hint="eastAsia"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 xml:space="preserve">    假肢装置及材料</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包括假肢，其他假肢装置及材料</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kern w:val="0"/>
                <w:szCs w:val="21"/>
                <w:lang w:val="en-US" w:eastAsia="zh-CN"/>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w:t>
            </w:r>
            <w:r>
              <w:rPr>
                <w:rFonts w:hint="eastAsia"/>
                <w:color w:val="FF0000"/>
                <w:kern w:val="0"/>
                <w:szCs w:val="21"/>
                <w:lang w:val="en-US" w:eastAsia="zh-CN"/>
              </w:rPr>
              <w:t>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医用高分子材料及制品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包含临床护理时使用的高分子（塑料类）产品如注射器、输液器、留置针、吸痰管、吸氧管、面罩、吸引球等一次性耗材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w:t>
            </w:r>
            <w:r>
              <w:rPr>
                <w:rFonts w:hint="eastAsia"/>
                <w:color w:val="FF0000"/>
                <w:kern w:val="0"/>
                <w:szCs w:val="21"/>
                <w:lang w:val="en-US" w:eastAsia="zh-CN"/>
              </w:rPr>
              <w:t>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医用卫生材料及敷料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包含临床护理时使用的棉纱类制品如纱布、棉签、绷带、中单等一次性使用耗材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w:t>
            </w:r>
            <w:r>
              <w:rPr>
                <w:rFonts w:hint="eastAsia"/>
                <w:color w:val="FF0000"/>
                <w:kern w:val="0"/>
                <w:szCs w:val="21"/>
                <w:lang w:val="en-US" w:eastAsia="zh-CN"/>
              </w:rPr>
              <w:t>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消毒灭菌类耗材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包含临床使用消毒灭菌的指示卡、消毒液等消字号的一次性使用耗材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w:t>
            </w:r>
            <w:r>
              <w:rPr>
                <w:rFonts w:hint="eastAsia"/>
                <w:color w:val="FF0000"/>
                <w:kern w:val="0"/>
                <w:szCs w:val="21"/>
                <w:lang w:val="en-US" w:eastAsia="zh-CN"/>
              </w:rPr>
              <w:t>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骨科材料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包含骨科植入耗材及其他骨科治疗中使用的敷料、支具等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A11081</w:t>
            </w:r>
            <w:r>
              <w:rPr>
                <w:rFonts w:hint="eastAsia"/>
                <w:color w:val="FF0000"/>
                <w:kern w:val="0"/>
                <w:szCs w:val="21"/>
                <w:lang w:val="en-US" w:eastAsia="zh-CN"/>
              </w:rPr>
              <w:t>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FF0000"/>
                <w:kern w:val="0"/>
                <w:szCs w:val="21"/>
              </w:rPr>
            </w:pPr>
            <w:r>
              <w:rPr>
                <w:rFonts w:hint="eastAsia" w:ascii="宋体" w:hAnsi="宋体" w:eastAsia="宋体" w:cs="宋体"/>
                <w:color w:val="FF0000"/>
                <w:kern w:val="0"/>
                <w:szCs w:val="21"/>
              </w:rPr>
              <w:t xml:space="preserve">    介入诊断和治疗用材料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FF0000"/>
                <w:kern w:val="0"/>
                <w:szCs w:val="21"/>
              </w:rPr>
            </w:pPr>
            <w:r>
              <w:rPr>
                <w:rFonts w:hint="eastAsia" w:ascii="宋体" w:hAnsi="宋体" w:eastAsia="宋体" w:cs="宋体"/>
                <w:color w:val="FF0000"/>
                <w:kern w:val="0"/>
                <w:szCs w:val="21"/>
              </w:rPr>
              <w:t>包含所有血管介入类使用的起搏器、射频消融导管、支架、球囊、导管等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kern w:val="0"/>
                <w:szCs w:val="21"/>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widowControl/>
              <w:spacing w:beforeLines="0" w:afterLines="0" w:line="300" w:lineRule="exact"/>
              <w:jc w:val="left"/>
              <w:rPr>
                <w:strike/>
                <w:dstrike w:val="0"/>
                <w:color w:val="FF0000"/>
                <w:kern w:val="0"/>
                <w:szCs w:val="21"/>
              </w:rPr>
            </w:pPr>
            <w:r>
              <w:rPr>
                <w:rFonts w:hint="eastAsia" w:eastAsia="宋体"/>
                <w:strike w:val="0"/>
                <w:dstrike w:val="0"/>
                <w:color w:val="FF0000"/>
                <w:kern w:val="0"/>
                <w:szCs w:val="21"/>
              </w:rPr>
              <w:t>A110899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strike/>
                <w:dstrike w:val="0"/>
                <w:color w:val="FF0000"/>
                <w:kern w:val="0"/>
                <w:szCs w:val="21"/>
              </w:rPr>
            </w:pPr>
            <w:r>
              <w:rPr>
                <w:rFonts w:hint="eastAsia" w:ascii="宋体" w:hAnsi="宋体" w:eastAsia="宋体" w:cs="宋体"/>
                <w:strike w:val="0"/>
                <w:dstrike w:val="0"/>
                <w:color w:val="FF0000"/>
                <w:kern w:val="0"/>
                <w:szCs w:val="21"/>
              </w:rPr>
              <w:t xml:space="preserve">    其他医用耗材</w:t>
            </w:r>
          </w:p>
        </w:tc>
        <w:tc>
          <w:tcPr>
            <w:tcW w:w="2161" w:type="dxa"/>
            <w:tcBorders>
              <w:top w:val="single" w:color="auto" w:sz="4" w:space="0"/>
              <w:bottom w:val="single" w:color="auto" w:sz="4" w:space="0"/>
            </w:tcBorders>
            <w:vAlign w:val="center"/>
          </w:tcPr>
          <w:p>
            <w:pPr>
              <w:widowControl/>
              <w:spacing w:beforeLines="0" w:afterLines="0" w:line="300" w:lineRule="exact"/>
              <w:rPr>
                <w:bCs/>
                <w:strike/>
                <w:dstrike w:val="0"/>
                <w:color w:val="FF0000"/>
                <w:kern w:val="0"/>
                <w:szCs w:val="21"/>
              </w:rPr>
            </w:pPr>
            <w:r>
              <w:rPr>
                <w:rFonts w:hint="eastAsia" w:ascii="宋体" w:hAnsi="宋体" w:eastAsia="宋体" w:cs="宋体"/>
                <w:strike w:val="0"/>
                <w:dstrike w:val="0"/>
                <w:color w:val="FF0000"/>
                <w:kern w:val="0"/>
                <w:szCs w:val="21"/>
              </w:rPr>
              <w:t>其他医疗机构治疗和护理过程中使用到的一次性医用耗材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strike/>
                <w:dstrike w:val="0"/>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A1199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FF0000"/>
                <w:kern w:val="0"/>
                <w:szCs w:val="21"/>
              </w:rPr>
            </w:pPr>
            <w:r>
              <w:rPr>
                <w:color w:val="FF0000"/>
                <w:kern w:val="0"/>
                <w:szCs w:val="21"/>
              </w:rPr>
              <w:t>其他医药品</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农林牧渔业产品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kern w:val="0"/>
                <w:szCs w:val="21"/>
              </w:rPr>
            </w:pPr>
            <w:r>
              <w:rPr>
                <w:bCs/>
                <w:kern w:val="0"/>
                <w:szCs w:val="21"/>
              </w:rPr>
              <w:t>特种用途动、植物</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包括名贵树木、花卉等植物，实验用动物、动物良种、观赏动物、警用动物和助残动物等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kern w:val="0"/>
                <w:szCs w:val="21"/>
              </w:rPr>
            </w:pPr>
            <w:r>
              <w:rPr>
                <w:bCs/>
                <w:kern w:val="0"/>
                <w:szCs w:val="21"/>
              </w:rPr>
              <w:t>农产品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kern w:val="0"/>
                <w:szCs w:val="21"/>
              </w:rPr>
            </w:pPr>
            <w:r>
              <w:rPr>
                <w:bCs/>
                <w:kern w:val="0"/>
                <w:szCs w:val="21"/>
              </w:rPr>
              <w:t>林产品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kern w:val="0"/>
                <w:szCs w:val="21"/>
              </w:rPr>
            </w:pPr>
            <w:r>
              <w:rPr>
                <w:bCs/>
                <w:kern w:val="0"/>
                <w:szCs w:val="21"/>
              </w:rPr>
              <w:t>饲养动物及其产品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A1205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kern w:val="0"/>
                <w:szCs w:val="21"/>
              </w:rPr>
            </w:pPr>
            <w:r>
              <w:rPr>
                <w:bCs/>
                <w:kern w:val="0"/>
                <w:szCs w:val="21"/>
              </w:rPr>
              <w:t>渔业产品</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A13</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矿与矿物</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A14</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电力、城市燃气、蒸汽和热水、水</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A15</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食品、饮料和烟草原料</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A16</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炼焦产品、炼油产品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A17</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基础化学品及相关产品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A18</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橡胶、塑料、玻璃和陶瓷制品</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A19</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无形资产</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A20</w:t>
            </w:r>
          </w:p>
        </w:tc>
        <w:tc>
          <w:tcPr>
            <w:tcW w:w="3644"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限于全省教育系统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音像教材</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学具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科学计算器</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教育信息化工程辅助学习资源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直接从市场购买的、非定制开发的、成熟的商业教育信息化工程辅助学习资源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高中（含）以下普通中小学校，中等职业学校。全省教育系统所属学校由省教育厅实行部门集中采购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教育教学软件</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rFonts w:hint="eastAsia"/>
                <w:color w:val="FF0000"/>
                <w:kern w:val="0"/>
                <w:szCs w:val="21"/>
              </w:rPr>
              <w:t>直接从市场购买的、非定制开发的、成熟的商业教育教学软件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A2006</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学前教育玩教具</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全省教育系统所属学前教育学校由省教育厅实行部门集中采购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A2099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kern w:val="0"/>
                <w:szCs w:val="21"/>
              </w:rPr>
            </w:pPr>
            <w:r>
              <w:rPr>
                <w:kern w:val="0"/>
                <w:szCs w:val="21"/>
              </w:rPr>
              <w:t>其他辅助学习资源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A99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其他货物</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Cs/>
                <w:kern w:val="0"/>
                <w:szCs w:val="21"/>
              </w:rPr>
            </w:pPr>
            <w:r>
              <w:rPr>
                <w:bCs/>
                <w:kern w:val="0"/>
                <w:szCs w:val="21"/>
              </w:rPr>
              <w:t>B</w:t>
            </w:r>
          </w:p>
        </w:tc>
        <w:tc>
          <w:tcPr>
            <w:tcW w:w="3644" w:type="dxa"/>
            <w:tcBorders>
              <w:top w:val="single" w:color="auto" w:sz="4" w:space="0"/>
              <w:bottom w:val="single" w:color="auto" w:sz="4" w:space="0"/>
            </w:tcBorders>
            <w:vAlign w:val="center"/>
          </w:tcPr>
          <w:p>
            <w:pPr>
              <w:widowControl/>
              <w:spacing w:beforeLines="0" w:afterLines="0" w:line="300" w:lineRule="exact"/>
              <w:jc w:val="center"/>
              <w:rPr>
                <w:bCs/>
                <w:kern w:val="0"/>
                <w:szCs w:val="21"/>
              </w:rPr>
            </w:pPr>
            <w:r>
              <w:rPr>
                <w:bCs/>
                <w:kern w:val="0"/>
                <w:szCs w:val="21"/>
              </w:rPr>
              <w:t>工程类</w:t>
            </w:r>
          </w:p>
        </w:tc>
        <w:tc>
          <w:tcPr>
            <w:tcW w:w="2161" w:type="dxa"/>
            <w:tcBorders>
              <w:top w:val="single" w:color="auto" w:sz="4" w:space="0"/>
              <w:bottom w:val="single" w:color="auto" w:sz="4" w:space="0"/>
            </w:tcBorders>
            <w:vAlign w:val="center"/>
          </w:tcPr>
          <w:p>
            <w:pPr>
              <w:widowControl/>
              <w:spacing w:beforeLines="0" w:afterLines="0" w:line="300" w:lineRule="exact"/>
              <w:jc w:val="center"/>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建筑物施工</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B0104</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szCs w:val="24"/>
              </w:rPr>
            </w:pPr>
            <w:r>
              <w:rPr>
                <w:szCs w:val="24"/>
              </w:rPr>
              <w:t>行政单位用房施工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B010401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办公用房施工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B010402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业务用房施工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szCs w:val="24"/>
              </w:rPr>
            </w:pPr>
            <w:r>
              <w:rPr>
                <w:szCs w:val="24"/>
              </w:rPr>
              <w:t>公共安全用房施工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监狱施工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看守所施工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B010503</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劳教所施工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拘留所施工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戒毒所施工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B010599</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其他公共安全用房施工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szCs w:val="24"/>
              </w:rPr>
            </w:pPr>
            <w:r>
              <w:rPr>
                <w:szCs w:val="24"/>
              </w:rPr>
              <w:t>事业单位用房施工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教育用房施工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科研用房施工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B010603</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新闻出版用房施工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图书档案用房施工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医卫慈善用房施工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B010606</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文体和艺术团体用房施工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B010699</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其他事业单位用房施工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B0107</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szCs w:val="24"/>
              </w:rPr>
            </w:pPr>
            <w:r>
              <w:rPr>
                <w:szCs w:val="24"/>
              </w:rPr>
              <w:t>社会团体用房施工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 w:val="24"/>
                <w:szCs w:val="24"/>
              </w:rPr>
            </w:pPr>
            <w:r>
              <w:rPr>
                <w:szCs w:val="24"/>
              </w:rPr>
              <w:t>B0111</w:t>
            </w:r>
          </w:p>
        </w:tc>
        <w:tc>
          <w:tcPr>
            <w:tcW w:w="3644" w:type="dxa"/>
            <w:tcBorders>
              <w:top w:val="single" w:color="auto" w:sz="4" w:space="0"/>
              <w:bottom w:val="single" w:color="auto" w:sz="4" w:space="0"/>
            </w:tcBorders>
            <w:vAlign w:val="center"/>
          </w:tcPr>
          <w:p>
            <w:pPr>
              <w:spacing w:beforeLines="0" w:afterLines="0" w:line="300" w:lineRule="exact"/>
              <w:ind w:firstLine="210" w:firstLineChars="100"/>
              <w:rPr>
                <w:sz w:val="24"/>
                <w:szCs w:val="24"/>
              </w:rPr>
            </w:pPr>
            <w:r>
              <w:rPr>
                <w:szCs w:val="24"/>
              </w:rPr>
              <w:t>居住用房施工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 w:val="24"/>
                <w:szCs w:val="24"/>
              </w:rPr>
            </w:pPr>
            <w:r>
              <w:rPr>
                <w:szCs w:val="24"/>
              </w:rPr>
              <w:t>B0112</w:t>
            </w:r>
          </w:p>
        </w:tc>
        <w:tc>
          <w:tcPr>
            <w:tcW w:w="3644" w:type="dxa"/>
            <w:tcBorders>
              <w:top w:val="single" w:color="auto" w:sz="4" w:space="0"/>
              <w:bottom w:val="single" w:color="auto" w:sz="4" w:space="0"/>
            </w:tcBorders>
            <w:vAlign w:val="center"/>
          </w:tcPr>
          <w:p>
            <w:pPr>
              <w:spacing w:beforeLines="0" w:afterLines="0" w:line="300" w:lineRule="exact"/>
              <w:ind w:firstLine="210" w:firstLineChars="100"/>
              <w:rPr>
                <w:sz w:val="24"/>
                <w:szCs w:val="24"/>
              </w:rPr>
            </w:pPr>
            <w:r>
              <w:rPr>
                <w:szCs w:val="24"/>
              </w:rPr>
              <w:t>体育和娱乐用房施工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B011201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体育场馆用房施工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B011204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舞厅和音乐厅施工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B011205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szCs w:val="24"/>
              </w:rPr>
            </w:pPr>
            <w:r>
              <w:rPr>
                <w:szCs w:val="24"/>
              </w:rPr>
              <w:t>文化宫和少年宫施工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B011206</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老年活动中心施工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B011299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其他体育和娱乐用房施工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B0113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市政公共设施用房施工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B0114</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仓储用房施工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B0115</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房屋附属设施施工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包括岗楼、围墙等的施工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B0199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其他建筑物施工</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构筑物施工</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铁路工程施工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B0202</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公路工程施工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B0203</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机场跑道施工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B0204</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高速公路工程施工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B0205</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城市道路工程施工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B0206</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城市轨道交通工程施工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B0207</w:t>
            </w:r>
          </w:p>
        </w:tc>
        <w:tc>
          <w:tcPr>
            <w:tcW w:w="3644" w:type="dxa"/>
            <w:tcBorders>
              <w:top w:val="single" w:color="auto" w:sz="4" w:space="0"/>
              <w:bottom w:val="single" w:color="auto" w:sz="4" w:space="0"/>
            </w:tcBorders>
            <w:vAlign w:val="center"/>
          </w:tcPr>
          <w:p>
            <w:pPr>
              <w:spacing w:beforeLines="0" w:afterLines="0" w:line="300" w:lineRule="exact"/>
              <w:rPr>
                <w:szCs w:val="24"/>
              </w:rPr>
            </w:pPr>
            <w:r>
              <w:rPr>
                <w:szCs w:val="24"/>
              </w:rPr>
              <w:t xml:space="preserve">  桥梁工程施工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隧道工程施工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B0209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水利工程施工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包括水利枢纽、堤坝、城市防洪、疏浚、滞蓄洪区、橡胶坝拦河、山洪防御、水库、引水河渠、灌溉排水、雨水利用、再生水利用等水利工程施工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B0210</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水运工程施工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包括港口、海堤、航道等水运工程施工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海洋工程施工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包括围海造地、防侵蚀、护岸护滩、海洋景观、滨海污水海洋处理、海洋平台、人工岛屿、人工鱼礁等海洋工程施工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长距离管道、通信和电力线路（电    缆）铺设</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市内管道、电缆及其有关工程铺设</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公共设施施工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B021501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室外体育和娱乐设施工程施工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B021502</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园林绿化工程施工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B021599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其他公共设施施工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环保工程施工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污水处理工程施工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B021602</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固定废物处理工程施工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B021603</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荒山绿化工程施工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B021604</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防沙工程施工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B021605</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江河湖泊治理工程施工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B021606</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人工湿地工程施工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B021607</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天然林保护工程施工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B021699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其他环保工程施工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B0217</w:t>
            </w:r>
          </w:p>
        </w:tc>
        <w:tc>
          <w:tcPr>
            <w:tcW w:w="3644" w:type="dxa"/>
            <w:tcBorders>
              <w:top w:val="single" w:color="auto" w:sz="4" w:space="0"/>
              <w:bottom w:val="single" w:color="auto" w:sz="4" w:space="0"/>
            </w:tcBorders>
            <w:vAlign w:val="center"/>
          </w:tcPr>
          <w:p>
            <w:pPr>
              <w:spacing w:beforeLines="0" w:afterLines="0" w:line="300" w:lineRule="exact"/>
              <w:rPr>
                <w:szCs w:val="24"/>
              </w:rPr>
            </w:pPr>
            <w:r>
              <w:rPr>
                <w:szCs w:val="24"/>
              </w:rPr>
              <w:t xml:space="preserve">  高耸构筑物施工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指烟囱、水塔、电视塔等构筑物施工。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B0299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其他构筑物工程施工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工程准备</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B0301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工地平整和清理</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B0302</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土石方工程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B0303</w:t>
            </w:r>
          </w:p>
        </w:tc>
        <w:tc>
          <w:tcPr>
            <w:tcW w:w="3644" w:type="dxa"/>
            <w:tcBorders>
              <w:top w:val="single" w:color="auto" w:sz="4" w:space="0"/>
              <w:bottom w:val="single" w:color="auto" w:sz="4" w:space="0"/>
            </w:tcBorders>
            <w:vAlign w:val="center"/>
          </w:tcPr>
          <w:p>
            <w:pPr>
              <w:spacing w:beforeLines="0" w:afterLines="0" w:line="300" w:lineRule="exact"/>
              <w:rPr>
                <w:szCs w:val="24"/>
              </w:rPr>
            </w:pPr>
            <w:r>
              <w:rPr>
                <w:szCs w:val="24"/>
              </w:rPr>
              <w:t xml:space="preserve">  拆除工程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包括房屋拆除、厂房和设备拆除、桥梁和轨道拆除、其他拆除服务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B0304</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工程排水施工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B0399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其他工程准备</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预制构件组装和装配</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专业施工</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打桩、地基和基础工程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B0502</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建筑物构架工程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B0503</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屋顶构架工程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B0504</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防水工程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B0505</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防腐保温工程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B0506</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混凝土工程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B0507</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钢结构工程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B0508</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砖石工程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B0509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脚手架工程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B0510</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消防工程和安防工程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B0511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建筑幕墙工程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B0599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其他专业施工</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建筑安装工程</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电子工程安装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智能化安装工程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楼宇设备自控系统工程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保安监控和防盗报警系统工程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智能卡系统工程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通信系统工程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卫星和共用电视系统工程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计算机网络系统工程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广播系统工程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火灾报警系统工程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B060299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其他智能化安装工程</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电力系统安装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供水管道工程和下水道铺设</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供暖设备安装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通风和空调设备安装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燃气设备安装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大型设备安装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B0699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其他安装</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B07</w:t>
            </w:r>
          </w:p>
        </w:tc>
        <w:tc>
          <w:tcPr>
            <w:tcW w:w="3644" w:type="dxa"/>
            <w:tcBorders>
              <w:top w:val="single" w:color="auto" w:sz="4" w:space="0"/>
              <w:bottom w:val="single" w:color="auto" w:sz="4" w:space="0"/>
            </w:tcBorders>
            <w:vAlign w:val="center"/>
          </w:tcPr>
          <w:p>
            <w:pPr>
              <w:spacing w:beforeLines="0" w:afterLines="0" w:line="300" w:lineRule="exact"/>
              <w:rPr>
                <w:szCs w:val="24"/>
              </w:rPr>
            </w:pPr>
            <w:r>
              <w:rPr>
                <w:szCs w:val="24"/>
              </w:rPr>
              <w:t>装修工程</w:t>
            </w:r>
          </w:p>
        </w:tc>
        <w:tc>
          <w:tcPr>
            <w:tcW w:w="2161" w:type="dxa"/>
            <w:tcBorders>
              <w:top w:val="single" w:color="auto" w:sz="4" w:space="0"/>
              <w:bottom w:val="single" w:color="auto" w:sz="4" w:space="0"/>
            </w:tcBorders>
            <w:vAlign w:val="top"/>
          </w:tcPr>
          <w:p>
            <w:pPr>
              <w:spacing w:beforeLines="0" w:afterLines="0" w:line="300" w:lineRule="exact"/>
              <w:rPr>
                <w:szCs w:val="24"/>
              </w:rPr>
            </w:pPr>
            <w:r>
              <w:rPr>
                <w:szCs w:val="24"/>
              </w:rPr>
              <w:t>包括木工装修、砌筑装修、瓷砖装修、玻璃装配、抹灰装修、石制装修、门窗安装、涂料装修、其他装修</w:t>
            </w:r>
          </w:p>
        </w:tc>
        <w:tc>
          <w:tcPr>
            <w:tcW w:w="2417" w:type="dxa"/>
            <w:tcBorders>
              <w:top w:val="single" w:color="auto" w:sz="4" w:space="0"/>
              <w:bottom w:val="single" w:color="auto" w:sz="4" w:space="0"/>
              <w:right w:val="single" w:color="auto" w:sz="4" w:space="0"/>
            </w:tcBorders>
            <w:vAlign w:val="top"/>
          </w:tcPr>
          <w:p>
            <w:pPr>
              <w:spacing w:beforeLines="0" w:afterLines="0" w:line="300" w:lineRule="exact"/>
              <w:rPr>
                <w:b/>
                <w:strike/>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szCs w:val="24"/>
              </w:rPr>
            </w:pPr>
            <w:r>
              <w:rPr>
                <w:szCs w:val="24"/>
              </w:rPr>
              <w:t>B08</w:t>
            </w:r>
          </w:p>
        </w:tc>
        <w:tc>
          <w:tcPr>
            <w:tcW w:w="3644" w:type="dxa"/>
            <w:tcBorders>
              <w:top w:val="single" w:color="auto" w:sz="4" w:space="0"/>
              <w:bottom w:val="single" w:color="auto" w:sz="4" w:space="0"/>
            </w:tcBorders>
            <w:vAlign w:val="center"/>
          </w:tcPr>
          <w:p>
            <w:pPr>
              <w:spacing w:beforeLines="0" w:afterLines="0" w:line="300" w:lineRule="exact"/>
              <w:rPr>
                <w:szCs w:val="24"/>
              </w:rPr>
            </w:pPr>
            <w:r>
              <w:rPr>
                <w:szCs w:val="24"/>
              </w:rPr>
              <w:t>修缮工程</w:t>
            </w:r>
          </w:p>
        </w:tc>
        <w:tc>
          <w:tcPr>
            <w:tcW w:w="2161" w:type="dxa"/>
            <w:tcBorders>
              <w:top w:val="single" w:color="auto" w:sz="4" w:space="0"/>
              <w:bottom w:val="single" w:color="auto" w:sz="4" w:space="0"/>
            </w:tcBorders>
            <w:vAlign w:val="top"/>
          </w:tcPr>
          <w:p>
            <w:pPr>
              <w:spacing w:beforeLines="0" w:afterLines="0" w:line="300" w:lineRule="exact"/>
              <w:rPr>
                <w:szCs w:val="24"/>
              </w:rPr>
            </w:pPr>
            <w:r>
              <w:rPr>
                <w:szCs w:val="24"/>
              </w:rPr>
              <w:t>主要指对已建成的建筑物进行拆改、翻修和维护</w:t>
            </w:r>
          </w:p>
        </w:tc>
        <w:tc>
          <w:tcPr>
            <w:tcW w:w="2417" w:type="dxa"/>
            <w:tcBorders>
              <w:top w:val="single" w:color="auto" w:sz="4" w:space="0"/>
              <w:bottom w:val="single" w:color="auto" w:sz="4" w:space="0"/>
              <w:right w:val="single" w:color="auto" w:sz="4" w:space="0"/>
            </w:tcBorders>
            <w:vAlign w:val="top"/>
          </w:tcPr>
          <w:p>
            <w:pPr>
              <w:spacing w:beforeLines="0" w:afterLines="0" w:line="300" w:lineRule="exact"/>
              <w:rPr>
                <w:b/>
                <w:strike/>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B0801</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房屋修缮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B0803</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文物保护建筑修缮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szCs w:val="24"/>
              </w:rPr>
            </w:pPr>
            <w:r>
              <w:rPr>
                <w:szCs w:val="24"/>
              </w:rPr>
              <w:t>B0899</w:t>
            </w:r>
          </w:p>
        </w:tc>
        <w:tc>
          <w:tcPr>
            <w:tcW w:w="3644" w:type="dxa"/>
            <w:tcBorders>
              <w:top w:val="single" w:color="auto" w:sz="4" w:space="0"/>
              <w:bottom w:val="single" w:color="auto" w:sz="4" w:space="0"/>
            </w:tcBorders>
            <w:vAlign w:val="top"/>
          </w:tcPr>
          <w:p>
            <w:pPr>
              <w:spacing w:beforeLines="0" w:afterLines="0" w:line="300" w:lineRule="exact"/>
              <w:rPr>
                <w:szCs w:val="24"/>
              </w:rPr>
            </w:pPr>
            <w:r>
              <w:rPr>
                <w:szCs w:val="24"/>
              </w:rPr>
              <w:t xml:space="preserve">  其他建筑物、构筑物修缮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B09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工程设备租赁（带操作员）</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B99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其他建筑工程</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Cs/>
                <w:kern w:val="0"/>
                <w:szCs w:val="21"/>
              </w:rPr>
            </w:pPr>
            <w:r>
              <w:rPr>
                <w:bCs/>
                <w:kern w:val="0"/>
                <w:szCs w:val="21"/>
              </w:rPr>
              <mc:AlternateContent>
                <mc:Choice Requires="wps">
                  <w:drawing>
                    <wp:anchor distT="0" distB="0" distL="114300" distR="114300" simplePos="0" relativeHeight="251664384" behindDoc="0" locked="0" layoutInCell="1" allowOverlap="1">
                      <wp:simplePos x="0" y="0"/>
                      <wp:positionH relativeFrom="column">
                        <wp:posOffset>-85090</wp:posOffset>
                      </wp:positionH>
                      <wp:positionV relativeFrom="paragraph">
                        <wp:posOffset>0</wp:posOffset>
                      </wp:positionV>
                      <wp:extent cx="6288405" cy="635"/>
                      <wp:effectExtent l="0" t="0" r="0" b="0"/>
                      <wp:wrapNone/>
                      <wp:docPr id="10" name="直接连接符 16"/>
                      <wp:cNvGraphicFramePr/>
                      <a:graphic xmlns:a="http://schemas.openxmlformats.org/drawingml/2006/main">
                        <a:graphicData uri="http://schemas.microsoft.com/office/word/2010/wordprocessingShape">
                          <wps:wsp>
                            <wps:cNvSpPr/>
                            <wps:spPr>
                              <a:xfrm>
                                <a:off x="0" y="0"/>
                                <a:ext cx="628840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6" o:spid="_x0000_s1026" o:spt="20" style="position:absolute;left:0pt;margin-left:-6.7pt;margin-top:0pt;height:0.05pt;width:495.15pt;z-index:251664384;mso-width-relative:page;mso-height-relative:page;" filled="f" stroked="t" coordsize="21600,21600" o:gfxdata="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ZaPUd1AAAAAUBAAAPAAAA&#10;AAAAAAEAIAAAACIAAABkcnMvZG93bnJldi54bWxQSwECFAAUAAAACACHTuJAHZVE3eABAACkAwAA&#10;DgAAAAAAAAABACAAAAAjAQAAZHJzL2Uyb0RvYy54bWxQSwUGAAAAAAYABgBZAQAAdQUAAAAA&#10;">
                      <v:path arrowok="t"/>
                      <v:fill on="f" focussize="0,0"/>
                      <v:stroke joinstyle="bevel"/>
                      <v:imagedata o:title=""/>
                      <o:lock v:ext="edit" grouping="f" rotation="f" text="f" aspectratio="f"/>
                    </v:line>
                  </w:pict>
                </mc:Fallback>
              </mc:AlternateContent>
            </w:r>
            <w:r>
              <w:rPr>
                <w:bCs/>
                <w:kern w:val="0"/>
                <w:szCs w:val="21"/>
              </w:rPr>
              <w:t>C</w:t>
            </w:r>
          </w:p>
        </w:tc>
        <w:tc>
          <w:tcPr>
            <w:tcW w:w="3644" w:type="dxa"/>
            <w:tcBorders>
              <w:top w:val="single" w:color="auto" w:sz="4" w:space="0"/>
              <w:bottom w:val="single" w:color="auto" w:sz="4" w:space="0"/>
            </w:tcBorders>
            <w:vAlign w:val="center"/>
          </w:tcPr>
          <w:p>
            <w:pPr>
              <w:widowControl/>
              <w:spacing w:beforeLines="0" w:afterLines="0" w:line="300" w:lineRule="exact"/>
              <w:jc w:val="center"/>
              <w:rPr>
                <w:bCs/>
                <w:kern w:val="0"/>
                <w:szCs w:val="21"/>
              </w:rPr>
            </w:pPr>
            <w:r>
              <w:rPr>
                <w:bCs/>
                <w:kern w:val="0"/>
                <w:szCs w:val="21"/>
              </w:rPr>
              <w:t>服务类</w:t>
            </w:r>
          </w:p>
        </w:tc>
        <w:tc>
          <w:tcPr>
            <w:tcW w:w="2161" w:type="dxa"/>
            <w:tcBorders>
              <w:top w:val="single" w:color="auto" w:sz="4" w:space="0"/>
              <w:bottom w:val="single" w:color="auto" w:sz="4" w:space="0"/>
            </w:tcBorders>
            <w:vAlign w:val="center"/>
          </w:tcPr>
          <w:p>
            <w:pPr>
              <w:widowControl/>
              <w:spacing w:beforeLines="0" w:afterLines="0" w:line="300" w:lineRule="exact"/>
              <w:rPr>
                <w:b/>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科学研究和试验开发</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C0101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科研课题研究服务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C0199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其他研究和试验开发服务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信息技术服务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C0201</w:t>
            </w:r>
            <w:r>
              <w:rPr>
                <w:rFonts w:hint="eastAsia"/>
                <w:color w:val="FF0000"/>
                <w:kern w:val="0"/>
                <w:szCs w:val="21"/>
              </w:rPr>
              <w:t>01</w:t>
            </w:r>
          </w:p>
        </w:tc>
        <w:tc>
          <w:tcPr>
            <w:tcW w:w="3644"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 xml:space="preserve">    教育信息化工程辅助学习资源开发服务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定制开发的教育信息化工程辅助学习资源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C0201</w:t>
            </w:r>
            <w:r>
              <w:rPr>
                <w:rFonts w:hint="eastAsia"/>
                <w:color w:val="FF0000"/>
                <w:kern w:val="0"/>
                <w:szCs w:val="21"/>
              </w:rPr>
              <w:t>02</w:t>
            </w:r>
          </w:p>
        </w:tc>
        <w:tc>
          <w:tcPr>
            <w:tcW w:w="3644"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 xml:space="preserve">    教育教学软件开发服务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定制开发的教育教学软件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FF0000"/>
                <w:kern w:val="0"/>
                <w:szCs w:val="21"/>
              </w:rPr>
            </w:pPr>
            <w:r>
              <w:rPr>
                <w:color w:val="FF0000"/>
                <w:kern w:val="0"/>
                <w:szCs w:val="21"/>
              </w:rPr>
              <w:t>C0201</w:t>
            </w:r>
            <w:r>
              <w:rPr>
                <w:rFonts w:hint="eastAsia"/>
                <w:color w:val="FF0000"/>
                <w:kern w:val="0"/>
                <w:szCs w:val="21"/>
              </w:rPr>
              <w:t>99</w:t>
            </w:r>
          </w:p>
        </w:tc>
        <w:tc>
          <w:tcPr>
            <w:tcW w:w="3644"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 xml:space="preserve">    其他软件开发服务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FF0000"/>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FF0000"/>
                <w:kern w:val="0"/>
                <w:szCs w:val="21"/>
              </w:rPr>
            </w:pPr>
            <w:r>
              <w:rPr>
                <w:rFonts w:hint="eastAsia"/>
                <w:color w:val="FF0000"/>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信息系统集成实施服务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rFonts w:hint="eastAsia"/>
                <w:kern w:val="0"/>
                <w:szCs w:val="21"/>
              </w:rPr>
              <w:t xml:space="preserve"> </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数据处理服务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信息化工程监理服务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0</wp:posOffset>
                      </wp:positionV>
                      <wp:extent cx="6289040" cy="635"/>
                      <wp:effectExtent l="0" t="0" r="0" b="0"/>
                      <wp:wrapNone/>
                      <wp:docPr id="11" name="直接连接符 14"/>
                      <wp:cNvGraphicFramePr/>
                      <a:graphic xmlns:a="http://schemas.openxmlformats.org/drawingml/2006/main">
                        <a:graphicData uri="http://schemas.microsoft.com/office/word/2010/wordprocessingShape">
                          <wps:wsp>
                            <wps:cNvSpPr/>
                            <wps:spPr>
                              <a:xfrm>
                                <a:off x="0" y="0"/>
                                <a:ext cx="628904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4" o:spid="_x0000_s1026" o:spt="20" style="position:absolute;left:0pt;margin-left:2.7pt;margin-top:0pt;height:0.05pt;width:495.2pt;z-index:251667456;mso-width-relative:page;mso-height-relative:page;" filled="f" stroked="t" coordsize="21600,21600" o:gfxdata="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YMDC0gAAAAMBAAAPAAAA&#10;AAAAAAEAIAAAACIAAABkcnMvZG93bnJldi54bWxQSwECFAAUAAAACACHTuJAgXqBoeIBAACkAwAA&#10;DgAAAAAAAAABACAAAAAhAQAAZHJzL2Uyb0RvYy54bWxQSwUGAAAAAAYABgBZAQAAdQUAAAAA&#10;">
                      <v:path arrowok="t"/>
                      <v:fill on="f" focussize="0,0"/>
                      <v:stroke joinstyle="bevel"/>
                      <v:imagedata o:title=""/>
                      <o:lock v:ext="edit" grouping="f" rotation="f" text="f" aspectratio="f"/>
                    </v:line>
                  </w:pict>
                </mc:Fallback>
              </mc:AlternateContent>
            </w:r>
            <w:r>
              <w:rPr>
                <w:kern w:val="0"/>
                <w:szCs w:val="21"/>
              </w:rPr>
              <w:t>C0205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测试评估认证服务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运行维护服务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运营服务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信息技术咨询服务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C0209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呼叫中心服务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C0299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其他信息技术服务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电信和其他信息传输服务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C0301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电信服务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电信线路租用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C0302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互联网信息服务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C0303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卫星传输服务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-1905</wp:posOffset>
                      </wp:positionV>
                      <wp:extent cx="6304915" cy="1270"/>
                      <wp:effectExtent l="0" t="0" r="0" b="0"/>
                      <wp:wrapNone/>
                      <wp:docPr id="12" name="直接连接符 13"/>
                      <wp:cNvGraphicFramePr/>
                      <a:graphic xmlns:a="http://schemas.openxmlformats.org/drawingml/2006/main">
                        <a:graphicData uri="http://schemas.microsoft.com/office/word/2010/wordprocessingShape">
                          <wps:wsp>
                            <wps:cNvSpPr/>
                            <wps:spPr>
                              <a:xfrm>
                                <a:off x="0" y="0"/>
                                <a:ext cx="6304915" cy="1270"/>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3" o:spid="_x0000_s1026" o:spt="20" style="position:absolute;left:0pt;margin-left:-6.1pt;margin-top:-0.15pt;height:0.1pt;width:496.45pt;z-index:251669504;mso-width-relative:page;mso-height-relative:page;" filled="f" stroked="t" coordsize="21600,21600" o:gfxdata="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Fk00tQAAAAHAQAA&#10;DwAAAAAAAAABACAAAAAiAAAAZHJzL2Rvd25yZXYueG1sUEsBAhQAFAAAAAgAh07iQPjESf7kAQAA&#10;pQMAAA4AAAAAAAAAAQAgAAAAIwEAAGRycy9lMm9Eb2MueG1sUEsFBgAAAAAGAAYAWQEAAHkFAAAA&#10;AA==&#10;">
                      <v:path arrowok="t"/>
                      <v:fill on="f" focussize="0,0"/>
                      <v:stroke joinstyle="bevel"/>
                      <v:imagedata o:title=""/>
                      <o:lock v:ext="edit" grouping="f" rotation="f" text="f" aspectratio="f"/>
                    </v:line>
                  </w:pict>
                </mc:Fallback>
              </mc:AlternateContent>
            </w:r>
            <w:r>
              <w:rPr>
                <w:kern w:val="0"/>
                <w:szCs w:val="21"/>
              </w:rPr>
              <w:t>C0399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其他电信和信息传输服务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-4445</wp:posOffset>
                      </wp:positionV>
                      <wp:extent cx="2973070" cy="1270"/>
                      <wp:effectExtent l="0" t="0" r="0" b="0"/>
                      <wp:wrapNone/>
                      <wp:docPr id="13" name="直接连接符 12"/>
                      <wp:cNvGraphicFramePr/>
                      <a:graphic xmlns:a="http://schemas.openxmlformats.org/drawingml/2006/main">
                        <a:graphicData uri="http://schemas.microsoft.com/office/word/2010/wordprocessingShape">
                          <wps:wsp>
                            <wps:cNvSpPr/>
                            <wps:spPr>
                              <a:xfrm>
                                <a:off x="0" y="0"/>
                                <a:ext cx="2973070" cy="1270"/>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2" o:spid="_x0000_s1026" o:spt="20" style="position:absolute;left:0pt;margin-left:0pt;margin-top:-0.35pt;height:0.1pt;width:234.1pt;z-index:251668480;mso-width-relative:page;mso-height-relative:page;" filled="f" stroked="t" coordsize="21600,21600" o:gfxdata="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udNT0wAAAAQBAAAPAAAA&#10;AAAAAAEAIAAAACIAAABkcnMvZG93bnJldi54bWxQSwECFAAUAAAACACHTuJAL/5fu+EBAAClAwAA&#10;DgAAAAAAAAABACAAAAAiAQAAZHJzL2Uyb0RvYy54bWxQSwUGAAAAAAYABgBZAQAAdQUAAAAA&#10;">
                      <v:path arrowok="t"/>
                      <v:fill on="f" focussize="0,0"/>
                      <v:stroke joinstyle="bevel"/>
                      <v:imagedata o:title=""/>
                      <o:lock v:ext="edit" grouping="f" rotation="f" text="f" aspectratio="f"/>
                    </v:line>
                  </w:pict>
                </mc:Fallback>
              </mc:AlternateConten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租赁服务（不带操作员）</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计算机设备和软件租赁服务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含云计算服务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办公设备租赁服务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车辆及其他运输机械租赁服务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含公务用车租赁</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农业和林业机械设备租赁服务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医疗设备租赁服务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图书和音像制品租赁服务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家具、用具和装具租赁服务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C0499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计算机设备维修和保养服务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办公设备维修和保养服务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C050301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C050302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车辆加油服务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C050399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农业和林业机械设备维修和保养服务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医疗设备维修和保养服务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家具维修和保养服务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空调、电梯维修和保养服务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C0599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会议和展览服务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C0601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会议服务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C060101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大型会议服务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mc:AlternateContent>
                <mc:Choice Requires="wps">
                  <w:drawing>
                    <wp:anchor distT="0" distB="0" distL="114300" distR="114300" simplePos="0" relativeHeight="251665408" behindDoc="0" locked="0" layoutInCell="1" allowOverlap="1">
                      <wp:simplePos x="0" y="0"/>
                      <wp:positionH relativeFrom="column">
                        <wp:posOffset>-69215</wp:posOffset>
                      </wp:positionH>
                      <wp:positionV relativeFrom="paragraph">
                        <wp:posOffset>0</wp:posOffset>
                      </wp:positionV>
                      <wp:extent cx="6296660" cy="635"/>
                      <wp:effectExtent l="0" t="0" r="0" b="0"/>
                      <wp:wrapNone/>
                      <wp:docPr id="14" name="直接连接符 11"/>
                      <wp:cNvGraphicFramePr/>
                      <a:graphic xmlns:a="http://schemas.openxmlformats.org/drawingml/2006/main">
                        <a:graphicData uri="http://schemas.microsoft.com/office/word/2010/wordprocessingShape">
                          <wps:wsp>
                            <wps:cNvSpPr/>
                            <wps:spPr>
                              <a:xfrm>
                                <a:off x="0" y="0"/>
                                <a:ext cx="629666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1" o:spid="_x0000_s1026" o:spt="20" style="position:absolute;left:0pt;margin-left:-5.45pt;margin-top:0pt;height:0.05pt;width:495.8pt;z-index:251665408;mso-width-relative:page;mso-height-relative:page;" filled="f" stroked="t" coordsize="21600,21600" o:gfxdata="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PVOT0wAAAAUBAAAPAAAA&#10;AAAAAAEAIAAAACIAAABkcnMvZG93bnJldi54bWxQSwECFAAUAAAACACHTuJA/gNWpeEBAACkAwAA&#10;DgAAAAAAAAABACAAAAAiAQAAZHJzL2Uyb0RvYy54bWxQSwUGAAAAAAYABgBZAQAAdQUAAAAA&#10;">
                      <v:path arrowok="t"/>
                      <v:fill on="f" focussize="0,0"/>
                      <v:stroke joinstyle="bevel"/>
                      <v:imagedata o:title=""/>
                      <o:lock v:ext="edit" grouping="f" rotation="f" text="f" aspectratio="f"/>
                    </v:line>
                  </w:pict>
                </mc:Fallback>
              </mc:AlternateContent>
            </w:r>
            <w:r>
              <w:rPr>
                <w:kern w:val="0"/>
                <w:szCs w:val="21"/>
              </w:rPr>
              <w:t>C060102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一般会议服务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C0602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展览服务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住宿和餐饮服务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商务服务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法律服务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会计服务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w:t>
            </w:r>
            <w:r>
              <w:rPr>
                <w:rFonts w:hint="eastAsia"/>
                <w:kern w:val="0"/>
                <w:szCs w:val="21"/>
                <w:lang w:val="en-US" w:eastAsia="zh-CN"/>
              </w:rPr>
              <w:t>购</w:t>
            </w:r>
            <w:r>
              <w:rPr>
                <w:kern w:val="0"/>
                <w:szCs w:val="21"/>
              </w:rPr>
              <w:t>（定点采购）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审计服务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税务服务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资产及其他评估服务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广告服务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市场调查和民意测验服务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社会与管理咨询服务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包括政策和战略的总体规划咨询服务、其他社会与管理咨询服务。不包括信息技术咨询服务、法律咨询服务、工程咨询服务等专项咨询服务。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C0809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职业中介服务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C0810</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安全服务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为社会提供专业化的安全防范服务，包括：保安服务、特种保安服务：现钞押运，金库守护，贵重物品保安，易爆、易燃、易腐等危险品保护及其他特种保安的服务；道路交通协管服务：交通秩序、车辆停放协管服务；社会治安协管服务；其他安全保护服务：专业开锁服务、私人调查服务、监视器管理服务、安全咨询服务、其他安全保护服务。</w:t>
            </w:r>
          </w:p>
          <w:p>
            <w:pPr>
              <w:widowControl/>
              <w:spacing w:beforeLines="0" w:afterLines="0" w:line="300" w:lineRule="exact"/>
              <w:rPr>
                <w:kern w:val="0"/>
                <w:szCs w:val="21"/>
              </w:rPr>
            </w:pPr>
            <w:r>
              <w:rPr>
                <w:kern w:val="0"/>
                <w:szCs w:val="21"/>
              </w:rPr>
              <w:t>不含采购单位的保安传达等日常秩序管理服务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建筑物清洁服务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摄影服务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包装服务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印刷和出版服务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C081401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印刷服务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C081402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出版服务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翻译服务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票务代理服务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采购代理服务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旅游服务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C0819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邮政与速递服务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C0820</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绩效评价服务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C0899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其他商务服务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专业技术服务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技术测试和分析服务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地震服务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气象服务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测绘服务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海洋服务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地质勘测服务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合同能源管理服务</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节能服务公司与用能单位以契约形式约定节能目标，节能服务公司提供必要的服务，用能单位以节能效益支付节能服务公司投入</w:t>
            </w:r>
            <w:r>
              <w:rPr>
                <w:bCs/>
                <w:kern w:val="0"/>
                <w:szCs w:val="21"/>
              </w:rPr>
              <mc:AlternateContent>
                <mc:Choice Requires="wps">
                  <w:drawing>
                    <wp:anchor distT="0" distB="0" distL="114300" distR="114300" simplePos="0" relativeHeight="251666432" behindDoc="0" locked="0" layoutInCell="1" allowOverlap="1">
                      <wp:simplePos x="0" y="0"/>
                      <wp:positionH relativeFrom="column">
                        <wp:posOffset>-3399790</wp:posOffset>
                      </wp:positionH>
                      <wp:positionV relativeFrom="paragraph">
                        <wp:posOffset>0</wp:posOffset>
                      </wp:positionV>
                      <wp:extent cx="6304280" cy="635"/>
                      <wp:effectExtent l="0" t="0" r="0" b="0"/>
                      <wp:wrapNone/>
                      <wp:docPr id="15" name="直接连接符 4"/>
                      <wp:cNvGraphicFramePr/>
                      <a:graphic xmlns:a="http://schemas.openxmlformats.org/drawingml/2006/main">
                        <a:graphicData uri="http://schemas.microsoft.com/office/word/2010/wordprocessingShape">
                          <wps:wsp>
                            <wps:cNvSpPr/>
                            <wps:spPr>
                              <a:xfrm>
                                <a:off x="0" y="0"/>
                                <a:ext cx="630428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4" o:spid="_x0000_s1026" o:spt="20" style="position:absolute;left:0pt;margin-left:-267.7pt;margin-top:0pt;height:0.05pt;width:496.4pt;z-index:251666432;mso-width-relative:page;mso-height-relative:page;" filled="f" stroked="t" coordsize="21600,21600" o:gfxdata="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HjV70wAAAAYBAAAPAAAA&#10;AAAAAAEAIAAAACIAAABkcnMvZG93bnJldi54bWxQSwECFAAUAAAACACHTuJATGVv4+EBAACjAwAA&#10;DgAAAAAAAAABACAAAAAiAQAAZHJzL2Uyb0RvYy54bWxQSwUGAAAAAAYABgBZAQAAdQUAAAAA&#10;">
                      <v:path arrowok="t"/>
                      <v:fill on="f" focussize="0,0"/>
                      <v:stroke joinstyle="bevel"/>
                      <v:imagedata o:title=""/>
                      <o:lock v:ext="edit" grouping="f" rotation="f" text="f" aspectratio="f"/>
                    </v:line>
                  </w:pict>
                </mc:Fallback>
              </mc:AlternateContent>
            </w:r>
            <w:r>
              <w:rPr>
                <w:bCs/>
                <w:kern w:val="0"/>
                <w:szCs w:val="21"/>
              </w:rPr>
              <w:t>及其合理利润</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C0908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其他专业技术服务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包括地震、气象、海洋等其他专业技术服务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工程咨询管理服务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工程咨询服务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包括工程设计前咨询、造价咨询和政策咨询等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工程勘探服务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工程设计服务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装修设计服务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工程项目管理服务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工程监理服务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工程总承包服务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C1099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其他工程咨询管理服务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水利管理服务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房地产服务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C1202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房屋租赁服务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C1204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物业管理服务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指本单位物业管理服务部门不能承担的，用于办公场所或其他公用场所水电供应、设备运行、建筑物门窗保养维护、保洁、保安、绿化养护等的管理及服务。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kern w:val="0"/>
                <w:szCs w:val="21"/>
              </w:rPr>
            </w:pPr>
            <w:r>
              <w:rPr>
                <w:rFonts w:hint="eastAsia"/>
                <w:kern w:val="0"/>
                <w:szCs w:val="21"/>
                <w:lang w:val="en-US" w:eastAsia="zh-CN"/>
              </w:rPr>
              <w:t>仅限省级</w:t>
            </w: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C1299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其他房地产服务</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公共设施管理服务</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包括城市规划和设计、市政公共设施管理、园林绿化管理、城市市容管理和游览景区服务等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金融服务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银行服务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C150101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银行代理服务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C150102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其他银行服务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人寿保险服务</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kern w:val="0"/>
                <w:szCs w:val="21"/>
                <w:lang w:val="en-US" w:eastAsia="zh-CN"/>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kern w:val="0"/>
                <w:szCs w:val="21"/>
                <w:lang w:val="en-US" w:eastAsia="zh-CN"/>
              </w:rPr>
            </w:pPr>
            <w:r>
              <w:rPr>
                <w:rFonts w:hint="eastAsia"/>
                <w:kern w:val="0"/>
                <w:szCs w:val="21"/>
                <w:lang w:val="en-US" w:eastAsia="zh-CN"/>
              </w:rPr>
              <w:t>政府集中采购（限城乡居民大病保险）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财产保险服务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C15040201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机动车保险服务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r>
              <w:rPr>
                <w:kern w:val="0"/>
                <w:szCs w:val="21"/>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C15040202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运输保险服务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C15040299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其他财产保险服务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再保险服务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C150499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其他保险服务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C1599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其他金融服务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szCs w:val="21"/>
              </w:rPr>
            </w:pPr>
            <w:r>
              <w:rPr>
                <w:kern w:val="0"/>
                <w:szCs w:val="21"/>
              </w:rPr>
              <w:t>C16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环境服务</w:t>
            </w:r>
          </w:p>
        </w:tc>
        <w:tc>
          <w:tcPr>
            <w:tcW w:w="2161" w:type="dxa"/>
            <w:tcBorders>
              <w:top w:val="single" w:color="auto" w:sz="4" w:space="0"/>
              <w:bottom w:val="single" w:color="auto" w:sz="4" w:space="0"/>
            </w:tcBorders>
            <w:vAlign w:val="center"/>
          </w:tcPr>
          <w:p>
            <w:pPr>
              <w:widowControl/>
              <w:spacing w:beforeLines="0" w:afterLines="0" w:line="300" w:lineRule="exact"/>
              <w:rPr>
                <w:bCs/>
                <w:kern w:val="0"/>
                <w:szCs w:val="21"/>
              </w:rPr>
            </w:pPr>
            <w:r>
              <w:rPr>
                <w:bCs/>
                <w:kern w:val="0"/>
                <w:szCs w:val="21"/>
              </w:rPr>
              <w:t>包括城镇公共卫生服务，水、空气、噪音污染治理服务，危险废物和其他无害固体废物处理服务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交通运输和仓储服务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C18</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教育服务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C1806</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培训服务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w:t>
            </w:r>
            <w:r>
              <w:rPr>
                <w:rFonts w:hint="eastAsia"/>
                <w:color w:val="auto"/>
                <w:kern w:val="0"/>
                <w:szCs w:val="21"/>
                <w:lang w:val="en-US" w:eastAsia="zh-CN"/>
              </w:rPr>
              <w:t>国内</w:t>
            </w:r>
            <w:r>
              <w:rPr>
                <w:color w:val="auto"/>
                <w:kern w:val="0"/>
                <w:szCs w:val="21"/>
              </w:rPr>
              <w:t>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C180601</w:t>
            </w:r>
            <w:r>
              <w:rPr>
                <w:rFonts w:hint="eastAsia"/>
                <w:color w:val="auto"/>
                <w:kern w:val="0"/>
                <w:szCs w:val="21"/>
                <w:lang w:val="en-US" w:eastAsia="zh-CN"/>
              </w:rPr>
              <w:t>01</w:t>
            </w:r>
          </w:p>
        </w:tc>
        <w:tc>
          <w:tcPr>
            <w:tcW w:w="3644" w:type="dxa"/>
            <w:tcBorders>
              <w:top w:val="single" w:color="auto" w:sz="4" w:space="0"/>
              <w:bottom w:val="single" w:color="auto" w:sz="4" w:space="0"/>
            </w:tcBorders>
            <w:vAlign w:val="center"/>
          </w:tcPr>
          <w:p>
            <w:pPr>
              <w:widowControl/>
              <w:spacing w:beforeLines="0" w:afterLines="0" w:line="300" w:lineRule="exact"/>
              <w:rPr>
                <w:rFonts w:hint="eastAsia" w:eastAsia="宋体"/>
                <w:color w:val="auto"/>
                <w:kern w:val="0"/>
                <w:szCs w:val="21"/>
                <w:lang w:val="en-US" w:eastAsia="zh-CN"/>
              </w:rPr>
            </w:pPr>
            <w:r>
              <w:rPr>
                <w:rFonts w:hint="eastAsia"/>
                <w:color w:val="auto"/>
                <w:kern w:val="0"/>
                <w:szCs w:val="21"/>
                <w:lang w:val="en-US" w:eastAsia="zh-CN"/>
              </w:rPr>
              <w:t xml:space="preserve">      省内培训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lang w:val="en-US" w:eastAsia="zh-CN"/>
              </w:rPr>
            </w:pPr>
            <w:r>
              <w:rPr>
                <w:rFonts w:hint="eastAsia"/>
                <w:color w:val="auto"/>
                <w:kern w:val="0"/>
                <w:szCs w:val="21"/>
                <w:lang w:val="en-US" w:eastAsia="zh-CN"/>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C180601</w:t>
            </w:r>
            <w:r>
              <w:rPr>
                <w:rFonts w:hint="eastAsia"/>
                <w:color w:val="auto"/>
                <w:kern w:val="0"/>
                <w:szCs w:val="21"/>
                <w:lang w:val="en-US" w:eastAsia="zh-CN"/>
              </w:rPr>
              <w:t>02</w:t>
            </w:r>
          </w:p>
        </w:tc>
        <w:tc>
          <w:tcPr>
            <w:tcW w:w="3644" w:type="dxa"/>
            <w:tcBorders>
              <w:top w:val="single" w:color="auto" w:sz="4" w:space="0"/>
              <w:bottom w:val="single" w:color="auto" w:sz="4" w:space="0"/>
            </w:tcBorders>
            <w:vAlign w:val="center"/>
          </w:tcPr>
          <w:p>
            <w:pPr>
              <w:widowControl/>
              <w:spacing w:beforeLines="0" w:afterLines="0" w:line="300" w:lineRule="exact"/>
              <w:rPr>
                <w:rFonts w:hint="eastAsia" w:eastAsia="宋体"/>
                <w:color w:val="auto"/>
                <w:kern w:val="0"/>
                <w:szCs w:val="21"/>
                <w:lang w:val="en-US" w:eastAsia="zh-CN"/>
              </w:rPr>
            </w:pPr>
            <w:r>
              <w:rPr>
                <w:rFonts w:hint="eastAsia"/>
                <w:color w:val="auto"/>
                <w:kern w:val="0"/>
                <w:szCs w:val="21"/>
                <w:lang w:val="en-US" w:eastAsia="zh-CN"/>
              </w:rPr>
              <w:t xml:space="preserve">      省外培训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C180602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w:t>
            </w:r>
            <w:r>
              <w:rPr>
                <w:rFonts w:hint="eastAsia"/>
                <w:kern w:val="0"/>
                <w:szCs w:val="21"/>
                <w:lang w:val="en-US" w:eastAsia="zh-CN"/>
              </w:rPr>
              <w:t>国外</w:t>
            </w:r>
            <w:r>
              <w:rPr>
                <w:kern w:val="0"/>
                <w:szCs w:val="21"/>
              </w:rPr>
              <w:t>培训</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C1899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其他教育服务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医疗卫生和社会服务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医疗卫生服务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C190107</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健康检查服务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C190199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其他医疗卫生服务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社会服务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C190201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收容收养服务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C190202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社会救济服务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C190203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就业服务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C190299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其他社会服务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文化、体育、娱乐服务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新闻服务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广播、电视、电影和音像服务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文化艺术服务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体育服务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C2005</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娱乐服务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农林牧副渔服务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C2101</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农业服务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C2102</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林业服务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C2103</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畜牧业服务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C2104</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渔业服务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C2199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 xml:space="preserve">  其他农林牧副渔服务</w:t>
            </w:r>
          </w:p>
        </w:tc>
        <w:tc>
          <w:tcPr>
            <w:tcW w:w="2161" w:type="dxa"/>
            <w:tcBorders>
              <w:top w:val="single" w:color="auto" w:sz="4" w:space="0"/>
              <w:bottom w:val="single" w:color="auto" w:sz="4" w:space="0"/>
            </w:tcBorders>
            <w:vAlign w:val="center"/>
          </w:tcPr>
          <w:p>
            <w:pPr>
              <w:widowControl/>
              <w:spacing w:beforeLines="0" w:afterLines="0" w:line="300" w:lineRule="exact"/>
              <w:rPr>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kern w:val="0"/>
                <w:szCs w:val="21"/>
              </w:rPr>
            </w:pPr>
            <w:r>
              <w:rPr>
                <w:kern w:val="0"/>
                <w:szCs w:val="21"/>
              </w:rPr>
              <w:t>C99</w:t>
            </w:r>
          </w:p>
        </w:tc>
        <w:tc>
          <w:tcPr>
            <w:tcW w:w="3644" w:type="dxa"/>
            <w:tcBorders>
              <w:top w:val="single" w:color="auto" w:sz="4" w:space="0"/>
              <w:bottom w:val="single" w:color="auto" w:sz="4" w:space="0"/>
            </w:tcBorders>
            <w:vAlign w:val="center"/>
          </w:tcPr>
          <w:p>
            <w:pPr>
              <w:widowControl/>
              <w:spacing w:beforeLines="0" w:afterLines="0" w:line="300" w:lineRule="exact"/>
              <w:rPr>
                <w:kern w:val="0"/>
                <w:szCs w:val="21"/>
              </w:rPr>
            </w:pPr>
            <w:r>
              <w:rPr>
                <w:kern w:val="0"/>
                <w:szCs w:val="21"/>
              </w:rPr>
              <w:t>其他服务</w:t>
            </w:r>
          </w:p>
        </w:tc>
        <w:tc>
          <w:tcPr>
            <w:tcW w:w="2161" w:type="dxa"/>
            <w:tcBorders>
              <w:top w:val="single" w:color="auto" w:sz="4" w:space="0"/>
              <w:bottom w:val="single" w:color="auto" w:sz="4" w:space="0"/>
            </w:tcBorders>
            <w:vAlign w:val="center"/>
          </w:tcPr>
          <w:p>
            <w:pPr>
              <w:widowControl/>
              <w:spacing w:beforeLines="0" w:afterLines="0" w:line="300" w:lineRule="exact"/>
              <w:rPr>
                <w:b/>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kern w:val="0"/>
                <w:szCs w:val="21"/>
              </w:rPr>
            </w:pPr>
          </w:p>
        </w:tc>
      </w:tr>
    </w:tbl>
    <w:p>
      <w:pPr>
        <w:spacing w:beforeLines="0" w:afterLines="0" w:line="300" w:lineRule="exact"/>
      </w:pPr>
    </w:p>
    <w:p>
      <w:pPr>
        <w:spacing w:beforeLines="0" w:afterLines="0" w:line="300" w:lineRule="exact"/>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6"/>
        <w:tblW w:w="8931" w:type="dxa"/>
        <w:tblInd w:w="13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1088"/>
        <w:gridCol w:w="7843"/>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80" w:hRule="atLeast"/>
        </w:trPr>
        <w:tc>
          <w:tcPr>
            <w:tcW w:w="1088" w:type="dxa"/>
            <w:tcBorders>
              <w:tl2br w:val="nil"/>
              <w:tr2bl w:val="nil"/>
            </w:tcBorders>
            <w:tcMar>
              <w:top w:w="0" w:type="dxa"/>
              <w:left w:w="108" w:type="dxa"/>
              <w:bottom w:w="0" w:type="dxa"/>
              <w:right w:w="0" w:type="dxa"/>
            </w:tcMar>
            <w:vAlign w:val="top"/>
          </w:tcPr>
          <w:p>
            <w:pPr>
              <w:spacing w:line="560" w:lineRule="exact"/>
              <w:rPr>
                <w:rFonts w:hint="eastAsia" w:ascii="仿宋_GB2312" w:eastAsia="仿宋_GB2312"/>
                <w:sz w:val="30"/>
                <w:vertAlign w:val="baseline"/>
                <w:lang w:val="en-US" w:eastAsia="zh-CN"/>
              </w:rPr>
            </w:pPr>
            <w:r>
              <w:rPr>
                <w:rFonts w:hint="eastAsia" w:ascii="仿宋_GB2312" w:eastAsia="仿宋_GB2312"/>
                <w:sz w:val="28"/>
                <w:szCs w:val="28"/>
                <w:vertAlign w:val="baseline"/>
                <w:lang w:val="en-US" w:eastAsia="zh-CN"/>
              </w:rPr>
              <w:t xml:space="preserve">  抄送：</w:t>
            </w:r>
          </w:p>
        </w:tc>
        <w:tc>
          <w:tcPr>
            <w:tcW w:w="7843" w:type="dxa"/>
            <w:tcBorders>
              <w:tl2br w:val="nil"/>
              <w:tr2bl w:val="nil"/>
            </w:tcBorders>
            <w:tcMar>
              <w:top w:w="0" w:type="dxa"/>
              <w:left w:w="28" w:type="dxa"/>
              <w:bottom w:w="0" w:type="dxa"/>
              <w:right w:w="108" w:type="dxa"/>
            </w:tcMar>
            <w:vAlign w:val="top"/>
          </w:tcPr>
          <w:p>
            <w:pPr>
              <w:spacing w:line="560" w:lineRule="exact"/>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省政府办公厅。</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80" w:hRule="atLeast"/>
        </w:trPr>
        <w:tc>
          <w:tcPr>
            <w:tcW w:w="8931" w:type="dxa"/>
            <w:gridSpan w:val="2"/>
            <w:tcBorders>
              <w:tl2br w:val="nil"/>
              <w:tr2bl w:val="nil"/>
            </w:tcBorders>
            <w:vAlign w:val="top"/>
          </w:tcPr>
          <w:p>
            <w:pPr>
              <w:spacing w:line="560" w:lineRule="exact"/>
              <w:rPr>
                <w:rFonts w:hint="eastAsia" w:ascii="仿宋_GB2312" w:eastAsia="仿宋_GB2312"/>
                <w:sz w:val="30"/>
                <w:vertAlign w:val="baseline"/>
              </w:rPr>
            </w:pPr>
            <w:r>
              <w:rPr>
                <w:rFonts w:hint="eastAsia" w:ascii="仿宋_GB2312" w:eastAsia="仿宋_GB2312"/>
                <w:sz w:val="28"/>
                <w:szCs w:val="28"/>
                <w:lang w:val="en-US" w:eastAsia="zh-CN"/>
              </w:rPr>
              <w:t xml:space="preserve"> </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rPr>
              <w:t xml:space="preserve">浙江省财政厅办公室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2017</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w:t>
            </w:r>
            <w:r>
              <w:rPr>
                <w:rFonts w:hint="eastAsia" w:ascii="仿宋_GB2312" w:eastAsia="仿宋_GB2312"/>
                <w:sz w:val="28"/>
                <w:szCs w:val="28"/>
                <w:lang w:val="en-US" w:eastAsia="zh-CN"/>
              </w:rPr>
              <w:t>发</w:t>
            </w:r>
          </w:p>
        </w:tc>
      </w:tr>
    </w:tbl>
    <w:p>
      <w:pPr>
        <w:snapToGrid/>
        <w:spacing w:line="240" w:lineRule="auto"/>
        <w:jc w:val="left"/>
        <w:rPr>
          <w:rFonts w:hint="eastAsia" w:ascii="仿宋" w:hAnsi="仿宋" w:eastAsia="仿宋" w:cs="仿宋"/>
          <w:kern w:val="2"/>
          <w:sz w:val="32"/>
          <w:szCs w:val="32"/>
          <w:lang w:val="en-US" w:eastAsia="zh-CN" w:bidi="ar-SA"/>
        </w:rPr>
      </w:pPr>
    </w:p>
    <w:p>
      <w:pPr/>
    </w:p>
    <w:sectPr>
      <w:headerReference r:id="rId3" w:type="default"/>
      <w:footerReference r:id="rId4" w:type="default"/>
      <w:footerReference r:id="rId5" w:type="even"/>
      <w:pgSz w:w="11906" w:h="16838"/>
      <w:pgMar w:top="2098" w:right="1474" w:bottom="1985" w:left="1588" w:header="851" w:footer="1588" w:gutter="0"/>
      <w:pgBorders w:offsetFrom="page">
        <w:top w:val="none" w:color="auto" w:sz="0" w:space="0"/>
        <w:left w:val="none" w:color="auto" w:sz="0" w:space="0"/>
        <w:bottom w:val="none" w:color="auto" w:sz="0" w:space="0"/>
        <w:right w:val="none" w:color="auto" w:sz="0" w:space="0"/>
      </w:pgBorders>
      <w:cols w:space="720" w:num="1"/>
      <w:docGrid w:type="linesAndChars" w:linePitch="602"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Helvetica">
    <w:altName w:val="Arial"/>
    <w:panose1 w:val="020B0604020202020204"/>
    <w:charset w:val="00"/>
    <w:family w:val="decorative"/>
    <w:pitch w:val="default"/>
    <w:sig w:usb0="00000000" w:usb1="00000000" w:usb2="00000008" w:usb3="00000000" w:csb0="0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22" w:wrap="around" w:vAnchor="text" w:hAnchor="margin" w:xAlign="outside" w:y="1"/>
      <w:ind w:firstLine="280" w:firstLineChars="100"/>
      <w:rPr>
        <w:rStyle w:val="5"/>
        <w:rFonts w:hint="eastAsia"/>
        <w:sz w:val="28"/>
      </w:rPr>
    </w:pPr>
    <w:r>
      <w:rPr>
        <w:rStyle w:val="5"/>
        <w:rFonts w:hint="eastAsia"/>
        <w:sz w:val="28"/>
      </w:rPr>
      <w:t xml:space="preserve">— </w:t>
    </w:r>
    <w:r>
      <w:rPr>
        <w:sz w:val="28"/>
      </w:rPr>
      <w:fldChar w:fldCharType="begin"/>
    </w:r>
    <w:r>
      <w:rPr>
        <w:rStyle w:val="5"/>
        <w:sz w:val="28"/>
      </w:rPr>
      <w:instrText xml:space="preserve"> PAGE </w:instrText>
    </w:r>
    <w:r>
      <w:rPr>
        <w:sz w:val="28"/>
      </w:rPr>
      <w:fldChar w:fldCharType="separate"/>
    </w:r>
    <w:r>
      <w:rPr>
        <w:rStyle w:val="5"/>
        <w:sz w:val="28"/>
      </w:rPr>
      <w:t>1</w:t>
    </w:r>
    <w:r>
      <w:rPr>
        <w:sz w:val="28"/>
      </w:rPr>
      <w:fldChar w:fldCharType="end"/>
    </w:r>
    <w:r>
      <w:rPr>
        <w:rStyle w:val="5"/>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43161"/>
    <w:rsid w:val="4CA431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黑体"/>
      <w:snapToGrid w:val="0"/>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2017-04-14T01:42:00Z</dcterms:created>
  <dc:creator>冯华</dc:creator>
  <cp:lastModifiedBy>冯华</cp:lastModifiedBy>
  <dcterms:modified xsi:type="dcterms:W3CDTF">2017-04-14T01:42:46Z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