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hint="eastAsia" w:ascii="宋体" w:hAnsi="宋体" w:eastAsia="宋体"/>
          <w:b/>
          <w:bCs/>
          <w:color w:val="000000"/>
          <w:sz w:val="44"/>
          <w:szCs w:val="44"/>
          <w:lang w:eastAsia="zh-CN"/>
        </w:rPr>
      </w:pPr>
      <w:r>
        <w:rPr>
          <w:rFonts w:hint="eastAsia" w:ascii="宋体" w:hAnsi="宋体"/>
          <w:color w:val="000000"/>
          <w:sz w:val="36"/>
          <w:szCs w:val="36"/>
        </w:rPr>
        <w:t xml:space="preserve">  </w:t>
      </w:r>
      <w:bookmarkStart w:id="0" w:name="PO_15528_PM002_1"/>
      <w:r>
        <w:rPr>
          <w:rFonts w:hint="eastAsia" w:ascii="宋体" w:hAnsi="宋体"/>
          <w:b/>
          <w:bCs/>
          <w:color w:val="000000"/>
          <w:sz w:val="44"/>
          <w:szCs w:val="44"/>
          <w:lang w:eastAsia="zh-CN"/>
        </w:rPr>
        <w:t>浙江工商大学科创大楼信息系统基础设施建设项目-交换机等设备采购项目</w:t>
      </w:r>
      <w:bookmarkEnd w:id="0"/>
    </w:p>
    <w:p>
      <w:pPr>
        <w:spacing w:before="312" w:beforeLines="100" w:line="360" w:lineRule="auto"/>
        <w:jc w:val="center"/>
        <w:rPr>
          <w:rFonts w:hint="eastAsia" w:ascii="宋体" w:hAnsi="宋体" w:eastAsia="宋体"/>
          <w:b/>
          <w:color w:val="000000"/>
          <w:spacing w:val="40"/>
          <w:sz w:val="84"/>
          <w:szCs w:val="84"/>
          <w:lang w:eastAsia="zh-CN"/>
        </w:rPr>
      </w:pPr>
      <w:r>
        <w:rPr>
          <w:rFonts w:hint="eastAsia" w:ascii="宋体" w:hAnsi="宋体"/>
          <w:color w:val="000000"/>
          <w:sz w:val="36"/>
          <w:szCs w:val="36"/>
        </w:rPr>
        <w:t>项目编号：</w:t>
      </w:r>
      <w:bookmarkStart w:id="1" w:name="PO_15528_PM001"/>
      <w:r>
        <w:rPr>
          <w:rFonts w:hint="eastAsia" w:ascii="宋体" w:hAnsi="宋体"/>
          <w:color w:val="000000"/>
          <w:sz w:val="36"/>
          <w:szCs w:val="36"/>
          <w:lang w:eastAsia="zh-CN"/>
        </w:rPr>
        <w:t>ZZCG2023Z-GK-115</w:t>
      </w:r>
      <w:bookmarkEnd w:id="1"/>
    </w:p>
    <w:p>
      <w:pPr>
        <w:spacing w:before="312" w:beforeLines="100" w:after="100" w:afterAutospacing="1" w:line="800" w:lineRule="exact"/>
        <w:jc w:val="center"/>
        <w:rPr>
          <w:rFonts w:hint="eastAsia" w:ascii="宋体" w:hAnsi="宋体" w:eastAsia="宋体"/>
          <w:b/>
          <w:color w:val="000000"/>
          <w:spacing w:val="40"/>
          <w:sz w:val="84"/>
          <w:szCs w:val="84"/>
          <w:lang w:val="en-US" w:eastAsia="zh-CN"/>
        </w:rPr>
      </w:pPr>
      <w:r>
        <w:rPr>
          <w:rFonts w:hint="eastAsia" w:ascii="宋体" w:hAnsi="宋体"/>
          <w:b/>
          <w:color w:val="000000"/>
          <w:spacing w:val="40"/>
          <w:sz w:val="84"/>
          <w:szCs w:val="84"/>
        </w:rPr>
        <w:t>公</w:t>
      </w:r>
    </w:p>
    <w:p>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开</w:t>
      </w:r>
    </w:p>
    <w:p>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 xml:space="preserve">招 </w:t>
      </w:r>
    </w:p>
    <w:p>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标</w:t>
      </w:r>
    </w:p>
    <w:p>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文</w:t>
      </w:r>
    </w:p>
    <w:p>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件</w:t>
      </w:r>
    </w:p>
    <w:p>
      <w:pPr>
        <w:ind w:right="-110"/>
        <w:rPr>
          <w:rFonts w:ascii="宋体" w:hAnsi="宋体"/>
          <w:color w:val="000000"/>
          <w:sz w:val="32"/>
          <w:szCs w:val="32"/>
        </w:rPr>
      </w:pPr>
    </w:p>
    <w:p>
      <w:pPr>
        <w:ind w:right="-110"/>
        <w:rPr>
          <w:rFonts w:ascii="宋体" w:hAnsi="宋体"/>
          <w:color w:val="000000"/>
          <w:sz w:val="32"/>
          <w:szCs w:val="32"/>
        </w:rPr>
      </w:pPr>
    </w:p>
    <w:p>
      <w:pPr>
        <w:spacing w:line="500" w:lineRule="exact"/>
        <w:ind w:right="532" w:firstLine="540" w:firstLineChars="150"/>
        <w:jc w:val="center"/>
        <w:rPr>
          <w:rFonts w:ascii="宋体" w:hAnsi="宋体"/>
          <w:color w:val="000000"/>
          <w:sz w:val="36"/>
          <w:szCs w:val="36"/>
        </w:rPr>
      </w:pPr>
      <w:r>
        <w:rPr>
          <w:rFonts w:hint="eastAsia" w:ascii="宋体" w:hAnsi="宋体"/>
          <w:color w:val="000000"/>
          <w:sz w:val="36"/>
          <w:szCs w:val="36"/>
        </w:rPr>
        <w:t>浙 江 省 政 府 采 购 中 心</w:t>
      </w:r>
    </w:p>
    <w:p>
      <w:pPr>
        <w:spacing w:line="500" w:lineRule="exact"/>
        <w:ind w:right="532"/>
        <w:rPr>
          <w:rFonts w:ascii="宋体" w:hAnsi="宋体"/>
          <w:color w:val="000000"/>
          <w:sz w:val="36"/>
          <w:szCs w:val="36"/>
        </w:rPr>
      </w:pPr>
    </w:p>
    <w:p>
      <w:pPr>
        <w:wordWrap w:val="0"/>
        <w:spacing w:line="500" w:lineRule="exact"/>
        <w:ind w:right="-108" w:firstLine="540" w:firstLineChars="150"/>
        <w:rPr>
          <w:rFonts w:hAnsi="宋体"/>
          <w:b/>
          <w:color w:val="000000"/>
          <w:sz w:val="36"/>
          <w:szCs w:val="36"/>
        </w:rPr>
      </w:pPr>
      <w:r>
        <w:rPr>
          <w:rFonts w:hint="eastAsia" w:ascii="宋体" w:hAnsi="宋体"/>
          <w:color w:val="000000"/>
          <w:sz w:val="36"/>
          <w:szCs w:val="36"/>
        </w:rPr>
        <w:t>地    址：杭州市西湖区宝石一路3号</w:t>
      </w: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p>
    <w:p>
      <w:pPr>
        <w:spacing w:line="500" w:lineRule="exact"/>
        <w:ind w:right="-108" w:firstLine="3072" w:firstLineChars="850"/>
        <w:rPr>
          <w:rFonts w:hAnsi="宋体"/>
          <w:b/>
          <w:color w:val="000000"/>
          <w:sz w:val="36"/>
          <w:szCs w:val="36"/>
        </w:rPr>
      </w:pPr>
      <w:r>
        <w:rPr>
          <w:rFonts w:hint="eastAsia" w:hAnsi="宋体"/>
          <w:b/>
          <w:color w:val="000000"/>
          <w:sz w:val="36"/>
          <w:szCs w:val="36"/>
        </w:rPr>
        <w:t>目</w:t>
      </w:r>
      <w:r>
        <w:rPr>
          <w:rFonts w:hAnsi="宋体"/>
          <w:b/>
          <w:color w:val="000000"/>
          <w:sz w:val="36"/>
          <w:szCs w:val="36"/>
        </w:rPr>
        <w:t xml:space="preserve">     </w:t>
      </w:r>
      <w:r>
        <w:rPr>
          <w:rFonts w:hint="eastAsia" w:hAnsi="宋体"/>
          <w:b/>
          <w:color w:val="000000"/>
          <w:sz w:val="36"/>
          <w:szCs w:val="36"/>
        </w:rPr>
        <w:t>录</w:t>
      </w:r>
    </w:p>
    <w:p>
      <w:pPr>
        <w:pStyle w:val="31"/>
        <w:spacing w:before="156" w:after="156" w:line="360" w:lineRule="auto"/>
        <w:jc w:val="center"/>
        <w:rPr>
          <w:rFonts w:hAnsi="宋体" w:eastAsia="仿宋_GB2312"/>
          <w:color w:val="000000"/>
          <w:sz w:val="32"/>
          <w:szCs w:val="32"/>
        </w:rPr>
      </w:pPr>
    </w:p>
    <w:p>
      <w:pPr>
        <w:pStyle w:val="40"/>
        <w:tabs>
          <w:tab w:val="right" w:leader="dot" w:pos="8312"/>
        </w:tabs>
      </w:pPr>
      <w:r>
        <w:rPr>
          <w:rFonts w:hint="eastAsia" w:ascii="宋体" w:hAnsi="宋体" w:eastAsia="仿宋_GB2312"/>
          <w:color w:val="000000"/>
          <w:sz w:val="30"/>
          <w:szCs w:val="30"/>
        </w:rPr>
        <w:fldChar w:fldCharType="begin"/>
      </w:r>
      <w:r>
        <w:rPr>
          <w:rFonts w:hint="eastAsia" w:ascii="宋体" w:hAnsi="宋体" w:eastAsia="仿宋_GB2312"/>
          <w:color w:val="000000"/>
          <w:sz w:val="30"/>
          <w:szCs w:val="30"/>
        </w:rPr>
        <w:instrText xml:space="preserve"> TOC \o "1-1" \h \z \u </w:instrText>
      </w:r>
      <w:r>
        <w:rPr>
          <w:rFonts w:hint="eastAsia" w:ascii="宋体" w:hAnsi="宋体" w:eastAsia="仿宋_GB2312"/>
          <w:color w:val="000000"/>
          <w:sz w:val="30"/>
          <w:szCs w:val="30"/>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pPr>
        <w:pStyle w:val="40"/>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pPr>
        <w:pStyle w:val="40"/>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w:t>
      </w:r>
      <w:r>
        <w:rPr>
          <w:rFonts w:hint="eastAsia"/>
          <w:lang w:val="en-US" w:eastAsia="zh-CN"/>
        </w:rPr>
        <w:t>7</w:t>
      </w:r>
      <w:r>
        <w:fldChar w:fldCharType="end"/>
      </w:r>
      <w:r>
        <w:fldChar w:fldCharType="end"/>
      </w:r>
    </w:p>
    <w:p>
      <w:pPr>
        <w:pStyle w:val="40"/>
        <w:tabs>
          <w:tab w:val="right" w:leader="dot" w:pos="8312"/>
        </w:tabs>
        <w:rPr>
          <w:rFonts w:hint="eastAsia" w:eastAsia="仿宋"/>
          <w:lang w:val="en-US" w:eastAsia="zh-CN"/>
        </w:rPr>
      </w:pPr>
      <w:r>
        <w:fldChar w:fldCharType="begin"/>
      </w:r>
      <w:r>
        <w:instrText xml:space="preserve"> HYPERLINK \l "_Toc24960" </w:instrText>
      </w:r>
      <w:r>
        <w:fldChar w:fldCharType="separate"/>
      </w:r>
      <w:r>
        <w:rPr>
          <w:rFonts w:hint="eastAsia" w:hAnsi="宋体"/>
          <w:szCs w:val="36"/>
        </w:rPr>
        <w:t>第四章招标需求</w:t>
      </w:r>
      <w:r>
        <w:tab/>
      </w:r>
      <w:r>
        <w:rPr>
          <w:rFonts w:hint="eastAsia"/>
          <w:lang w:val="en-US" w:eastAsia="zh-CN"/>
        </w:rPr>
        <w:t>3</w:t>
      </w:r>
      <w:r>
        <w:fldChar w:fldCharType="end"/>
      </w:r>
      <w:r>
        <w:rPr>
          <w:rFonts w:hint="eastAsia"/>
          <w:lang w:val="en-US" w:eastAsia="zh-CN"/>
        </w:rPr>
        <w:t>0</w:t>
      </w:r>
    </w:p>
    <w:p>
      <w:pPr>
        <w:pStyle w:val="40"/>
        <w:tabs>
          <w:tab w:val="right" w:leader="dot" w:pos="8312"/>
        </w:tabs>
        <w:rPr>
          <w:rFonts w:hint="eastAsia" w:eastAsia="仿宋"/>
          <w:lang w:val="en-US" w:eastAsia="zh-CN"/>
        </w:rPr>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rPr>
          <w:rFonts w:hint="eastAsia"/>
          <w:lang w:val="en-US" w:eastAsia="zh-CN"/>
        </w:rPr>
        <w:t>4</w:t>
      </w:r>
      <w:r>
        <w:fldChar w:fldCharType="end"/>
      </w:r>
      <w:r>
        <w:rPr>
          <w:rFonts w:hint="eastAsia"/>
          <w:lang w:val="en-US" w:eastAsia="zh-CN"/>
        </w:rPr>
        <w:t>6</w:t>
      </w:r>
    </w:p>
    <w:p>
      <w:pPr>
        <w:pStyle w:val="40"/>
        <w:tabs>
          <w:tab w:val="right" w:leader="dot" w:pos="8312"/>
        </w:tabs>
        <w:rPr>
          <w:rFonts w:hint="eastAsia" w:eastAsia="仿宋"/>
          <w:lang w:val="en-US" w:eastAsia="zh-CN"/>
        </w:rPr>
      </w:pPr>
      <w:r>
        <w:fldChar w:fldCharType="begin"/>
      </w:r>
      <w:r>
        <w:instrText xml:space="preserve"> HYPERLINK \l "_Toc22013" </w:instrText>
      </w:r>
      <w:r>
        <w:fldChar w:fldCharType="separate"/>
      </w:r>
      <w:r>
        <w:rPr>
          <w:rFonts w:hint="eastAsia" w:hAnsi="宋体"/>
          <w:szCs w:val="36"/>
        </w:rPr>
        <w:t>第六章投标文件格式附件</w:t>
      </w:r>
      <w:r>
        <w:tab/>
      </w:r>
      <w:r>
        <w:rPr>
          <w:rFonts w:hint="eastAsia"/>
          <w:lang w:val="en-US" w:eastAsia="zh-CN"/>
        </w:rPr>
        <w:t>5</w:t>
      </w:r>
      <w:r>
        <w:fldChar w:fldCharType="end"/>
      </w:r>
      <w:r>
        <w:rPr>
          <w:rFonts w:hint="eastAsia"/>
          <w:lang w:val="en-US" w:eastAsia="zh-CN"/>
        </w:rPr>
        <w:t>1</w:t>
      </w:r>
    </w:p>
    <w:p>
      <w:pPr>
        <w:spacing w:before="156" w:beforeLines="50" w:line="480" w:lineRule="exact"/>
        <w:ind w:left="165"/>
        <w:rPr>
          <w:rFonts w:ascii="宋体" w:hAnsi="宋体" w:eastAsia="仿宋_GB2312"/>
          <w:color w:val="000000"/>
          <w:sz w:val="30"/>
          <w:szCs w:val="30"/>
        </w:rPr>
      </w:pPr>
      <w:r>
        <w:rPr>
          <w:rFonts w:hint="eastAsia" w:ascii="宋体" w:hAnsi="宋体" w:eastAsia="仿宋_GB2312"/>
          <w:color w:val="000000"/>
          <w:szCs w:val="30"/>
        </w:rPr>
        <w:fldChar w:fldCharType="end"/>
      </w:r>
    </w:p>
    <w:p>
      <w:pPr>
        <w:pStyle w:val="31"/>
        <w:spacing w:before="156" w:after="156" w:line="360" w:lineRule="auto"/>
        <w:ind w:firstLine="640"/>
        <w:jc w:val="center"/>
        <w:outlineLvl w:val="0"/>
        <w:rPr>
          <w:rFonts w:hAnsi="宋体"/>
          <w:b/>
          <w:color w:val="000000"/>
          <w:sz w:val="36"/>
          <w:szCs w:val="36"/>
        </w:rPr>
      </w:pPr>
      <w:r>
        <w:rPr>
          <w:rFonts w:hint="eastAsia" w:hAnsi="宋体" w:eastAsia="仿宋_GB2312"/>
          <w:color w:val="000000"/>
          <w:kern w:val="0"/>
          <w:sz w:val="32"/>
          <w:szCs w:val="32"/>
        </w:rPr>
        <w:br w:type="page"/>
      </w:r>
      <w:bookmarkStart w:id="2" w:name="_Toc2371"/>
      <w:r>
        <w:rPr>
          <w:rFonts w:hint="eastAsia" w:hAnsi="宋体"/>
          <w:b/>
          <w:color w:val="000000"/>
          <w:sz w:val="36"/>
          <w:szCs w:val="36"/>
        </w:rPr>
        <w:t>第一章</w:t>
      </w:r>
      <w:r>
        <w:rPr>
          <w:rFonts w:hint="eastAsia" w:hAnsi="宋体"/>
          <w:b/>
          <w:color w:val="000000"/>
          <w:sz w:val="36"/>
          <w:szCs w:val="36"/>
          <w:lang w:val="en-US" w:eastAsia="zh-CN"/>
        </w:rPr>
        <w:t xml:space="preserve">  </w:t>
      </w:r>
      <w:r>
        <w:rPr>
          <w:rFonts w:hint="eastAsia" w:hAnsi="宋体"/>
          <w:b/>
          <w:color w:val="000000"/>
          <w:sz w:val="36"/>
          <w:szCs w:val="36"/>
        </w:rPr>
        <w:t>公开招标采购公告</w:t>
      </w:r>
      <w:bookmarkEnd w:id="2"/>
    </w:p>
    <w:p>
      <w:pPr>
        <w:pStyle w:val="397"/>
        <w:widowControl w:val="0"/>
        <w:spacing w:after="156" w:line="460" w:lineRule="exact"/>
        <w:ind w:firstLine="560"/>
        <w:rPr>
          <w:rFonts w:ascii="仿宋" w:hAnsi="仿宋" w:eastAsia="仿宋"/>
          <w:color w:val="000000"/>
          <w:sz w:val="30"/>
          <w:szCs w:val="30"/>
        </w:rPr>
      </w:pPr>
      <w:r>
        <w:rPr>
          <w:rFonts w:hint="eastAsia" w:ascii="仿宋" w:hAnsi="仿宋" w:eastAsia="仿宋"/>
          <w:color w:val="00000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sz w:val="30"/>
          <w:szCs w:val="30"/>
        </w:rPr>
        <w:t>：</w:t>
      </w:r>
    </w:p>
    <w:p>
      <w:pPr>
        <w:snapToGrid w:val="0"/>
        <w:spacing w:line="460" w:lineRule="exact"/>
        <w:ind w:firstLine="600" w:firstLineChars="200"/>
        <w:rPr>
          <w:rFonts w:hint="eastAsia" w:ascii="仿宋" w:hAnsi="仿宋" w:eastAsia="仿宋" w:cs="Arial"/>
          <w:color w:val="000000"/>
          <w:sz w:val="30"/>
          <w:szCs w:val="30"/>
          <w:lang w:eastAsia="zh-CN"/>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w:t>
      </w:r>
      <w:bookmarkStart w:id="3" w:name="PO_15528_PM001_1"/>
      <w:r>
        <w:rPr>
          <w:rFonts w:hint="eastAsia" w:ascii="仿宋" w:hAnsi="仿宋" w:eastAsia="仿宋" w:cs="Arial"/>
          <w:b/>
          <w:bCs/>
          <w:color w:val="000000"/>
          <w:sz w:val="30"/>
          <w:szCs w:val="30"/>
          <w:lang w:eastAsia="zh-CN"/>
        </w:rPr>
        <w:t>ZZCG2023Z-GK-115</w:t>
      </w:r>
      <w:bookmarkEnd w:id="3"/>
    </w:p>
    <w:p>
      <w:pPr>
        <w:snapToGrid w:val="0"/>
        <w:spacing w:after="156" w:afterLines="50" w:line="460" w:lineRule="exact"/>
        <w:ind w:firstLine="602" w:firstLineChars="200"/>
        <w:rPr>
          <w:rFonts w:ascii="仿宋" w:hAnsi="仿宋" w:eastAsia="仿宋" w:cs="Arial"/>
          <w:b/>
          <w:bCs/>
          <w:color w:val="000000"/>
          <w:sz w:val="30"/>
          <w:szCs w:val="30"/>
        </w:rPr>
      </w:pPr>
      <w:r>
        <w:rPr>
          <w:rFonts w:hint="eastAsia" w:ascii="仿宋" w:hAnsi="仿宋" w:eastAsia="仿宋" w:cs="Arial"/>
          <w:b/>
          <w:color w:val="000000"/>
          <w:sz w:val="30"/>
          <w:szCs w:val="30"/>
        </w:rPr>
        <w:t>二、</w:t>
      </w:r>
      <w:r>
        <w:rPr>
          <w:rFonts w:hint="eastAsia" w:ascii="仿宋" w:hAnsi="仿宋" w:eastAsia="仿宋" w:cs="Arial"/>
          <w:b/>
          <w:color w:val="000000"/>
          <w:sz w:val="28"/>
          <w:szCs w:val="28"/>
        </w:rPr>
        <w:t>公告期限：5个工作日</w:t>
      </w:r>
    </w:p>
    <w:p>
      <w:pPr>
        <w:snapToGrid w:val="0"/>
        <w:spacing w:after="156" w:afterLines="50" w:line="460" w:lineRule="exact"/>
        <w:ind w:firstLine="602" w:firstLineChars="200"/>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30"/>
          <w:szCs w:val="30"/>
        </w:rPr>
        <w:t>三、</w:t>
      </w:r>
      <w:r>
        <w:rPr>
          <w:rFonts w:hint="eastAsia" w:ascii="仿宋" w:hAnsi="仿宋" w:eastAsia="仿宋" w:cs="Arial"/>
          <w:b/>
          <w:color w:val="000000"/>
          <w:sz w:val="28"/>
          <w:szCs w:val="28"/>
        </w:rPr>
        <w:t>采购项目内容、数量及预算</w:t>
      </w:r>
      <w:bookmarkStart w:id="4" w:name="PO_15528_PM004"/>
      <w:r>
        <w:rPr>
          <w:rFonts w:hint="eastAsia" w:ascii="仿宋" w:hAnsi="仿宋" w:eastAsia="仿宋" w:cs="Arial"/>
          <w:b/>
          <w:color w:val="000000"/>
          <w:sz w:val="28"/>
          <w:szCs w:val="28"/>
          <w:lang w:eastAsia="zh-CN"/>
        </w:rPr>
        <w:t xml:space="preserve"> </w:t>
      </w:r>
    </w:p>
    <w:tbl>
      <w:tblPr>
        <w:tblStyle w:val="60"/>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872"/>
        <w:gridCol w:w="853"/>
        <w:gridCol w:w="855"/>
        <w:gridCol w:w="1453"/>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标项序号</w:t>
            </w:r>
          </w:p>
        </w:tc>
        <w:tc>
          <w:tcPr>
            <w:tcW w:w="1639"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标项名称</w:t>
            </w:r>
          </w:p>
        </w:tc>
        <w:tc>
          <w:tcPr>
            <w:tcW w:w="487"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数量</w:t>
            </w:r>
          </w:p>
        </w:tc>
        <w:tc>
          <w:tcPr>
            <w:tcW w:w="488"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单位</w:t>
            </w:r>
          </w:p>
        </w:tc>
        <w:tc>
          <w:tcPr>
            <w:tcW w:w="829"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预算金额(万元)</w:t>
            </w:r>
          </w:p>
        </w:tc>
        <w:tc>
          <w:tcPr>
            <w:tcW w:w="1105"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简要规格描述或标项基本概况介绍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1</w:t>
            </w:r>
          </w:p>
        </w:tc>
        <w:tc>
          <w:tcPr>
            <w:tcW w:w="1639"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浙江工商大学科创大楼信息系统基础设施建设项目-交换机等设备采购项目</w:t>
            </w:r>
          </w:p>
        </w:tc>
        <w:tc>
          <w:tcPr>
            <w:tcW w:w="487"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1</w:t>
            </w:r>
          </w:p>
        </w:tc>
        <w:tc>
          <w:tcPr>
            <w:tcW w:w="488"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批</w:t>
            </w:r>
          </w:p>
        </w:tc>
        <w:tc>
          <w:tcPr>
            <w:tcW w:w="829"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450</w:t>
            </w:r>
          </w:p>
        </w:tc>
        <w:tc>
          <w:tcPr>
            <w:tcW w:w="1105" w:type="pct"/>
            <w:noWrap w:val="0"/>
            <w:vAlign w:val="top"/>
          </w:tcPr>
          <w:p>
            <w:pPr>
              <w:snapToGrid w:val="0"/>
              <w:spacing w:after="156" w:afterLines="50" w:line="460" w:lineRule="exact"/>
              <w:jc w:val="center"/>
              <w:rPr>
                <w:rFonts w:hint="eastAsia" w:ascii="仿宋" w:hAnsi="仿宋" w:eastAsia="仿宋" w:cs="Arial"/>
                <w:b/>
                <w:color w:val="000000"/>
                <w:sz w:val="28"/>
                <w:szCs w:val="28"/>
                <w:vertAlign w:val="baseline"/>
                <w:lang w:eastAsia="zh-CN"/>
              </w:rPr>
            </w:pPr>
            <w:r>
              <w:rPr>
                <w:rFonts w:hint="eastAsia" w:ascii="仿宋" w:hAnsi="仿宋" w:eastAsia="仿宋" w:cs="Arial"/>
                <w:b/>
                <w:color w:val="000000"/>
                <w:sz w:val="28"/>
                <w:szCs w:val="28"/>
                <w:vertAlign w:val="baseline"/>
                <w:lang w:eastAsia="zh-CN"/>
              </w:rPr>
              <w:t>详见采购文件</w:t>
            </w:r>
          </w:p>
        </w:tc>
      </w:tr>
      <w:bookmarkEnd w:id="4"/>
    </w:tbl>
    <w:p>
      <w:pPr>
        <w:snapToGrid w:val="0"/>
        <w:spacing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pPr>
        <w:snapToGrid w:val="0"/>
        <w:spacing w:line="460" w:lineRule="exact"/>
        <w:ind w:firstLine="560" w:firstLineChars="200"/>
        <w:rPr>
          <w:rFonts w:ascii="仿宋" w:hAnsi="仿宋" w:eastAsia="仿宋" w:cs="Arial"/>
          <w:bCs/>
          <w:color w:val="000000"/>
          <w:sz w:val="28"/>
          <w:szCs w:val="28"/>
        </w:rPr>
      </w:pPr>
      <w:r>
        <w:rPr>
          <w:rFonts w:hint="eastAsia" w:ascii="仿宋" w:hAnsi="仿宋" w:eastAsia="仿宋" w:cs="Arial"/>
          <w:bCs/>
          <w:color w:val="000000"/>
          <w:sz w:val="28"/>
          <w:szCs w:val="28"/>
        </w:rPr>
        <w:t>符合《中华人民共和国政府采购法》第二十二条规定,且未被</w:t>
      </w:r>
      <w:r>
        <w:rPr>
          <w:rFonts w:hint="eastAsia" w:ascii="仿宋" w:hAnsi="仿宋" w:eastAsia="仿宋"/>
          <w:color w:val="000000"/>
          <w:sz w:val="28"/>
          <w:szCs w:val="28"/>
        </w:rPr>
        <w:t>“信用中国”（www.creditchina.gov.cn）、中国政府采购网（www.ccgp.gov.cn）列入失信被执行人、重大税收违法案件当事人名单、政府采购严重违法失信行为记录名单。</w:t>
      </w:r>
    </w:p>
    <w:p>
      <w:pPr>
        <w:snapToGrid w:val="0"/>
        <w:spacing w:line="460" w:lineRule="exact"/>
        <w:ind w:firstLine="602" w:firstLineChars="200"/>
        <w:rPr>
          <w:rFonts w:ascii="仿宋" w:hAnsi="仿宋" w:eastAsia="仿宋" w:cs="Arial"/>
          <w:b/>
          <w:bCs/>
          <w:color w:val="000000"/>
          <w:sz w:val="30"/>
          <w:szCs w:val="30"/>
        </w:rPr>
      </w:pPr>
      <w:bookmarkStart w:id="5" w:name="PO_416_PM006"/>
      <w:r>
        <w:rPr>
          <w:rFonts w:hint="eastAsia" w:ascii="仿宋" w:hAnsi="仿宋" w:eastAsia="仿宋" w:cs="Arial"/>
          <w:b/>
          <w:bCs/>
          <w:color w:val="000000"/>
          <w:sz w:val="30"/>
          <w:szCs w:val="30"/>
          <w:lang w:eastAsia="zh-CN"/>
        </w:rPr>
        <w:t xml:space="preserve"> </w:t>
      </w:r>
      <w:bookmarkEnd w:id="5"/>
      <w:r>
        <w:rPr>
          <w:rFonts w:hint="eastAsia" w:ascii="仿宋" w:hAnsi="仿宋" w:eastAsia="仿宋" w:cs="Arial"/>
          <w:b/>
          <w:bCs/>
          <w:color w:val="000000"/>
          <w:sz w:val="30"/>
          <w:szCs w:val="30"/>
        </w:rPr>
        <w:t>投标人的特定条件：[项目采购-供应商特定资格要求]</w:t>
      </w:r>
    </w:p>
    <w:p>
      <w:pPr>
        <w:snapToGrid w:val="0"/>
        <w:spacing w:line="500" w:lineRule="exact"/>
        <w:ind w:firstLine="602" w:firstLineChars="200"/>
        <w:rPr>
          <w:rFonts w:hint="eastAsia" w:ascii="仿宋" w:hAnsi="仿宋" w:eastAsia="仿宋"/>
          <w:color w:val="000000"/>
          <w:sz w:val="28"/>
          <w:szCs w:val="28"/>
          <w:lang w:eastAsia="zh-CN"/>
        </w:rPr>
      </w:pPr>
      <w:bookmarkStart w:id="6" w:name="PO_15528_PM007"/>
      <w:r>
        <w:rPr>
          <w:rFonts w:hint="eastAsia" w:ascii="仿宋" w:hAnsi="仿宋" w:eastAsia="仿宋" w:cs="Arial"/>
          <w:b/>
          <w:bCs/>
          <w:color w:val="000000"/>
          <w:sz w:val="30"/>
          <w:szCs w:val="30"/>
          <w:lang w:eastAsia="zh-CN"/>
        </w:rPr>
        <w:t>标项1:允许联合体投标</w:t>
      </w:r>
      <w:bookmarkEnd w:id="6"/>
    </w:p>
    <w:p>
      <w:pPr>
        <w:snapToGrid w:val="0"/>
        <w:spacing w:line="500" w:lineRule="exact"/>
        <w:ind w:firstLine="562" w:firstLineChars="200"/>
        <w:rPr>
          <w:rFonts w:ascii="宋体" w:hAnsi="宋体" w:cs="Arial"/>
          <w:b/>
          <w:bCs/>
          <w:color w:val="000000"/>
          <w:sz w:val="28"/>
          <w:szCs w:val="28"/>
        </w:rPr>
      </w:pPr>
      <w:r>
        <w:rPr>
          <w:rFonts w:hint="eastAsia" w:ascii="宋体" w:hAnsi="宋体" w:cs="仿宋"/>
          <w:b/>
          <w:bCs/>
          <w:color w:val="000000"/>
          <w:kern w:val="0"/>
          <w:sz w:val="28"/>
          <w:szCs w:val="28"/>
          <w:lang w:val="zh-CN"/>
        </w:rPr>
        <w:t>五、获取采购文件</w:t>
      </w:r>
    </w:p>
    <w:p>
      <w:pPr>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1.获取时间：</w:t>
      </w:r>
      <w:r>
        <w:rPr>
          <w:rFonts w:hint="eastAsia" w:ascii="仿宋" w:hAnsi="仿宋" w:eastAsia="仿宋"/>
          <w:color w:val="000000"/>
          <w:kern w:val="0"/>
          <w:sz w:val="30"/>
          <w:szCs w:val="30"/>
        </w:rPr>
        <w:t xml:space="preserve">[项目采购-报名开始日期] 至 </w:t>
      </w:r>
      <w:bookmarkStart w:id="7" w:name="PO_15528_PM009"/>
      <w:r>
        <w:rPr>
          <w:rFonts w:hint="eastAsia" w:ascii="仿宋" w:hAnsi="仿宋" w:eastAsia="仿宋"/>
          <w:color w:val="000000"/>
          <w:kern w:val="0"/>
          <w:sz w:val="30"/>
          <w:szCs w:val="30"/>
          <w:lang w:eastAsia="zh-CN"/>
        </w:rPr>
        <w:t>2023-11-17 09:00:00</w:t>
      </w:r>
      <w:bookmarkEnd w:id="7"/>
      <w:r>
        <w:rPr>
          <w:rFonts w:hint="eastAsia" w:ascii="宋体" w:hAnsi="宋体"/>
          <w:color w:val="000000"/>
          <w:kern w:val="0"/>
          <w:sz w:val="28"/>
          <w:szCs w:val="28"/>
        </w:rPr>
        <w:t>。</w:t>
      </w:r>
    </w:p>
    <w:p>
      <w:pPr>
        <w:autoSpaceDE w:val="0"/>
        <w:autoSpaceDN w:val="0"/>
        <w:adjustRightInd w:val="0"/>
        <w:snapToGrid w:val="0"/>
        <w:spacing w:line="500" w:lineRule="exact"/>
        <w:ind w:firstLine="600"/>
        <w:rPr>
          <w:rFonts w:ascii="宋体" w:hAnsi="宋体" w:cs="仿宋"/>
          <w:color w:val="000000"/>
          <w:kern w:val="0"/>
          <w:sz w:val="28"/>
          <w:szCs w:val="28"/>
          <w:lang w:val="zh-CN"/>
        </w:rPr>
      </w:pPr>
      <w:r>
        <w:rPr>
          <w:rFonts w:hint="eastAsia" w:ascii="宋体" w:hAnsi="宋体" w:cs="仿宋"/>
          <w:color w:val="000000"/>
          <w:kern w:val="0"/>
          <w:sz w:val="28"/>
          <w:szCs w:val="28"/>
          <w:lang w:val="zh-CN"/>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sz w:val="28"/>
          <w:szCs w:val="28"/>
        </w:rPr>
        <w:t>http://zfcg.czt.zj.gov.cn/</w:t>
      </w:r>
      <w:r>
        <w:rPr>
          <w:rStyle w:val="69"/>
          <w:color w:val="000000"/>
          <w:sz w:val="28"/>
          <w:szCs w:val="28"/>
        </w:rPr>
        <w:fldChar w:fldCharType="end"/>
      </w:r>
      <w:r>
        <w:rPr>
          <w:rFonts w:hint="eastAsia" w:ascii="宋体" w:hAnsi="宋体" w:cs="仿宋"/>
          <w:color w:val="000000"/>
          <w:kern w:val="0"/>
          <w:sz w:val="28"/>
          <w:szCs w:val="28"/>
          <w:lang w:val="zh-CN"/>
        </w:rPr>
        <w:t>）进入政采云系统“项目采购”模块“获取采购文件”菜单，进行网上获取招标文件。</w:t>
      </w:r>
    </w:p>
    <w:p>
      <w:pPr>
        <w:autoSpaceDE w:val="0"/>
        <w:autoSpaceDN w:val="0"/>
        <w:adjustRightInd w:val="0"/>
        <w:snapToGrid w:val="0"/>
        <w:spacing w:line="500" w:lineRule="exact"/>
        <w:ind w:firstLine="560"/>
        <w:rPr>
          <w:rFonts w:ascii="宋体" w:hAnsi="宋体" w:cs="仿宋"/>
          <w:color w:val="000000"/>
          <w:kern w:val="0"/>
          <w:sz w:val="28"/>
          <w:szCs w:val="28"/>
          <w:lang w:val="zh-CN"/>
        </w:rPr>
      </w:pPr>
      <w:r>
        <w:rPr>
          <w:rFonts w:hint="eastAsia" w:ascii="宋体" w:hAnsi="宋体" w:cs="仿宋"/>
          <w:color w:val="000000"/>
          <w:kern w:val="0"/>
          <w:sz w:val="28"/>
          <w:szCs w:val="28"/>
          <w:lang w:val="zh-CN"/>
        </w:rPr>
        <w:t>3.招标文件免费获取。</w:t>
      </w:r>
    </w:p>
    <w:p>
      <w:pPr>
        <w:snapToGrid w:val="0"/>
        <w:spacing w:line="500" w:lineRule="exact"/>
        <w:ind w:firstLine="562" w:firstLineChars="200"/>
        <w:rPr>
          <w:rFonts w:ascii="宋体" w:hAnsi="宋体"/>
          <w:b/>
          <w:color w:val="000000"/>
          <w:kern w:val="0"/>
          <w:sz w:val="28"/>
          <w:szCs w:val="28"/>
        </w:rPr>
      </w:pPr>
      <w:r>
        <w:rPr>
          <w:rFonts w:hint="eastAsia" w:ascii="宋体" w:hAnsi="宋体" w:cs="Arial"/>
          <w:b/>
          <w:bCs/>
          <w:color w:val="000000"/>
          <w:sz w:val="28"/>
          <w:szCs w:val="28"/>
        </w:rPr>
        <w:t>六、投标截止时间、地点和形式</w:t>
      </w:r>
    </w:p>
    <w:p>
      <w:pPr>
        <w:pStyle w:val="31"/>
        <w:adjustRightInd w:val="0"/>
        <w:snapToGrid w:val="0"/>
        <w:spacing w:before="156" w:after="156" w:line="500" w:lineRule="exact"/>
        <w:ind w:firstLine="565" w:firstLineChars="201"/>
        <w:rPr>
          <w:rFonts w:hAnsi="宋体"/>
          <w:color w:val="000000"/>
          <w:kern w:val="0"/>
          <w:sz w:val="28"/>
          <w:szCs w:val="28"/>
        </w:rPr>
      </w:pPr>
      <w:r>
        <w:rPr>
          <w:rFonts w:hint="eastAsia" w:hAnsi="宋体"/>
          <w:b/>
          <w:color w:val="000000"/>
          <w:kern w:val="0"/>
          <w:sz w:val="28"/>
          <w:szCs w:val="28"/>
        </w:rPr>
        <w:t>投标截止时间：</w:t>
      </w:r>
      <w:bookmarkStart w:id="8" w:name="PO_15528_PM015"/>
      <w:r>
        <w:rPr>
          <w:rFonts w:hint="eastAsia" w:ascii="仿宋" w:hAnsi="仿宋" w:eastAsia="仿宋" w:cs="Arial"/>
          <w:color w:val="000000"/>
          <w:sz w:val="30"/>
          <w:szCs w:val="30"/>
          <w:lang w:eastAsia="zh-CN"/>
        </w:rPr>
        <w:t>2023-11-17 09:00:00</w:t>
      </w:r>
      <w:bookmarkEnd w:id="8"/>
      <w:r>
        <w:rPr>
          <w:rFonts w:hint="eastAsia" w:hAnsi="宋体"/>
          <w:b/>
          <w:color w:val="000000"/>
          <w:kern w:val="0"/>
          <w:sz w:val="28"/>
          <w:szCs w:val="28"/>
        </w:rPr>
        <w:t>。</w:t>
      </w:r>
    </w:p>
    <w:p>
      <w:pPr>
        <w:pStyle w:val="31"/>
        <w:adjustRightInd w:val="0"/>
        <w:snapToGrid w:val="0"/>
        <w:spacing w:before="156" w:after="156" w:line="500" w:lineRule="exact"/>
        <w:ind w:firstLine="562" w:firstLineChars="201"/>
        <w:rPr>
          <w:rFonts w:hAnsi="宋体"/>
          <w:color w:val="000000"/>
          <w:kern w:val="0"/>
          <w:sz w:val="28"/>
          <w:szCs w:val="28"/>
        </w:rPr>
      </w:pPr>
      <w:r>
        <w:rPr>
          <w:rFonts w:hint="eastAsia" w:hAnsi="宋体"/>
          <w:color w:val="000000"/>
          <w:kern w:val="0"/>
          <w:sz w:val="28"/>
          <w:szCs w:val="28"/>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pPr>
        <w:pStyle w:val="31"/>
        <w:adjustRightInd w:val="0"/>
        <w:snapToGrid w:val="0"/>
        <w:spacing w:before="156" w:after="156" w:line="500" w:lineRule="exact"/>
        <w:ind w:firstLine="562" w:firstLineChars="201"/>
        <w:rPr>
          <w:rFonts w:hAnsi="宋体"/>
          <w:color w:val="000000"/>
          <w:kern w:val="0"/>
          <w:sz w:val="28"/>
          <w:szCs w:val="28"/>
        </w:rPr>
      </w:pPr>
      <w:r>
        <w:rPr>
          <w:rFonts w:hint="eastAsia" w:hAnsi="宋体"/>
          <w:color w:val="000000"/>
          <w:kern w:val="0"/>
          <w:sz w:val="28"/>
          <w:szCs w:val="28"/>
        </w:rPr>
        <w:t>如认为需要，投标人可以选择递交备份投标文件，采用数据电文形式，以U盘或DVD光盘形式存储，并在投标截止时间前，通过邮寄方式，送达指定地点，逾期送达或未密封将被拒收。</w:t>
      </w:r>
    </w:p>
    <w:p>
      <w:pPr>
        <w:pStyle w:val="31"/>
        <w:adjustRightInd w:val="0"/>
        <w:snapToGrid w:val="0"/>
        <w:spacing w:before="156" w:after="156" w:line="500" w:lineRule="exact"/>
        <w:ind w:firstLine="562" w:firstLineChars="201"/>
        <w:rPr>
          <w:rFonts w:hAnsi="宋体" w:cs="Times New Roman"/>
          <w:color w:val="000000"/>
          <w:kern w:val="0"/>
          <w:sz w:val="28"/>
          <w:szCs w:val="28"/>
        </w:rPr>
      </w:pPr>
      <w:r>
        <w:rPr>
          <w:rFonts w:hint="eastAsia" w:hAnsi="宋体" w:cs="Times New Roman"/>
          <w:color w:val="000000"/>
          <w:kern w:val="0"/>
          <w:sz w:val="28"/>
          <w:szCs w:val="28"/>
        </w:rPr>
        <w:t>备份文件收件人：陶老师，联系方式：0571-88901836，收件地址：浙江省杭州市西湖区宝石一路3号省政府采购中心。（收件时间：上午8:30-11:30，下午14:30-17:30，节假日、双休日除外，推荐使用中国邮政速递和顺丰快递,快递人员投递时须同时登记邮寄单号等相关信息。）</w:t>
      </w:r>
    </w:p>
    <w:p>
      <w:pPr>
        <w:pStyle w:val="31"/>
        <w:adjustRightInd w:val="0"/>
        <w:snapToGrid w:val="0"/>
        <w:spacing w:before="156" w:after="156" w:line="500" w:lineRule="exact"/>
        <w:ind w:firstLine="565" w:firstLineChars="201"/>
        <w:rPr>
          <w:rFonts w:hAnsi="宋体"/>
          <w:b/>
          <w:color w:val="000000"/>
          <w:kern w:val="0"/>
          <w:sz w:val="28"/>
          <w:szCs w:val="28"/>
        </w:rPr>
      </w:pPr>
      <w:r>
        <w:rPr>
          <w:rFonts w:hint="eastAsia" w:hAnsi="宋体"/>
          <w:b/>
          <w:color w:val="000000"/>
          <w:kern w:val="0"/>
          <w:sz w:val="28"/>
          <w:szCs w:val="28"/>
        </w:rPr>
        <w:t>本项目拒绝接受纸质投标文件。</w:t>
      </w:r>
    </w:p>
    <w:p>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七、开标时间及地点：</w:t>
      </w:r>
    </w:p>
    <w:p>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本次招标将于</w:t>
      </w:r>
      <w:bookmarkStart w:id="9" w:name="PO_15528_PM015_1"/>
      <w:r>
        <w:rPr>
          <w:rFonts w:hint="eastAsia" w:ascii="宋体" w:hAnsi="宋体" w:cs="Arial"/>
          <w:b/>
          <w:color w:val="000000"/>
          <w:sz w:val="28"/>
          <w:szCs w:val="28"/>
          <w:lang w:eastAsia="zh-CN"/>
        </w:rPr>
        <w:t>2023-11-17 09:00:00</w:t>
      </w:r>
      <w:bookmarkEnd w:id="9"/>
      <w:r>
        <w:rPr>
          <w:rFonts w:hint="eastAsia" w:ascii="宋体" w:hAnsi="宋体" w:cs="Arial"/>
          <w:b/>
          <w:color w:val="000000"/>
          <w:sz w:val="28"/>
          <w:szCs w:val="28"/>
        </w:rPr>
        <w:t>时整在</w:t>
      </w:r>
      <w:bookmarkStart w:id="10" w:name="PO_15528_PM016_1"/>
      <w:r>
        <w:rPr>
          <w:rFonts w:hint="eastAsia" w:ascii="宋体" w:hAnsi="宋体" w:cs="Arial"/>
          <w:b/>
          <w:color w:val="000000"/>
          <w:sz w:val="28"/>
          <w:szCs w:val="28"/>
          <w:lang w:eastAsia="zh-CN"/>
        </w:rPr>
        <w:t>西湖区浙江省杭州市西湖区宝石一路3号201开标室</w:t>
      </w:r>
      <w:bookmarkEnd w:id="10"/>
      <w:r>
        <w:rPr>
          <w:rFonts w:hint="eastAsia" w:ascii="宋体" w:hAnsi="宋体" w:cs="Arial"/>
          <w:b/>
          <w:color w:val="000000"/>
          <w:sz w:val="28"/>
          <w:szCs w:val="28"/>
        </w:rPr>
        <w:t>开标。</w:t>
      </w:r>
    </w:p>
    <w:p>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44"/>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开评标现场咨询电话</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201开标室：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0571-88907792</w:t>
            </w:r>
          </w:p>
        </w:tc>
        <w:tc>
          <w:tcPr>
            <w:tcW w:w="34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202开标室：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0571-8890779</w:t>
            </w:r>
            <w:r>
              <w:rPr>
                <w:rFonts w:ascii="宋体" w:hAnsi="宋体" w:cs="宋体"/>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 w:val="28"/>
                <w:szCs w:val="28"/>
              </w:rPr>
            </w:pPr>
          </w:p>
        </w:tc>
        <w:tc>
          <w:tcPr>
            <w:tcW w:w="34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203开标室：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w:t>
            </w:r>
            <w:r>
              <w:rPr>
                <w:rFonts w:ascii="宋体" w:hAnsi="宋体" w:cs="宋体"/>
                <w:color w:val="000000"/>
                <w:kern w:val="0"/>
                <w:sz w:val="28"/>
                <w:szCs w:val="28"/>
              </w:rPr>
              <w:t>1816</w:t>
            </w:r>
          </w:p>
        </w:tc>
        <w:tc>
          <w:tcPr>
            <w:tcW w:w="34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301会议室：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 w:val="28"/>
                <w:szCs w:val="28"/>
              </w:rPr>
            </w:pPr>
          </w:p>
        </w:tc>
        <w:tc>
          <w:tcPr>
            <w:tcW w:w="34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302会议室：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0571-88907720</w:t>
            </w:r>
          </w:p>
        </w:tc>
        <w:tc>
          <w:tcPr>
            <w:tcW w:w="34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303会议室：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 w:val="28"/>
                <w:szCs w:val="28"/>
              </w:rPr>
            </w:pPr>
          </w:p>
        </w:tc>
        <w:tc>
          <w:tcPr>
            <w:tcW w:w="34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306会议室：</w:t>
            </w:r>
          </w:p>
          <w:p>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0571-88907751</w:t>
            </w:r>
          </w:p>
        </w:tc>
        <w:tc>
          <w:tcPr>
            <w:tcW w:w="34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color w:val="000000"/>
                <w:kern w:val="0"/>
                <w:sz w:val="28"/>
                <w:szCs w:val="28"/>
              </w:rPr>
            </w:pPr>
          </w:p>
        </w:tc>
      </w:tr>
    </w:tbl>
    <w:p>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八、电子交易平台的网络地址和登录方法</w:t>
      </w:r>
    </w:p>
    <w:p>
      <w:pPr>
        <w:snapToGrid w:val="0"/>
        <w:spacing w:line="500" w:lineRule="exact"/>
        <w:ind w:firstLine="562" w:firstLineChars="200"/>
        <w:rPr>
          <w:color w:val="000000"/>
          <w:sz w:val="28"/>
          <w:szCs w:val="28"/>
        </w:rPr>
      </w:pPr>
      <w:r>
        <w:rPr>
          <w:rFonts w:hint="eastAsia" w:ascii="宋体" w:hAnsi="宋体" w:cs="Arial"/>
          <w:b/>
          <w:color w:val="000000"/>
          <w:sz w:val="28"/>
          <w:szCs w:val="28"/>
        </w:rPr>
        <w:t>（一）网络地址：</w:t>
      </w:r>
      <w:r>
        <w:rPr>
          <w:rFonts w:hint="eastAsia" w:ascii="宋体" w:hAnsi="宋体" w:cs="仿宋"/>
          <w:color w:val="000000"/>
          <w:sz w:val="28"/>
          <w:szCs w:val="28"/>
        </w:rPr>
        <w:t xml:space="preserve">浙江政府采购网 </w:t>
      </w:r>
      <w:r>
        <w:fldChar w:fldCharType="begin"/>
      </w:r>
      <w:r>
        <w:instrText xml:space="preserve"> HYPERLINK "http://zfcg.czt.zj.gov.cn/" </w:instrText>
      </w:r>
      <w:r>
        <w:fldChar w:fldCharType="separate"/>
      </w:r>
      <w:r>
        <w:rPr>
          <w:rStyle w:val="69"/>
          <w:color w:val="000000"/>
          <w:sz w:val="28"/>
          <w:szCs w:val="28"/>
        </w:rPr>
        <w:t>http://zfcg.czt.zj.gov.cn/</w:t>
      </w:r>
      <w:r>
        <w:rPr>
          <w:rStyle w:val="69"/>
          <w:color w:val="000000"/>
          <w:sz w:val="28"/>
          <w:szCs w:val="28"/>
        </w:rPr>
        <w:fldChar w:fldCharType="end"/>
      </w:r>
    </w:p>
    <w:p>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（二）登录方法：</w:t>
      </w:r>
      <w:r>
        <w:rPr>
          <w:rFonts w:hint="eastAsia" w:ascii="宋体" w:hAnsi="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pPr>
        <w:snapToGrid w:val="0"/>
        <w:spacing w:line="500" w:lineRule="exact"/>
        <w:ind w:left="562"/>
        <w:rPr>
          <w:rFonts w:ascii="宋体" w:hAnsi="宋体" w:cs="Arial"/>
          <w:b/>
          <w:bCs/>
          <w:color w:val="000000"/>
          <w:sz w:val="28"/>
          <w:szCs w:val="28"/>
        </w:rPr>
      </w:pPr>
      <w:r>
        <w:rPr>
          <w:rFonts w:hint="eastAsia" w:ascii="宋体" w:hAnsi="宋体" w:cs="Arial"/>
          <w:b/>
          <w:bCs/>
          <w:color w:val="000000"/>
          <w:sz w:val="28"/>
          <w:szCs w:val="28"/>
        </w:rPr>
        <w:t>九、其他：</w:t>
      </w:r>
    </w:p>
    <w:p>
      <w:pPr>
        <w:snapToGrid w:val="0"/>
        <w:spacing w:line="440" w:lineRule="exact"/>
        <w:ind w:firstLine="562" w:firstLineChars="200"/>
        <w:rPr>
          <w:rFonts w:ascii="宋体" w:hAnsi="宋体" w:cs="Arial"/>
          <w:b/>
          <w:color w:val="000000"/>
          <w:sz w:val="28"/>
          <w:szCs w:val="28"/>
        </w:rPr>
      </w:pPr>
      <w:r>
        <w:rPr>
          <w:rFonts w:hint="eastAsia" w:ascii="宋体" w:hAnsi="宋体" w:cs="Arial"/>
          <w:b/>
          <w:color w:val="000000"/>
          <w:sz w:val="28"/>
          <w:szCs w:val="28"/>
        </w:rPr>
        <w:t>（一）本项目采用“电子交易/不见面开评标”，供应商可进入电子卖场服务中心采云学院</w:t>
      </w:r>
    </w:p>
    <w:p>
      <w:pPr>
        <w:snapToGrid w:val="0"/>
        <w:spacing w:line="440" w:lineRule="exact"/>
        <w:ind w:firstLine="562" w:firstLineChars="200"/>
        <w:rPr>
          <w:rFonts w:ascii="仿宋" w:hAnsi="仿宋" w:eastAsia="仿宋"/>
          <w:color w:val="000000"/>
          <w:sz w:val="28"/>
          <w:szCs w:val="28"/>
        </w:rPr>
      </w:pPr>
      <w:r>
        <w:rPr>
          <w:rFonts w:hint="eastAsia" w:ascii="宋体" w:hAnsi="宋体" w:cs="Arial"/>
          <w:b/>
          <w:color w:val="000000"/>
          <w:sz w:val="28"/>
          <w:szCs w:val="28"/>
        </w:rPr>
        <w:t>（https://edu.zcygov.cn/live?utm=a0018.2ef5001f.0.0.1939d340e5db11ea867fb57c149ddb61）自行提前学习</w:t>
      </w:r>
      <w:r>
        <w:rPr>
          <w:rFonts w:hint="eastAsia" w:ascii="宋体" w:hAnsi="宋体" w:cs="Arial"/>
          <w:color w:val="000000"/>
          <w:sz w:val="28"/>
          <w:szCs w:val="28"/>
        </w:rPr>
        <w:t>。</w:t>
      </w:r>
    </w:p>
    <w:p>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485"/>
        <w:gridCol w:w="2250"/>
        <w:gridCol w:w="1357"/>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机 构</w:t>
            </w:r>
          </w:p>
        </w:tc>
        <w:tc>
          <w:tcPr>
            <w:tcW w:w="7737" w:type="dxa"/>
            <w:gridSpan w:val="4"/>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地 址</w:t>
            </w:r>
          </w:p>
        </w:tc>
        <w:tc>
          <w:tcPr>
            <w:tcW w:w="7737"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浙江省杭州市西湖区宝石一路3号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网 站</w:t>
            </w:r>
          </w:p>
        </w:tc>
        <w:tc>
          <w:tcPr>
            <w:tcW w:w="7737"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浙江政府采购网</w:t>
            </w:r>
            <w:r>
              <w:rPr>
                <w:rFonts w:hint="eastAsia" w:ascii="仿宋_GB2312" w:hAnsi="Segoe UI" w:eastAsia="仿宋_GB2312" w:cs="Segoe UI"/>
                <w:color w:val="000000"/>
                <w:sz w:val="29"/>
                <w:szCs w:val="29"/>
              </w:rPr>
              <w:t>ht</w:t>
            </w:r>
            <w:r>
              <w:rPr>
                <w:rFonts w:hint="eastAsia" w:ascii="仿宋" w:hAnsi="仿宋" w:eastAsia="仿宋" w:cs="仿宋"/>
                <w:color w:val="000000"/>
                <w:sz w:val="28"/>
                <w:szCs w:val="28"/>
              </w:rPr>
              <w:t>tp://zfcg.czt.zj.gov.cn/（文件下载、公告查询）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咨询事项</w:t>
            </w: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联系人</w:t>
            </w:r>
          </w:p>
        </w:tc>
        <w:tc>
          <w:tcPr>
            <w:tcW w:w="225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联系方式</w:t>
            </w:r>
          </w:p>
        </w:tc>
        <w:tc>
          <w:tcPr>
            <w:tcW w:w="135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传真</w:t>
            </w:r>
          </w:p>
        </w:tc>
        <w:tc>
          <w:tcPr>
            <w:tcW w:w="264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项目联系人（A岗）</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8"/>
                <w:szCs w:val="28"/>
                <w:lang w:eastAsia="zh-CN"/>
              </w:rPr>
            </w:pPr>
            <w:bookmarkStart w:id="11" w:name="PO_15528_PM032"/>
            <w:r>
              <w:rPr>
                <w:rFonts w:hint="eastAsia" w:ascii="仿宋" w:hAnsi="仿宋" w:eastAsia="仿宋" w:cs="仿宋"/>
                <w:color w:val="000000"/>
                <w:sz w:val="28"/>
                <w:szCs w:val="28"/>
                <w:lang w:eastAsia="zh-CN"/>
              </w:rPr>
              <w:t>朱智胤</w:t>
            </w:r>
            <w:bookmarkEnd w:id="11"/>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8"/>
                <w:szCs w:val="28"/>
                <w:lang w:eastAsia="zh-CN"/>
              </w:rPr>
            </w:pPr>
            <w:bookmarkStart w:id="12" w:name="PO_15528_PM033"/>
            <w:r>
              <w:rPr>
                <w:rFonts w:hint="eastAsia" w:ascii="仿宋" w:hAnsi="仿宋" w:eastAsia="仿宋" w:cs="仿宋"/>
                <w:color w:val="000000"/>
                <w:sz w:val="28"/>
                <w:szCs w:val="28"/>
                <w:lang w:eastAsia="zh-CN"/>
              </w:rPr>
              <w:t>0571-88901127</w:t>
            </w:r>
            <w:bookmarkEnd w:id="12"/>
          </w:p>
        </w:tc>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8"/>
                <w:szCs w:val="28"/>
                <w:lang w:eastAsia="zh-CN"/>
              </w:rPr>
            </w:pPr>
            <w:bookmarkStart w:id="13" w:name="PO_15528_PM034"/>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 xml:space="preserve"> </w:t>
            </w:r>
            <w:bookmarkEnd w:id="13"/>
          </w:p>
        </w:tc>
        <w:tc>
          <w:tcPr>
            <w:tcW w:w="2645" w:type="dxa"/>
            <w:vMerge w:val="restart"/>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四楼</w:t>
            </w:r>
            <w:bookmarkStart w:id="14" w:name="PO_409_PM001385"/>
            <w:r>
              <w:rPr>
                <w:rFonts w:hint="eastAsia" w:ascii="仿宋" w:hAnsi="仿宋" w:eastAsia="仿宋" w:cs="仿宋"/>
                <w:color w:val="000000"/>
                <w:sz w:val="28"/>
                <w:szCs w:val="28"/>
                <w:lang w:eastAsia="zh-CN"/>
              </w:rPr>
              <w:t xml:space="preserve"> </w:t>
            </w:r>
            <w:bookmarkEnd w:id="14"/>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采购二部）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项目协办人（B岗）</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商红娟</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0571-88907706</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部门负责人</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高媛沁</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0571-88907717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项目监督</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邵女士</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0571-8890</w:t>
            </w:r>
            <w:r>
              <w:rPr>
                <w:rFonts w:ascii="仿宋" w:hAnsi="仿宋" w:eastAsia="仿宋" w:cs="仿宋"/>
                <w:color w:val="000000"/>
                <w:sz w:val="28"/>
                <w:szCs w:val="28"/>
              </w:rPr>
              <w:t>7750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四楼（采购监督部）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6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网站系统问题</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客  服</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95763</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注册、账号、系统操作等</w:t>
            </w:r>
          </w:p>
        </w:tc>
      </w:tr>
    </w:tbl>
    <w:p>
      <w:pPr>
        <w:numPr>
          <w:ilvl w:val="0"/>
          <w:numId w:val="30"/>
        </w:numPr>
        <w:snapToGrid w:val="0"/>
        <w:spacing w:line="440" w:lineRule="exact"/>
        <w:ind w:firstLine="602" w:firstLineChars="200"/>
        <w:rPr>
          <w:rFonts w:hint="eastAsia" w:ascii="仿宋" w:hAnsi="仿宋" w:eastAsia="仿宋" w:cs="Arial"/>
          <w:b/>
          <w:bCs/>
          <w:color w:val="000000"/>
          <w:sz w:val="30"/>
          <w:szCs w:val="30"/>
        </w:rPr>
      </w:pPr>
      <w:r>
        <w:rPr>
          <w:rFonts w:hint="eastAsia" w:ascii="仿宋" w:hAnsi="仿宋" w:eastAsia="仿宋" w:cs="Arial"/>
          <w:b/>
          <w:bCs/>
          <w:color w:val="000000"/>
          <w:sz w:val="30"/>
          <w:szCs w:val="30"/>
        </w:rPr>
        <w:t>采购需求咨询</w:t>
      </w:r>
    </w:p>
    <w:p>
      <w:pPr>
        <w:numPr>
          <w:ilvl w:val="0"/>
          <w:numId w:val="0"/>
        </w:numPr>
        <w:snapToGrid w:val="0"/>
        <w:spacing w:line="440" w:lineRule="exact"/>
        <w:rPr>
          <w:rFonts w:hint="eastAsia" w:ascii="仿宋" w:hAnsi="仿宋" w:eastAsia="仿宋" w:cs="Arial"/>
          <w:b/>
          <w:bCs/>
          <w:color w:val="000000"/>
          <w:sz w:val="30"/>
          <w:szCs w:val="30"/>
        </w:rPr>
      </w:pPr>
    </w:p>
    <w:p>
      <w:pPr>
        <w:snapToGrid w:val="0"/>
        <w:spacing w:line="440" w:lineRule="exact"/>
        <w:ind w:firstLine="600" w:firstLineChars="200"/>
        <w:jc w:val="both"/>
        <w:rPr>
          <w:rFonts w:hint="eastAsia" w:ascii="仿宋_GB2312" w:hAnsi="仿宋" w:eastAsia="仿宋_GB2312"/>
          <w:color w:val="000000"/>
          <w:sz w:val="30"/>
          <w:szCs w:val="30"/>
          <w:vertAlign w:val="baseline"/>
          <w:lang w:eastAsia="zh-CN"/>
        </w:rPr>
      </w:pPr>
      <w:bookmarkStart w:id="15" w:name="PO_TDCUS_ITEM_PRC_TITLE_1_2"/>
      <w:r>
        <w:rPr>
          <w:rFonts w:hint="eastAsia" w:ascii="仿宋_GB2312" w:hAnsi="仿宋" w:eastAsia="仿宋_GB2312"/>
          <w:color w:val="000000"/>
          <w:sz w:val="30"/>
          <w:szCs w:val="30"/>
          <w:lang w:eastAsia="zh-CN"/>
        </w:rPr>
        <w:t>标项1：</w:t>
      </w:r>
      <w:bookmarkEnd w:id="15"/>
      <w:bookmarkStart w:id="16" w:name="PO_TDCUS_ITEM_PRC_TABLE_1_1_2"/>
      <w:r>
        <w:rPr>
          <w:rFonts w:hint="eastAsia" w:ascii="仿宋_GB2312" w:hAnsi="仿宋" w:eastAsia="仿宋_GB2312"/>
          <w:color w:val="000000"/>
          <w:sz w:val="30"/>
          <w:szCs w:val="30"/>
          <w:lang w:eastAsia="zh-CN"/>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采购单位</w:t>
            </w:r>
          </w:p>
        </w:tc>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地址</w:t>
            </w:r>
          </w:p>
        </w:tc>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杭州市下沙高教园区学正街18号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咨询事项</w:t>
            </w:r>
          </w:p>
        </w:tc>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采购需求等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联系人</w:t>
            </w:r>
          </w:p>
        </w:tc>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val="en-US" w:eastAsia="zh-CN"/>
              </w:rPr>
              <w:t>汤</w:t>
            </w:r>
            <w:r>
              <w:rPr>
                <w:rFonts w:hint="eastAsia" w:ascii="仿宋_GB2312" w:hAnsi="仿宋" w:eastAsia="仿宋_GB2312"/>
                <w:color w:val="000000"/>
                <w:sz w:val="30"/>
                <w:szCs w:val="30"/>
                <w:vertAlign w:val="baseline"/>
                <w:lang w:eastAsia="zh-CN"/>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联系方式</w:t>
            </w:r>
          </w:p>
        </w:tc>
        <w:tc>
          <w:tcPr>
            <w:tcW w:w="2500" w:type="pct"/>
            <w:noWrap w:val="0"/>
            <w:vAlign w:val="top"/>
          </w:tcPr>
          <w:p>
            <w:pPr>
              <w:snapToGrid w:val="0"/>
              <w:spacing w:line="440" w:lineRule="exact"/>
              <w:jc w:val="center"/>
              <w:rPr>
                <w:rFonts w:hint="eastAsia" w:ascii="仿宋_GB2312" w:hAnsi="仿宋" w:eastAsia="仿宋_GB2312"/>
                <w:color w:val="000000"/>
                <w:sz w:val="30"/>
                <w:szCs w:val="30"/>
                <w:vertAlign w:val="baseline"/>
                <w:lang w:eastAsia="zh-CN"/>
              </w:rPr>
            </w:pPr>
            <w:r>
              <w:rPr>
                <w:rFonts w:hint="eastAsia" w:ascii="仿宋_GB2312" w:hAnsi="仿宋" w:eastAsia="仿宋_GB2312"/>
                <w:color w:val="000000"/>
                <w:sz w:val="30"/>
                <w:szCs w:val="30"/>
                <w:vertAlign w:val="baseline"/>
                <w:lang w:eastAsia="zh-CN"/>
              </w:rPr>
              <w:t>0571-28877699</w:t>
            </w:r>
          </w:p>
        </w:tc>
      </w:tr>
      <w:bookmarkEnd w:id="16"/>
    </w:tbl>
    <w:p>
      <w:pPr>
        <w:snapToGrid w:val="0"/>
        <w:spacing w:line="440" w:lineRule="exact"/>
        <w:ind w:firstLine="602" w:firstLineChars="200"/>
        <w:rPr>
          <w:rFonts w:ascii="仿宋" w:hAnsi="仿宋" w:eastAsia="仿宋" w:cs="Arial"/>
          <w:b/>
          <w:bCs/>
          <w:color w:val="000000"/>
          <w:sz w:val="30"/>
          <w:szCs w:val="30"/>
        </w:rPr>
      </w:pPr>
      <w:r>
        <w:rPr>
          <w:rFonts w:ascii="仿宋" w:hAnsi="仿宋" w:eastAsia="仿宋" w:cs="Arial"/>
          <w:b/>
          <w:bCs/>
          <w:color w:val="000000"/>
          <w:sz w:val="30"/>
          <w:szCs w:val="30"/>
        </w:rPr>
        <w:tab/>
      </w:r>
      <w:r>
        <w:rPr>
          <w:rFonts w:hint="eastAsia" w:ascii="仿宋" w:hAnsi="仿宋" w:eastAsia="仿宋" w:cs="Arial"/>
          <w:b/>
          <w:bCs/>
          <w:color w:val="000000"/>
          <w:sz w:val="30"/>
          <w:szCs w:val="30"/>
        </w:rPr>
        <w:t>十二、同级政府采购监督管理部门</w:t>
      </w:r>
    </w:p>
    <w:p>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名    称：浙江省财政厅政府采购监管处、浙江省政府采购行政裁决服务中心（杭州）</w:t>
      </w:r>
    </w:p>
    <w:p>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地   址：杭州市上城区四季青街道新业路市民之家G03办公室</w:t>
      </w:r>
    </w:p>
    <w:p>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传   真：/</w:t>
      </w:r>
    </w:p>
    <w:p>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联系人 ：朱女士、王女士</w:t>
      </w:r>
    </w:p>
    <w:p>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监督投诉电话：0571-85252453</w:t>
      </w:r>
    </w:p>
    <w:p>
      <w:pPr>
        <w:snapToGrid w:val="0"/>
        <w:spacing w:line="440" w:lineRule="exact"/>
        <w:rPr>
          <w:rFonts w:ascii="宋体" w:hAnsi="宋体" w:cs="仿宋"/>
          <w:color w:val="000000"/>
          <w:sz w:val="28"/>
          <w:szCs w:val="28"/>
        </w:rPr>
      </w:pPr>
      <w:r>
        <w:rPr>
          <w:rFonts w:hint="eastAsia" w:ascii="宋体" w:hAnsi="宋体" w:cs="仿宋"/>
          <w:color w:val="000000"/>
          <w:sz w:val="28"/>
          <w:szCs w:val="28"/>
        </w:rPr>
        <w:t>预算金额未达100万元的采购项目，由采购人处理采购争议。</w:t>
      </w:r>
    </w:p>
    <w:p>
      <w:pPr>
        <w:pStyle w:val="31"/>
        <w:tabs>
          <w:tab w:val="left" w:pos="220"/>
        </w:tabs>
        <w:spacing w:before="156" w:after="156" w:line="360" w:lineRule="auto"/>
        <w:outlineLvl w:val="0"/>
        <w:rPr>
          <w:rFonts w:hAnsi="宋体" w:cs="仿宋"/>
          <w:color w:val="000000"/>
          <w:sz w:val="28"/>
          <w:szCs w:val="28"/>
        </w:rPr>
      </w:pPr>
    </w:p>
    <w:p>
      <w:pPr>
        <w:pStyle w:val="31"/>
        <w:spacing w:before="156" w:after="156" w:line="360" w:lineRule="auto"/>
        <w:jc w:val="center"/>
        <w:outlineLvl w:val="0"/>
        <w:rPr>
          <w:rFonts w:hint="eastAsia" w:hAnsi="宋体" w:eastAsia="仿宋"/>
          <w:b/>
          <w:color w:val="000000"/>
          <w:sz w:val="36"/>
          <w:szCs w:val="36"/>
          <w:lang w:val="en-US" w:eastAsia="zh-CN"/>
        </w:rPr>
      </w:pPr>
      <w:r>
        <w:rPr>
          <w:rFonts w:hint="eastAsia"/>
          <w:color w:val="000000"/>
        </w:rPr>
        <w:br w:type="page"/>
      </w:r>
      <w:bookmarkStart w:id="17" w:name="_Toc29498"/>
      <w:bookmarkStart w:id="18" w:name="_Toc496796636"/>
      <w:r>
        <w:rPr>
          <w:rFonts w:hint="eastAsia" w:ascii="仿宋" w:hAnsi="仿宋" w:eastAsia="仿宋"/>
          <w:b/>
          <w:color w:val="000000"/>
          <w:sz w:val="36"/>
          <w:szCs w:val="36"/>
        </w:rPr>
        <w:t>第二章</w:t>
      </w:r>
      <w:bookmarkStart w:id="19" w:name="投标人须知"/>
      <w:r>
        <w:rPr>
          <w:rFonts w:hint="eastAsia" w:ascii="仿宋" w:hAnsi="仿宋" w:eastAsia="仿宋"/>
          <w:b/>
          <w:color w:val="000000"/>
          <w:sz w:val="36"/>
          <w:szCs w:val="36"/>
          <w:lang w:val="en-US" w:eastAsia="zh-CN"/>
        </w:rPr>
        <w:t xml:space="preserve">  </w:t>
      </w:r>
      <w:r>
        <w:rPr>
          <w:rFonts w:hint="eastAsia" w:ascii="仿宋" w:hAnsi="仿宋" w:eastAsia="仿宋"/>
          <w:b/>
          <w:color w:val="000000"/>
          <w:sz w:val="36"/>
          <w:szCs w:val="36"/>
        </w:rPr>
        <w:t>投标人须知</w:t>
      </w:r>
      <w:bookmarkEnd w:id="17"/>
      <w:bookmarkEnd w:id="18"/>
      <w:bookmarkEnd w:id="19"/>
    </w:p>
    <w:p>
      <w:pPr>
        <w:snapToGrid w:val="0"/>
        <w:rPr>
          <w:rFonts w:ascii="宋体" w:hAnsi="宋体"/>
          <w:color w:val="000000"/>
          <w:sz w:val="28"/>
          <w:szCs w:val="28"/>
        </w:rPr>
      </w:pPr>
      <w:r>
        <w:rPr>
          <w:rFonts w:hint="eastAsia" w:ascii="宋体" w:hAnsi="宋体"/>
          <w:color w:val="000000"/>
          <w:sz w:val="28"/>
          <w:szCs w:val="28"/>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内  容</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项目名称及数量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详见《公开招标采购公告》三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信用记录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中小企业预留份额情况</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 w:hAnsi="仿宋" w:eastAsia="仿宋"/>
                <w:b/>
                <w:color w:val="000000"/>
                <w:sz w:val="24"/>
                <w:szCs w:val="24"/>
              </w:rPr>
            </w:pPr>
            <w:r>
              <w:rPr>
                <w:rFonts w:hint="eastAsia" w:ascii="仿宋" w:hAnsi="仿宋" w:eastAsia="仿宋"/>
                <w:b/>
                <w:color w:val="000000"/>
                <w:sz w:val="24"/>
                <w:szCs w:val="24"/>
              </w:rPr>
              <w:t>根据《政府采购促进中小企业发展管理办法》财库〔2020〕46号文件的规定，本项目</w:t>
            </w:r>
            <w:r>
              <w:rPr>
                <w:rFonts w:hint="eastAsia" w:ascii="仿宋" w:hAnsi="仿宋" w:eastAsia="仿宋"/>
                <w:b/>
                <w:color w:val="000000"/>
                <w:sz w:val="24"/>
                <w:szCs w:val="24"/>
                <w:lang w:val="en-US" w:eastAsia="zh-CN"/>
              </w:rPr>
              <w:t>不</w:t>
            </w:r>
            <w:r>
              <w:rPr>
                <w:rFonts w:hint="eastAsia" w:ascii="仿宋" w:hAnsi="仿宋" w:eastAsia="仿宋"/>
                <w:b/>
                <w:color w:val="000000"/>
                <w:sz w:val="24"/>
                <w:szCs w:val="24"/>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r>
              <w:rPr>
                <w:rFonts w:hint="eastAsia" w:ascii="仿宋_GB2312" w:hAnsi="仿宋" w:eastAsia="仿宋_GB2312"/>
                <w:bCs/>
                <w:color w:val="000000"/>
                <w:sz w:val="24"/>
              </w:rPr>
              <w:t>中小企业优惠措施</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82"/>
              <w:numPr>
                <w:ilvl w:val="0"/>
                <w:numId w:val="31"/>
              </w:numPr>
              <w:snapToGrid w:val="0"/>
              <w:spacing w:line="460" w:lineRule="exact"/>
              <w:ind w:firstLineChars="0"/>
              <w:rPr>
                <w:rFonts w:ascii="仿宋" w:hAnsi="仿宋" w:eastAsia="仿宋"/>
                <w:b/>
                <w:color w:val="000000"/>
                <w:sz w:val="24"/>
                <w:szCs w:val="24"/>
                <w:u w:val="single"/>
              </w:rPr>
            </w:pPr>
            <w:r>
              <w:rPr>
                <w:rFonts w:hint="eastAsia" w:ascii="仿宋" w:hAnsi="仿宋" w:eastAsia="仿宋"/>
                <w:b/>
                <w:color w:val="000000"/>
                <w:sz w:val="24"/>
                <w:szCs w:val="24"/>
              </w:rPr>
              <w:t>项目属性（货物类）</w:t>
            </w:r>
          </w:p>
          <w:p>
            <w:pPr>
              <w:pStyle w:val="182"/>
              <w:numPr>
                <w:ilvl w:val="0"/>
                <w:numId w:val="31"/>
              </w:numPr>
              <w:snapToGrid w:val="0"/>
              <w:spacing w:line="460" w:lineRule="exact"/>
              <w:ind w:firstLineChars="0"/>
              <w:rPr>
                <w:rFonts w:ascii="仿宋" w:hAnsi="仿宋" w:eastAsia="仿宋"/>
                <w:b/>
                <w:color w:val="000000"/>
                <w:sz w:val="24"/>
                <w:szCs w:val="24"/>
              </w:rPr>
            </w:pPr>
            <w:r>
              <w:rPr>
                <w:rFonts w:hint="eastAsia" w:ascii="仿宋" w:hAnsi="仿宋" w:eastAsia="仿宋"/>
                <w:b/>
                <w:color w:val="000000"/>
                <w:sz w:val="24"/>
                <w:szCs w:val="24"/>
              </w:rPr>
              <w:t>中小企业划分标准所属行业（具体根据《中小企业划型标准规定》执行）</w:t>
            </w:r>
          </w:p>
          <w:p>
            <w:pPr>
              <w:snapToGrid w:val="0"/>
              <w:spacing w:line="460" w:lineRule="exact"/>
              <w:ind w:left="600"/>
              <w:rPr>
                <w:rFonts w:hint="eastAsia" w:ascii="仿宋" w:hAnsi="仿宋" w:eastAsia="仿宋"/>
                <w:b/>
                <w:color w:val="000000"/>
                <w:sz w:val="24"/>
                <w:szCs w:val="24"/>
                <w:lang w:eastAsia="zh-CN"/>
              </w:rPr>
            </w:pPr>
            <w:r>
              <w:rPr>
                <w:rFonts w:hint="eastAsia" w:ascii="仿宋" w:hAnsi="仿宋" w:eastAsia="仿宋"/>
                <w:b/>
                <w:color w:val="000000"/>
                <w:sz w:val="24"/>
                <w:szCs w:val="24"/>
              </w:rPr>
              <w:t>采购标的：</w:t>
            </w:r>
            <w:r>
              <w:rPr>
                <w:rFonts w:hint="eastAsia" w:ascii="仿宋" w:hAnsi="仿宋" w:eastAsia="仿宋"/>
                <w:b/>
                <w:color w:val="000000"/>
                <w:sz w:val="24"/>
                <w:szCs w:val="24"/>
                <w:lang w:eastAsia="zh-CN"/>
              </w:rPr>
              <w:t>浙江工商大学科创大楼信息系统基础设施建设项目-交换机等设备采购项目</w:t>
            </w:r>
          </w:p>
          <w:p>
            <w:pPr>
              <w:snapToGrid w:val="0"/>
              <w:spacing w:line="460" w:lineRule="exact"/>
              <w:ind w:left="600"/>
              <w:rPr>
                <w:rFonts w:hint="eastAsia" w:ascii="仿宋" w:hAnsi="仿宋" w:eastAsia="仿宋"/>
                <w:b/>
                <w:color w:val="000000"/>
                <w:sz w:val="24"/>
                <w:szCs w:val="24"/>
                <w:lang w:val="en-US" w:eastAsia="zh-CN"/>
              </w:rPr>
            </w:pPr>
            <w:r>
              <w:rPr>
                <w:rFonts w:hint="eastAsia" w:ascii="仿宋" w:hAnsi="仿宋" w:eastAsia="仿宋"/>
                <w:b/>
                <w:color w:val="000000"/>
                <w:sz w:val="24"/>
                <w:szCs w:val="24"/>
              </w:rPr>
              <w:t>所属行业：</w:t>
            </w:r>
            <w:r>
              <w:rPr>
                <w:rFonts w:hint="eastAsia" w:ascii="仿宋" w:hAnsi="仿宋" w:eastAsia="仿宋"/>
                <w:b/>
                <w:color w:val="000000"/>
                <w:sz w:val="24"/>
                <w:szCs w:val="24"/>
                <w:lang w:val="en-US" w:eastAsia="zh-CN"/>
              </w:rPr>
              <w:t>工业</w:t>
            </w:r>
          </w:p>
          <w:p>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sz w:val="24"/>
                <w:szCs w:val="24"/>
              </w:rPr>
              <w:t>3.根据财库〔2020〕46号的相关规定，在评审时对符合本办法规定的小微企业报价给予</w:t>
            </w:r>
            <w:r>
              <w:rPr>
                <w:rFonts w:hint="eastAsia" w:ascii="仿宋" w:hAnsi="仿宋" w:eastAsia="仿宋"/>
                <w:b/>
                <w:color w:val="000000"/>
                <w:sz w:val="24"/>
                <w:szCs w:val="24"/>
                <w:u w:val="single"/>
                <w:lang w:val="en-US" w:eastAsia="zh-CN"/>
              </w:rPr>
              <w:t>10%</w:t>
            </w:r>
            <w:r>
              <w:rPr>
                <w:rFonts w:hint="eastAsia" w:ascii="仿宋" w:hAnsi="仿宋" w:eastAsia="仿宋"/>
                <w:b/>
                <w:color w:val="000000"/>
                <w:sz w:val="24"/>
                <w:szCs w:val="24"/>
              </w:rPr>
              <w:t>的扣除，取扣除后的价格作为最终投标报价（此最终投标报价仅作为价格分计算）。中小企业参加政府采购活动，应当出具本办法规定的《中小企业声明函》，否则不得享受相关中小企业扶持政策。</w:t>
            </w:r>
          </w:p>
          <w:p>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sz w:val="24"/>
                <w:szCs w:val="24"/>
                <w:u w:val="single"/>
                <w:lang w:val="en-US" w:eastAsia="zh-CN"/>
              </w:rPr>
              <w:t>4%</w:t>
            </w:r>
            <w:r>
              <w:rPr>
                <w:rFonts w:hint="eastAsia" w:ascii="仿宋" w:hAnsi="仿宋" w:eastAsia="仿宋"/>
                <w:b/>
                <w:color w:val="000000"/>
                <w:sz w:val="24"/>
                <w:szCs w:val="24"/>
              </w:rPr>
              <w:t>的扣除，用扣除后的价格参加评审。</w:t>
            </w:r>
          </w:p>
          <w:p>
            <w:pPr>
              <w:snapToGrid w:val="0"/>
              <w:spacing w:line="460" w:lineRule="exact"/>
              <w:ind w:firstLine="602" w:firstLineChars="250"/>
              <w:rPr>
                <w:rFonts w:ascii="仿宋" w:hAnsi="仿宋" w:eastAsia="仿宋"/>
                <w:b/>
                <w:color w:val="000000"/>
                <w:sz w:val="24"/>
                <w:szCs w:val="24"/>
              </w:rPr>
            </w:pPr>
            <w:r>
              <w:rPr>
                <w:rFonts w:hint="eastAsia" w:ascii="仿宋" w:hAnsi="仿宋" w:eastAsia="仿宋"/>
                <w:b/>
                <w:color w:val="000000"/>
                <w:sz w:val="24"/>
                <w:szCs w:val="24"/>
              </w:rPr>
              <w:t>组成联合体或者接受分包 的小微企业与联合体内其他企业、分包企业之间存在直接控 股、管理关系的，不享受价格扣除优惠政策。</w:t>
            </w:r>
          </w:p>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snapToGrid w:val="0"/>
              <w:jc w:val="left"/>
              <w:rPr>
                <w:rFonts w:ascii="仿宋" w:hAnsi="仿宋" w:eastAsia="仿宋"/>
                <w:b/>
                <w:bCs/>
                <w:color w:val="000000"/>
                <w:sz w:val="24"/>
                <w:szCs w:val="24"/>
              </w:rPr>
            </w:pPr>
            <w:r>
              <w:rPr>
                <w:rFonts w:hint="eastAsia" w:ascii="仿宋" w:hAnsi="仿宋" w:eastAsia="仿宋"/>
                <w:b/>
                <w:color w:val="000000"/>
                <w:sz w:val="24"/>
                <w:szCs w:val="24"/>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政府采购节能环保产品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sz w:val="24"/>
                <w:szCs w:val="24"/>
              </w:rPr>
              <w:t>产品属于政府强制采购节能产品品目的，投标人未提供节能产品的，其投标将作无效标处理；本文件“第四章招标需求”另有规定的除外。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促进绿色发展有关政策</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sz w:val="24"/>
                <w:szCs w:val="24"/>
              </w:rPr>
              <w:t>2020〕123号文件）。提倡供应商优先采购绿色包装产品、绿色物流配送服务以及循环利用产品。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首台套政策</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首台套产品被纳入《首台套产品推广应用指导目录》之日起3年内，视同已具备相应销售业绩，参加政府采购活动时业绩分值为满分。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质疑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r>
              <w:rPr>
                <w:rFonts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是否允许采购进口产品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bookmarkStart w:id="20" w:name="PO_15528_PM042"/>
            <w:r>
              <w:rPr>
                <w:rFonts w:hint="eastAsia" w:ascii="仿宋" w:hAnsi="仿宋" w:eastAsia="仿宋"/>
                <w:color w:val="000000"/>
                <w:sz w:val="24"/>
                <w:szCs w:val="24"/>
                <w:lang w:eastAsia="zh-CN"/>
              </w:rPr>
              <w:t>不允许进口产品</w:t>
            </w:r>
            <w:bookmarkEnd w:id="20"/>
            <w:r>
              <w:rPr>
                <w:rFonts w:hint="eastAsia" w:ascii="仿宋" w:hAnsi="仿宋" w:eastAsia="仿宋"/>
                <w:color w:val="000000"/>
                <w:sz w:val="24"/>
                <w:szCs w:val="24"/>
              </w:rPr>
              <w:t>。如是，优先采购向我国企业转让技术、与我国企业签订消化吸收再创新方案的供应商的进口产品。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10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是否允许转包与分包</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sz w:val="24"/>
              </w:rPr>
              <w:t>转包：否</w:t>
            </w:r>
          </w:p>
          <w:p>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sz w:val="24"/>
              </w:rPr>
              <w:t>分包：</w:t>
            </w:r>
            <w:bookmarkStart w:id="21" w:name="PO_15528_PM044"/>
            <w:r>
              <w:rPr>
                <w:rFonts w:hint="eastAsia" w:ascii="仿宋_GB2312" w:hAnsi="仿宋" w:eastAsia="仿宋_GB2312"/>
                <w:bCs/>
                <w:color w:val="000000"/>
                <w:sz w:val="24"/>
                <w:lang w:eastAsia="zh-CN"/>
              </w:rPr>
              <w:t>允许分包</w:t>
            </w:r>
            <w:bookmarkEnd w:id="21"/>
            <w:r>
              <w:rPr>
                <w:rFonts w:hint="eastAsia" w:ascii="仿宋_GB2312" w:hAnsi="仿宋" w:eastAsia="仿宋_GB2312"/>
                <w:bCs/>
                <w:color w:val="000000"/>
                <w:sz w:val="24"/>
              </w:rPr>
              <w:t>；非主体、非关键性工作允许分包。</w:t>
            </w:r>
          </w:p>
          <w:p>
            <w:pPr>
              <w:spacing w:line="500" w:lineRule="exact"/>
              <w:jc w:val="left"/>
              <w:rPr>
                <w:rFonts w:ascii="仿宋_GB2312" w:hAnsi="仿宋" w:eastAsia="仿宋_GB2312"/>
                <w:bCs/>
                <w:color w:val="000000"/>
                <w:sz w:val="24"/>
              </w:rPr>
            </w:pPr>
            <w:r>
              <w:rPr>
                <w:rFonts w:hint="eastAsia" w:ascii="仿宋_GB2312" w:hAnsi="仿宋" w:eastAsia="仿宋_GB2312"/>
                <w:bCs/>
                <w:color w:val="000000"/>
                <w:sz w:val="24"/>
              </w:rPr>
              <w:t>当分包份额占到合同总金额100%时，视为转包。此情况根据《中华人民共和国政府采购法实施条例》（国务院令第658号）文件第七十二条规定，将依照政府采购法第七十七条第一款的规定追究相应法律责任。</w:t>
            </w:r>
          </w:p>
          <w:p>
            <w:pPr>
              <w:spacing w:line="500" w:lineRule="exact"/>
              <w:jc w:val="left"/>
              <w:rPr>
                <w:rFonts w:ascii="仿宋_GB2312" w:hAnsi="仿宋" w:eastAsia="仿宋_GB2312"/>
                <w:bCs/>
                <w:color w:val="000000"/>
                <w:sz w:val="24"/>
              </w:rPr>
            </w:pPr>
            <w:r>
              <w:rPr>
                <w:rFonts w:hint="eastAsia" w:ascii="仿宋_GB2312" w:hAnsi="仿宋" w:eastAsia="仿宋_GB2312"/>
                <w:bCs/>
                <w:color w:val="000000"/>
                <w:sz w:val="24"/>
              </w:rPr>
              <w:t>依据政府采购促进中小企业发展管理办法规定享受扶持政策获得政府采购合同的，小微企业不得将合同分包给大中型企业，中型企业不得将合同分包给大型企业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11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联合体投标</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_GB2312" w:hAnsi="仿宋" w:eastAsia="仿宋_GB2312"/>
                <w:bCs/>
                <w:color w:val="000000"/>
                <w:sz w:val="24"/>
              </w:rPr>
            </w:pPr>
            <w:bookmarkStart w:id="22" w:name="PO_15528_PM007_1"/>
            <w:r>
              <w:rPr>
                <w:rFonts w:hint="eastAsia" w:ascii="仿宋_GB2312" w:hAnsi="仿宋" w:eastAsia="仿宋_GB2312"/>
                <w:bCs/>
                <w:color w:val="000000"/>
                <w:sz w:val="24"/>
                <w:lang w:eastAsia="zh-CN"/>
              </w:rPr>
              <w:t>允许联合体投标</w:t>
            </w:r>
            <w:bookmarkEnd w:id="22"/>
            <w:r>
              <w:rPr>
                <w:rFonts w:hint="eastAsia" w:ascii="仿宋_GB2312" w:hAnsi="仿宋" w:eastAsia="仿宋_GB2312"/>
                <w:bCs/>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是否现场踏勘</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bookmarkStart w:id="23" w:name="PO_15528_PM040"/>
            <w:r>
              <w:rPr>
                <w:rFonts w:hint="eastAsia" w:ascii="仿宋" w:hAnsi="仿宋" w:eastAsia="仿宋"/>
                <w:color w:val="000000"/>
                <w:sz w:val="24"/>
                <w:szCs w:val="24"/>
                <w:lang w:eastAsia="zh-CN"/>
              </w:rPr>
              <w:t>不组织现场踏勘</w:t>
            </w:r>
            <w:bookmarkEnd w:id="23"/>
            <w:r>
              <w:rPr>
                <w:rFonts w:hint="eastAsia"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是否提供演示</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bookmarkStart w:id="24" w:name="PO_1000000445_PM041"/>
            <w:r>
              <w:rPr>
                <w:rFonts w:hint="eastAsia" w:ascii="仿宋" w:hAnsi="仿宋" w:eastAsia="仿宋"/>
                <w:color w:val="000000"/>
                <w:sz w:val="24"/>
                <w:szCs w:val="24"/>
                <w:lang w:eastAsia="zh-CN"/>
              </w:rPr>
              <w:t>不进行演示</w:t>
            </w:r>
            <w:bookmarkEnd w:id="24"/>
            <w:r>
              <w:rPr>
                <w:rFonts w:hint="eastAsia"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是否提供样品</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bookmarkStart w:id="25" w:name="PO_1000000445_PM043"/>
            <w:r>
              <w:rPr>
                <w:rFonts w:hint="eastAsia" w:ascii="仿宋" w:hAnsi="仿宋" w:eastAsia="仿宋"/>
                <w:color w:val="000000"/>
                <w:sz w:val="24"/>
                <w:szCs w:val="24"/>
                <w:lang w:eastAsia="zh-CN"/>
              </w:rPr>
              <w:t>不要求提供样品</w:t>
            </w:r>
            <w:bookmarkEnd w:id="25"/>
            <w:r>
              <w:rPr>
                <w:rFonts w:hint="eastAsia"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投标文件组成</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投标文件均由资格文件、技术商务文件、报价文件组成。</w:t>
            </w:r>
          </w:p>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投标人提供备份投标文件（正本）的，数量为1份。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电子交易平台登录方法</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第一步：供应商登记</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sz w:val="24"/>
                <w:szCs w:val="24"/>
              </w:rPr>
              <w:t>https://middle.zcygov.cn/v-settle-front/registry</w:t>
            </w:r>
            <w:r>
              <w:rPr>
                <w:rStyle w:val="69"/>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第二步：申请CA</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投标人应在投标前完成CA数字证书办理（办理流程详见http://zfcg.czt.zj.gov.cn/bidClientTemplate/2019-05-27/12945.html）。完成CA数字证书办理预计一周左右，建议各投标人抓紧时间办理；</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第三步：下载客户端</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sz w:val="24"/>
                <w:szCs w:val="24"/>
              </w:rPr>
              <w:t>http://zfcg.czt.zj.gov.cn/bidClientTemplate/2019-09-24/12975.html</w:t>
            </w:r>
            <w:r>
              <w:rPr>
                <w:rStyle w:val="69"/>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第四步：具体流程</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sz w:val="24"/>
                <w:szCs w:val="24"/>
              </w:rPr>
              <w:t>https://edu.zcygov.cn/luban/e-biding</w:t>
            </w:r>
            <w:r>
              <w:rPr>
                <w:rStyle w:val="69"/>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提醒：</w:t>
            </w:r>
          </w:p>
          <w:p>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1</w:t>
            </w:r>
            <w:r>
              <w:rPr>
                <w:rFonts w:ascii="仿宋" w:hAnsi="仿宋" w:eastAsia="仿宋"/>
                <w:b/>
                <w:color w:val="000000"/>
                <w:sz w:val="24"/>
                <w:szCs w:val="24"/>
              </w:rPr>
              <w:t>.</w:t>
            </w:r>
            <w:r>
              <w:rPr>
                <w:rFonts w:hint="eastAsia" w:ascii="仿宋" w:hAnsi="仿宋" w:eastAsia="仿宋"/>
                <w:b/>
                <w:color w:val="000000"/>
                <w:sz w:val="24"/>
                <w:szCs w:val="24"/>
              </w:rPr>
              <w:t>请各投标人合理安排时间，尽快完成第一、二、三步骤，避免影响投标。</w:t>
            </w:r>
          </w:p>
          <w:p>
            <w:pPr>
              <w:spacing w:line="400" w:lineRule="exact"/>
              <w:jc w:val="left"/>
              <w:rPr>
                <w:rFonts w:ascii="仿宋" w:hAnsi="仿宋" w:eastAsia="仿宋"/>
                <w:color w:val="000000"/>
                <w:sz w:val="24"/>
                <w:szCs w:val="24"/>
              </w:rPr>
            </w:pPr>
            <w:r>
              <w:rPr>
                <w:rFonts w:ascii="仿宋" w:hAnsi="仿宋" w:eastAsia="仿宋"/>
                <w:b/>
                <w:color w:val="000000"/>
                <w:sz w:val="24"/>
                <w:szCs w:val="24"/>
              </w:rPr>
              <w:t>2.</w:t>
            </w:r>
            <w:r>
              <w:rPr>
                <w:rFonts w:hint="eastAsia" w:ascii="仿宋" w:hAnsi="仿宋" w:eastAsia="仿宋"/>
                <w:b/>
                <w:color w:val="000000"/>
                <w:sz w:val="24"/>
                <w:szCs w:val="24"/>
              </w:rPr>
              <w:t>为避免页面存在兼容性等问题，投标人须使用谷歌Chrome浏览器或360浏览器极速模式，涉及视频会议等功能的，还应安装摄像头和麦克风。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投标文件的递交与接收</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投标文件的接收以本项目公告要求的时间、地点和“第二章”的“投标文件的编制”等要求为准。</w:t>
            </w:r>
          </w:p>
          <w:p>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投标人递交备份投标文件，出现下列情况之一的，将被拒收：</w:t>
            </w:r>
          </w:p>
          <w:p>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1、未按规定密封或标记的；</w:t>
            </w:r>
          </w:p>
          <w:p>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2、由于包装不妥，在送交途中严重破损或失散的；</w:t>
            </w:r>
          </w:p>
          <w:p>
            <w:pPr>
              <w:spacing w:line="500" w:lineRule="exact"/>
              <w:jc w:val="left"/>
              <w:rPr>
                <w:rFonts w:ascii="仿宋" w:hAnsi="仿宋" w:eastAsia="仿宋"/>
                <w:color w:val="000000"/>
                <w:sz w:val="24"/>
                <w:szCs w:val="24"/>
              </w:rPr>
            </w:pPr>
            <w:r>
              <w:rPr>
                <w:rFonts w:hint="eastAsia" w:ascii="仿宋" w:hAnsi="仿宋" w:eastAsia="仿宋"/>
                <w:b/>
                <w:color w:val="000000"/>
                <w:sz w:val="24"/>
                <w:szCs w:val="24"/>
              </w:rPr>
              <w:t>3、超过投标截止时间送达的。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投标撤销（撤回）</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1</w:t>
            </w:r>
            <w:r>
              <w:rPr>
                <w:rFonts w:ascii="仿宋_GB2312" w:hAnsi="仿宋" w:eastAsia="仿宋_GB2312"/>
                <w:bCs/>
                <w:color w:val="000000"/>
                <w:sz w:val="24"/>
              </w:rPr>
              <w:t>.</w:t>
            </w:r>
            <w:r>
              <w:rPr>
                <w:rFonts w:hint="eastAsia" w:ascii="仿宋_GB2312" w:hAnsi="仿宋" w:eastAsia="仿宋_GB2312"/>
                <w:bCs/>
                <w:color w:val="000000"/>
                <w:sz w:val="24"/>
              </w:rPr>
              <w:t>在投标截止时间起至投标有效期届满，供应商投标文件不可撤销。</w:t>
            </w:r>
          </w:p>
          <w:p>
            <w:pPr>
              <w:autoSpaceDE w:val="0"/>
              <w:autoSpaceDN w:val="0"/>
              <w:snapToGrid w:val="0"/>
              <w:jc w:val="left"/>
              <w:textAlignment w:val="bottom"/>
              <w:rPr>
                <w:rFonts w:ascii="仿宋" w:hAnsi="仿宋" w:eastAsia="仿宋"/>
                <w:b/>
                <w:color w:val="000000"/>
                <w:sz w:val="24"/>
                <w:szCs w:val="24"/>
              </w:rPr>
            </w:pPr>
            <w:r>
              <w:rPr>
                <w:rFonts w:ascii="仿宋_GB2312" w:hAnsi="仿宋" w:eastAsia="仿宋_GB2312"/>
                <w:bCs/>
                <w:color w:val="000000"/>
                <w:sz w:val="24"/>
              </w:rPr>
              <w:t>2.</w:t>
            </w:r>
            <w:r>
              <w:rPr>
                <w:rFonts w:hint="eastAsia" w:ascii="仿宋_GB2312" w:hAnsi="仿宋" w:eastAsia="仿宋_GB2312"/>
                <w:bCs/>
                <w:color w:val="000000"/>
                <w:sz w:val="24"/>
              </w:rPr>
              <w:t>供应商撤销（撤回）投标不得损害国家利益、社会公共利益、采购人利益、代理机构利益、其他供应商利益，否则，供应商撤销（撤回）投标无效。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9</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中标结果公告</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4"/>
                <w:szCs w:val="24"/>
              </w:rPr>
              <w:t>中标供应商确定之日起2个工作日内，将在</w:t>
            </w:r>
            <w:r>
              <w:rPr>
                <w:rFonts w:hint="eastAsia" w:ascii="仿宋" w:hAnsi="仿宋" w:eastAsia="仿宋" w:cs="Arial"/>
                <w:color w:val="000000"/>
                <w:sz w:val="24"/>
                <w:szCs w:val="24"/>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sz w:val="24"/>
                <w:szCs w:val="24"/>
              </w:rPr>
              <w:t>http://www.zjzfcg.gov.cn</w:t>
            </w:r>
            <w:r>
              <w:rPr>
                <w:rStyle w:val="69"/>
                <w:rFonts w:hint="eastAsia" w:ascii="仿宋" w:hAnsi="仿宋" w:eastAsia="仿宋"/>
                <w:color w:val="000000"/>
                <w:sz w:val="24"/>
                <w:szCs w:val="24"/>
              </w:rPr>
              <w:fldChar w:fldCharType="end"/>
            </w:r>
            <w:r>
              <w:rPr>
                <w:rFonts w:hint="eastAsia" w:ascii="仿宋" w:hAnsi="仿宋" w:eastAsia="仿宋" w:cs="Arial"/>
                <w:color w:val="000000"/>
                <w:sz w:val="24"/>
                <w:szCs w:val="24"/>
              </w:rPr>
              <w:t>)发布</w:t>
            </w:r>
            <w:r>
              <w:rPr>
                <w:rFonts w:hint="eastAsia" w:ascii="仿宋" w:hAnsi="仿宋" w:eastAsia="仿宋"/>
                <w:color w:val="000000"/>
                <w:sz w:val="24"/>
                <w:szCs w:val="24"/>
              </w:rPr>
              <w:t>中标公告</w:t>
            </w:r>
            <w:r>
              <w:rPr>
                <w:rFonts w:hint="eastAsia" w:ascii="仿宋" w:hAnsi="仿宋" w:eastAsia="仿宋"/>
                <w:b/>
                <w:color w:val="000000"/>
                <w:sz w:val="24"/>
                <w:szCs w:val="24"/>
              </w:rPr>
              <w:t>（中标人为中小企业的，其声明函将随中标结果同时公告）</w:t>
            </w:r>
            <w:r>
              <w:rPr>
                <w:rFonts w:hint="eastAsia" w:ascii="仿宋" w:hAnsi="仿宋" w:eastAsia="仿宋"/>
                <w:color w:val="000000"/>
                <w:sz w:val="24"/>
                <w:szCs w:val="24"/>
              </w:rPr>
              <w:t>，公告期限为1个工作日</w:t>
            </w:r>
            <w:r>
              <w:rPr>
                <w:rFonts w:hint="eastAsia" w:ascii="仿宋" w:hAnsi="仿宋" w:eastAsia="仿宋" w:cs="Arial"/>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left"/>
              <w:textAlignment w:val="bottom"/>
              <w:rPr>
                <w:rFonts w:ascii="仿宋" w:hAnsi="仿宋" w:eastAsia="仿宋"/>
                <w:color w:val="000000"/>
                <w:sz w:val="24"/>
                <w:szCs w:val="24"/>
              </w:rPr>
            </w:pPr>
            <w:r>
              <w:rPr>
                <w:rFonts w:hint="eastAsia" w:ascii="仿宋_GB2312" w:hAnsi="仿宋" w:eastAsia="仿宋_GB2312"/>
                <w:bCs/>
                <w:color w:val="000000"/>
                <w:sz w:val="24"/>
              </w:rPr>
              <w:t>中标供应商放弃中标资格导致重新采购的，应当承担支付专家评审费等费用在内的赔偿责任（不可抗力除外）。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21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Cs/>
                <w:color w:val="000000"/>
                <w:sz w:val="24"/>
              </w:rPr>
            </w:pPr>
            <w:r>
              <w:rPr>
                <w:rFonts w:hint="eastAsia" w:ascii="仿宋_GB2312" w:hAnsi="仿宋" w:eastAsia="仿宋_GB2312"/>
                <w:bCs/>
                <w:color w:val="000000"/>
                <w:sz w:val="24"/>
              </w:rPr>
              <w:t>履约保证金</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22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付款方式</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国库集中支付（采购人自行支付）详见各标项的商务要求表。</w:t>
            </w:r>
          </w:p>
          <w:p>
            <w:pPr>
              <w:autoSpaceDE w:val="0"/>
              <w:autoSpaceDN w:val="0"/>
              <w:snapToGrid w:val="0"/>
              <w:jc w:val="left"/>
              <w:textAlignment w:val="bottom"/>
              <w:rPr>
                <w:rFonts w:ascii="仿宋" w:hAnsi="仿宋" w:eastAsia="仿宋"/>
                <w:color w:val="000000"/>
                <w:sz w:val="28"/>
                <w:szCs w:val="28"/>
              </w:rPr>
            </w:pPr>
            <w:r>
              <w:rPr>
                <w:rFonts w:hint="eastAsia" w:ascii="仿宋_GB2312" w:hAnsi="仿宋" w:eastAsia="仿宋_GB2312"/>
                <w:bCs/>
                <w:color w:val="000000"/>
                <w:sz w:val="24"/>
              </w:rPr>
              <w:t>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_GB2312" w:hAnsi="仿宋" w:eastAsia="仿宋_GB2312"/>
                <w:bCs/>
                <w:color w:val="000000"/>
                <w:sz w:val="24"/>
              </w:rPr>
              <w:t>《浙江省财政厅关于进一步加大政府采购支持中小企业力度助力扎实稳住经济的通知》</w:t>
            </w:r>
            <w:r>
              <w:rPr>
                <w:rFonts w:hint="eastAsia" w:ascii="仿宋_GB2312" w:hAnsi="仿宋" w:eastAsia="仿宋_GB2312"/>
                <w:bCs/>
                <w:color w:val="000000"/>
                <w:sz w:val="24"/>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ascii="仿宋" w:hAnsi="仿宋" w:eastAsia="仿宋"/>
                <w:color w:val="000000"/>
                <w:sz w:val="24"/>
                <w:szCs w:val="24"/>
              </w:rPr>
              <w:t>23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投标文件有效期</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left"/>
              <w:textAlignment w:val="bottom"/>
              <w:rPr>
                <w:rFonts w:ascii="仿宋" w:hAnsi="仿宋" w:eastAsia="仿宋"/>
                <w:color w:val="000000"/>
                <w:sz w:val="28"/>
                <w:szCs w:val="28"/>
              </w:rPr>
            </w:pPr>
            <w:r>
              <w:rPr>
                <w:rFonts w:hint="eastAsia" w:ascii="仿宋" w:hAnsi="仿宋" w:eastAsia="仿宋" w:cs="Arial"/>
                <w:color w:val="000000"/>
                <w:sz w:val="24"/>
                <w:szCs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合同签订时间</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4"/>
                <w:szCs w:val="24"/>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4"/>
                <w:szCs w:val="24"/>
              </w:rPr>
            </w:pPr>
            <w:r>
              <w:rPr>
                <w:rFonts w:hint="eastAsia" w:ascii="仿宋_GB2312" w:hAnsi="仿宋" w:eastAsia="仿宋_GB2312"/>
                <w:bCs/>
                <w:color w:val="000000"/>
                <w:sz w:val="24"/>
              </w:rPr>
              <w:t>招标方代理费用</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解释权</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本招标文件的解释权属于浙江省政府采购中心。</w:t>
            </w:r>
          </w:p>
        </w:tc>
      </w:tr>
    </w:tbl>
    <w:p>
      <w:pPr>
        <w:pStyle w:val="31"/>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_GB2312"/>
          <w:color w:val="000000"/>
          <w:kern w:val="0"/>
          <w:sz w:val="30"/>
          <w:szCs w:val="30"/>
        </w:rPr>
        <w:br w:type="page"/>
      </w:r>
      <w:r>
        <w:rPr>
          <w:rFonts w:hint="eastAsia" w:ascii="仿宋" w:hAnsi="仿宋" w:eastAsia="仿宋"/>
          <w:b/>
          <w:bCs/>
          <w:color w:val="000000"/>
          <w:sz w:val="28"/>
          <w:szCs w:val="28"/>
        </w:rPr>
        <w:t>一、总  则</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（一）适用范围</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仅适用于本次招标文件中采购项目的招标、投标、评标、定标、验收、合同履约、付款等行为（法律、法规另有规定的，从其规定）。</w:t>
      </w:r>
    </w:p>
    <w:p>
      <w:pPr>
        <w:snapToGrid w:val="0"/>
        <w:spacing w:before="156" w:beforeLines="50" w:line="460" w:lineRule="exact"/>
        <w:ind w:firstLine="411" w:firstLineChars="147"/>
        <w:jc w:val="left"/>
        <w:outlineLvl w:val="1"/>
        <w:rPr>
          <w:rFonts w:ascii="仿宋" w:hAnsi="仿宋" w:eastAsia="仿宋"/>
          <w:bCs/>
          <w:color w:val="000000"/>
          <w:sz w:val="28"/>
          <w:szCs w:val="28"/>
        </w:rPr>
      </w:pPr>
      <w:r>
        <w:rPr>
          <w:rFonts w:hint="eastAsia" w:ascii="仿宋" w:hAnsi="仿宋" w:eastAsia="仿宋"/>
          <w:bCs/>
          <w:color w:val="000000"/>
          <w:sz w:val="28"/>
          <w:szCs w:val="28"/>
        </w:rPr>
        <w:t xml:space="preserve">（二）定义 </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1.招标方：指组织本项目采购的浙江省政府采购中心。</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2.投标人：指响应招标、参加投标竞争的法人、其他组织或者自然人。</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3.采购人：指委托招标方采购本次货物、服务项目的国家机关、事业单位和团体组织。</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4.货物：指招标文件规定投标人须向采购人提供的一切材料、设备、机械、仪器仪表、工具及其它有关技术资料和文字材料。</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5.服务：指招标文件规定投标人须承担的劳务以及其他类似的义务。</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6.项目：指投标人按招标文件规定向采购人提供的需求总称。</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7.电子交易平台:指政府采购项目电子交易平台，即政采云平台。</w:t>
      </w:r>
    </w:p>
    <w:p>
      <w:pPr>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sz w:val="28"/>
          <w:szCs w:val="28"/>
        </w:rPr>
        <w:t>符合中小企业划分标准的个体工商户，在政府采购活动中视同中小企业。</w:t>
      </w:r>
    </w:p>
    <w:p>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sz w:val="28"/>
          <w:szCs w:val="28"/>
        </w:rPr>
        <w:t>（三）投标人及委托有关说明</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1.如授权代表不是法定代表人，须有法定代表人出具的授权委托书</w:t>
      </w:r>
      <w:r>
        <w:rPr>
          <w:rFonts w:hint="eastAsia" w:ascii="仿宋" w:hAnsi="仿宋" w:eastAsia="仿宋"/>
          <w:b/>
          <w:bCs/>
          <w:color w:val="000000"/>
          <w:sz w:val="28"/>
          <w:szCs w:val="28"/>
        </w:rPr>
        <w:t>（格式见附件）。</w:t>
      </w:r>
      <w:r>
        <w:rPr>
          <w:rFonts w:hint="eastAsia" w:ascii="仿宋" w:hAnsi="仿宋" w:eastAsia="仿宋"/>
          <w:bCs/>
          <w:color w:val="000000"/>
          <w:sz w:val="28"/>
          <w:szCs w:val="28"/>
        </w:rPr>
        <w:t>投标人委派不在本单位缴纳社保的人员作为授权代表的，应当在投标文件中，说明具体原因、授权代表缴纳社保的单位，并附列该授权代表缴纳社保清单。</w:t>
      </w:r>
    </w:p>
    <w:p>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2.投标人投标所使用的资格、信誉、荣誉、业绩与企业认证必须为本法人所拥有。投标人投标所使用的采购项目实施人员必须为投标人员工（或投标人控股公司正式员工）。</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3.单位负责人为同一人或者存在直接控股、管理关系的不同供应商，不得参加同一合同项下的政府采购活动。</w:t>
      </w:r>
    </w:p>
    <w:p>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sz w:val="28"/>
          <w:szCs w:val="28"/>
        </w:rPr>
        <w:t>4.投标人应仔细阅读招标文件的所有内容，按照招标文件的要求提交投标文件，并对所提供的全部资料的真实性承担法律责任。</w:t>
      </w:r>
    </w:p>
    <w:p>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sz w:val="28"/>
          <w:szCs w:val="28"/>
        </w:rPr>
        <w:t>（四）投标费用</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不论投标结果如何，投标人均应自行承担所有与投标有关的全部费用（招标文件有其他相反规定除外）。</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（五）质疑</w:t>
      </w:r>
    </w:p>
    <w:p>
      <w:pPr>
        <w:snapToGrid w:val="0"/>
        <w:spacing w:line="460" w:lineRule="exact"/>
        <w:ind w:firstLine="700" w:firstLineChars="250"/>
        <w:rPr>
          <w:rFonts w:ascii="仿宋" w:hAnsi="仿宋" w:eastAsia="仿宋"/>
          <w:bCs/>
          <w:color w:val="000000"/>
          <w:sz w:val="28"/>
          <w:szCs w:val="28"/>
        </w:rPr>
      </w:pPr>
      <w:r>
        <w:rPr>
          <w:rFonts w:hint="eastAsia" w:ascii="仿宋" w:hAnsi="仿宋" w:eastAsia="仿宋"/>
          <w:bCs/>
          <w:color w:val="000000"/>
          <w:sz w:val="28"/>
          <w:szCs w:val="28"/>
        </w:rPr>
        <w:t>1.投标人认为采购文件使自己的权益受到损害的，可以自获取采购文件之日或者采购公告期限届满之日（公告期限届满后获取采购文件的，以公告期限届满之日为准）起7个工作日内，对采购文件需求</w:t>
      </w:r>
      <w:r>
        <w:rPr>
          <w:rFonts w:hint="eastAsia" w:ascii="仿宋" w:hAnsi="仿宋" w:eastAsia="仿宋"/>
          <w:bCs/>
          <w:color w:val="000000"/>
          <w:sz w:val="28"/>
          <w:szCs w:val="28"/>
          <w:lang w:val="en-US" w:eastAsia="zh-CN"/>
        </w:rPr>
        <w:t>和评分细则</w:t>
      </w:r>
      <w:r>
        <w:rPr>
          <w:rFonts w:hint="eastAsia" w:ascii="仿宋" w:hAnsi="仿宋" w:eastAsia="仿宋"/>
          <w:bCs/>
          <w:color w:val="000000"/>
          <w:sz w:val="28"/>
          <w:szCs w:val="28"/>
        </w:rPr>
        <w:t>的以书面形式向采购人提出质疑，对其他内容的以书面形式向招标方提出质疑。</w:t>
      </w:r>
    </w:p>
    <w:p>
      <w:pPr>
        <w:snapToGrid w:val="0"/>
        <w:spacing w:line="460" w:lineRule="exact"/>
        <w:ind w:firstLine="700" w:firstLineChars="250"/>
        <w:rPr>
          <w:rFonts w:ascii="仿宋" w:hAnsi="仿宋" w:eastAsia="仿宋"/>
          <w:bCs/>
          <w:color w:val="000000"/>
          <w:sz w:val="28"/>
          <w:szCs w:val="28"/>
        </w:rPr>
      </w:pPr>
      <w:r>
        <w:rPr>
          <w:rFonts w:hint="eastAsia" w:ascii="仿宋" w:hAnsi="仿宋" w:eastAsia="仿宋"/>
          <w:bCs/>
          <w:color w:val="000000"/>
          <w:sz w:val="28"/>
          <w:szCs w:val="28"/>
        </w:rPr>
        <w:t>2</w:t>
      </w:r>
      <w:r>
        <w:rPr>
          <w:rFonts w:ascii="仿宋" w:hAnsi="仿宋" w:eastAsia="仿宋"/>
          <w:bCs/>
          <w:color w:val="000000"/>
          <w:sz w:val="28"/>
          <w:szCs w:val="28"/>
        </w:rPr>
        <w:t>.</w:t>
      </w:r>
      <w:r>
        <w:rPr>
          <w:rFonts w:hint="eastAsia" w:ascii="仿宋" w:hAnsi="仿宋" w:eastAsia="仿宋"/>
          <w:bCs/>
          <w:color w:val="000000"/>
          <w:sz w:val="28"/>
          <w:szCs w:val="28"/>
        </w:rPr>
        <w:t>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ascii="仿宋" w:hAnsi="仿宋" w:eastAsia="仿宋"/>
          <w:bCs/>
          <w:color w:val="000000"/>
          <w:sz w:val="28"/>
          <w:szCs w:val="28"/>
        </w:rPr>
        <w:t>3</w:t>
      </w:r>
      <w:r>
        <w:rPr>
          <w:rFonts w:hint="eastAsia" w:ascii="仿宋" w:hAnsi="仿宋" w:eastAsia="仿宋"/>
          <w:bCs/>
          <w:color w:val="000000"/>
          <w:sz w:val="28"/>
          <w:szCs w:val="28"/>
        </w:rPr>
        <w:t>.质疑应当以书面形式提出，格式见《政府采购质疑和投诉办法》（财政部令第94号）附件范本，下载网址：浙江政府采购网(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bCs/>
          <w:color w:val="000000"/>
          <w:sz w:val="28"/>
          <w:szCs w:val="28"/>
        </w:rPr>
        <w:t>http://zfcg.czt.zj.gov.cn/</w:t>
      </w:r>
      <w:r>
        <w:rPr>
          <w:rStyle w:val="69"/>
          <w:rFonts w:hint="eastAsia" w:ascii="仿宋" w:hAnsi="仿宋" w:eastAsia="仿宋"/>
          <w:bCs/>
          <w:color w:val="000000"/>
          <w:sz w:val="28"/>
          <w:szCs w:val="28"/>
        </w:rPr>
        <w:fldChar w:fldCharType="end"/>
      </w:r>
      <w:r>
        <w:rPr>
          <w:rFonts w:hint="eastAsia" w:ascii="仿宋" w:hAnsi="仿宋" w:eastAsia="仿宋"/>
          <w:bCs/>
          <w:color w:val="000000"/>
          <w:sz w:val="28"/>
          <w:szCs w:val="28"/>
        </w:rPr>
        <w:t>)，位置：“首页-下载专区-质疑投诉模板”。供应商提出质疑应当提交质疑函和必要的证明材料。供应商应当在法定质疑期内一次性提出针对同一采购程序环节的质疑。</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质疑函应当包括下列内容：</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a.供应商的姓名或者名称、地址、邮编、联系人及联系电话；</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b.质疑项目的名称、编号；</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c.具体、明确的质疑事项和与质疑事项相关的请求；</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d.事实依据；</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e.必要的法律依据；</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f.提出质疑的日期。</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pPr>
        <w:snapToGrid w:val="0"/>
        <w:spacing w:line="460" w:lineRule="exact"/>
        <w:ind w:firstLine="414" w:firstLineChars="148"/>
        <w:jc w:val="left"/>
        <w:outlineLvl w:val="1"/>
        <w:rPr>
          <w:rFonts w:ascii="仿宋" w:hAnsi="仿宋" w:eastAsia="仿宋"/>
          <w:bCs/>
          <w:color w:val="000000"/>
          <w:sz w:val="28"/>
          <w:szCs w:val="28"/>
        </w:rPr>
      </w:pPr>
      <w:r>
        <w:rPr>
          <w:rFonts w:ascii="仿宋" w:hAnsi="仿宋" w:eastAsia="仿宋"/>
          <w:bCs/>
          <w:color w:val="000000"/>
          <w:sz w:val="28"/>
          <w:szCs w:val="28"/>
        </w:rPr>
        <w:t>4.</w:t>
      </w:r>
      <w:r>
        <w:rPr>
          <w:rFonts w:hint="eastAsia" w:ascii="仿宋" w:hAnsi="仿宋" w:eastAsia="仿宋"/>
          <w:bCs/>
          <w:color w:val="000000"/>
          <w:sz w:val="28"/>
          <w:szCs w:val="28"/>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 xml:space="preserve">（六）招标文件的澄清与修改 </w:t>
      </w:r>
    </w:p>
    <w:p>
      <w:pPr>
        <w:pStyle w:val="31"/>
        <w:snapToGrid w:val="0"/>
        <w:spacing w:before="156" w:after="156" w:line="460" w:lineRule="exact"/>
        <w:ind w:firstLine="560" w:firstLineChars="200"/>
        <w:rPr>
          <w:rFonts w:ascii="仿宋" w:hAnsi="仿宋" w:eastAsia="仿宋"/>
          <w:b/>
          <w:bCs/>
          <w:color w:val="000000"/>
          <w:sz w:val="28"/>
          <w:szCs w:val="28"/>
        </w:rPr>
      </w:pPr>
      <w:r>
        <w:rPr>
          <w:rFonts w:hint="eastAsia" w:ascii="仿宋" w:hAnsi="仿宋" w:eastAsia="仿宋"/>
          <w:bCs/>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sz w:val="28"/>
          <w:szCs w:val="28"/>
        </w:rPr>
        <w:t>逾期提出招标方将不予受理。</w:t>
      </w:r>
    </w:p>
    <w:p>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2.招标方主动进行的澄清、修改：招标方无论出于何种原因，均可主动对招标文件中的相关事项，用补充文件等方式进行澄清和修改。</w:t>
      </w:r>
    </w:p>
    <w:p>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3.招标文件澄清、答复、修改、补充的内容为招标文件的组成部分。当招标文件与招标文件的答复、澄清、修改、补充通知就同一内容的表述不一致时，以最后发出的书面文件为准。</w:t>
      </w:r>
    </w:p>
    <w:p>
      <w:pPr>
        <w:pStyle w:val="31"/>
        <w:snapToGrid w:val="0"/>
        <w:spacing w:before="312" w:beforeLines="100" w:after="312" w:afterLines="100" w:line="360" w:lineRule="auto"/>
        <w:jc w:val="center"/>
        <w:rPr>
          <w:rFonts w:ascii="仿宋" w:hAnsi="仿宋" w:eastAsia="仿宋"/>
          <w:bCs/>
          <w:color w:val="000000"/>
          <w:sz w:val="28"/>
          <w:szCs w:val="28"/>
        </w:rPr>
      </w:pPr>
      <w:r>
        <w:rPr>
          <w:rFonts w:hint="eastAsia" w:ascii="仿宋" w:hAnsi="仿宋" w:eastAsia="仿宋"/>
          <w:bCs/>
          <w:color w:val="000000"/>
          <w:sz w:val="28"/>
          <w:szCs w:val="28"/>
        </w:rPr>
        <w:t>二、投标文件的编制</w:t>
      </w:r>
    </w:p>
    <w:p>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（一）投标文件编制工具</w:t>
      </w:r>
    </w:p>
    <w:p>
      <w:pPr>
        <w:pStyle w:val="31"/>
        <w:adjustRightInd w:val="0"/>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sz w:val="28"/>
          <w:szCs w:val="28"/>
        </w:rPr>
        <w:t>http://zfcg.czt.zj.gov.cn/bidClientTemplate/2019-09-24/12975.html</w:t>
      </w:r>
      <w:r>
        <w:rPr>
          <w:rStyle w:val="69"/>
          <w:rFonts w:hint="eastAsia" w:ascii="仿宋" w:hAnsi="仿宋" w:eastAsia="仿宋"/>
          <w:b/>
          <w:bCs/>
          <w:color w:val="000000"/>
          <w:sz w:val="28"/>
          <w:szCs w:val="28"/>
        </w:rPr>
        <w:fldChar w:fldCharType="end"/>
      </w:r>
      <w:r>
        <w:rPr>
          <w:rFonts w:hint="eastAsia" w:ascii="仿宋" w:hAnsi="仿宋" w:eastAsia="仿宋"/>
          <w:b/>
          <w:bCs/>
          <w:color w:val="000000"/>
          <w:sz w:val="28"/>
          <w:szCs w:val="28"/>
        </w:rPr>
        <w:t>，请自行下载并安装。</w:t>
      </w:r>
    </w:p>
    <w:p>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（二）投标文件的组成</w:t>
      </w:r>
    </w:p>
    <w:p>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本项目所称投标文件系指电子投标文件或备份投标文件。投标文件需按照本招标文件和电子交易平台的要求制作、加密并递交。</w:t>
      </w:r>
    </w:p>
    <w:p>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电子投标文件每个标项由资格文件、技术商务文件、投标报价文件三部份组成，具体详见“第六章  投标文件格式附件”。备份投标文件的组成和内容等同电子投标文件。</w:t>
      </w:r>
    </w:p>
    <w:p>
      <w:pPr>
        <w:pStyle w:val="50"/>
        <w:widowControl w:val="0"/>
        <w:spacing w:after="156" w:line="460" w:lineRule="exact"/>
        <w:ind w:firstLine="562" w:firstLineChars="200"/>
        <w:jc w:val="both"/>
        <w:rPr>
          <w:rFonts w:ascii="仿宋" w:hAnsi="仿宋" w:eastAsia="仿宋"/>
          <w:bCs/>
          <w:color w:val="000000"/>
          <w:sz w:val="28"/>
          <w:szCs w:val="28"/>
        </w:rPr>
      </w:pPr>
      <w:r>
        <w:rPr>
          <w:rFonts w:hint="eastAsia" w:ascii="仿宋" w:hAnsi="仿宋" w:eastAsia="仿宋"/>
          <w:b/>
          <w:bCs/>
          <w:color w:val="000000"/>
          <w:sz w:val="28"/>
          <w:szCs w:val="28"/>
        </w:rPr>
        <w:t>注：法定代表人授权委托书、投标声明书、开标一览表必须按招标文件格式要求正确签署并加盖投标人公章。投标文件中所须加盖公章部分均采用CA签章。</w:t>
      </w:r>
    </w:p>
    <w:p>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（三）投标文件的效力</w:t>
      </w:r>
    </w:p>
    <w:p>
      <w:pPr>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电子投标文件未按时解密，投标人提供了备份投标文件的，以备份投标文件作为依据，否则视为投标文件撤回。电子投标文件已按时解密的，备份投标文件自动失效。</w:t>
      </w:r>
    </w:p>
    <w:p>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（四）投标文件的语言及计量</w:t>
      </w:r>
    </w:p>
    <w:p>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pPr>
        <w:pStyle w:val="16"/>
        <w:tabs>
          <w:tab w:val="clear" w:pos="454"/>
        </w:tabs>
        <w:snapToGrid w:val="0"/>
        <w:spacing w:before="156" w:beforeLines="50" w:after="156" w:line="460" w:lineRule="exact"/>
        <w:ind w:left="0" w:firstLine="548" w:firstLineChars="196"/>
        <w:rPr>
          <w:rFonts w:ascii="仿宋" w:hAnsi="仿宋" w:eastAsia="仿宋"/>
          <w:bCs/>
          <w:color w:val="000000"/>
          <w:sz w:val="28"/>
          <w:szCs w:val="28"/>
        </w:rPr>
      </w:pPr>
      <w:r>
        <w:rPr>
          <w:rFonts w:hint="eastAsia" w:ascii="仿宋" w:hAnsi="仿宋" w:eastAsia="仿宋"/>
          <w:bCs/>
          <w:color w:val="000000"/>
          <w:sz w:val="28"/>
          <w:szCs w:val="28"/>
        </w:rPr>
        <w:t>（五）投标文件的有效期</w:t>
      </w:r>
    </w:p>
    <w:p>
      <w:pPr>
        <w:pStyle w:val="16"/>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sz w:val="28"/>
          <w:szCs w:val="28"/>
        </w:rPr>
        <w:t>1.自投标截止日起90天内投标文件应保持有效。有效期不足的投标文件将作无效标处理。</w:t>
      </w:r>
    </w:p>
    <w:p>
      <w:pPr>
        <w:pStyle w:val="16"/>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sz w:val="28"/>
          <w:szCs w:val="28"/>
        </w:rPr>
        <w:t>2.中标供应商的投标文件自开标之日起至合同履行完毕止均应保持有效。</w:t>
      </w:r>
    </w:p>
    <w:p>
      <w:pPr>
        <w:snapToGrid w:val="0"/>
        <w:spacing w:before="156" w:beforeLines="50" w:line="460" w:lineRule="exact"/>
        <w:ind w:firstLine="420" w:firstLineChars="150"/>
        <w:jc w:val="left"/>
        <w:rPr>
          <w:rFonts w:ascii="仿宋" w:hAnsi="仿宋" w:eastAsia="仿宋"/>
          <w:bCs/>
          <w:color w:val="000000"/>
          <w:sz w:val="28"/>
          <w:szCs w:val="28"/>
        </w:rPr>
      </w:pPr>
      <w:r>
        <w:rPr>
          <w:rFonts w:hint="eastAsia" w:ascii="仿宋" w:hAnsi="仿宋" w:eastAsia="仿宋"/>
          <w:bCs/>
          <w:color w:val="000000"/>
          <w:sz w:val="28"/>
          <w:szCs w:val="28"/>
        </w:rPr>
        <w:t>（六）投标文件的签署和包装</w:t>
      </w:r>
    </w:p>
    <w:p>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1.电子投标文件部分： </w:t>
      </w:r>
    </w:p>
    <w:p>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（2）投标文件须由投标人在规定位置盖章并由法定代表人或法定代表人的授权委托人签署，投标人应写全称。</w:t>
      </w:r>
    </w:p>
    <w:p>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（3）投标文件不得涂改，若有修改错漏处，须加盖投标人公章或者法定代表人或授权委托人签名或盖章。投标文件因字迹潦草或表达不清所引起的后果由投标人负责。</w:t>
      </w:r>
    </w:p>
    <w:p>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2.投标人选择递交备份投标文件的，备份投标文件另须满足以下条件：</w:t>
      </w:r>
    </w:p>
    <w:p>
      <w:pPr>
        <w:pStyle w:val="31"/>
        <w:adjustRightInd w:val="0"/>
        <w:snapToGrid w:val="0"/>
        <w:spacing w:before="156" w:after="156" w:line="50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（1）储存形式：U盘、DVD </w:t>
      </w:r>
    </w:p>
    <w:p>
      <w:pPr>
        <w:pStyle w:val="31"/>
        <w:adjustRightInd w:val="0"/>
        <w:snapToGrid w:val="0"/>
        <w:spacing w:before="156" w:after="156" w:line="500" w:lineRule="exact"/>
        <w:ind w:firstLine="557" w:firstLineChars="198"/>
        <w:rPr>
          <w:rFonts w:ascii="仿宋" w:hAnsi="仿宋" w:eastAsia="仿宋"/>
          <w:bCs/>
          <w:color w:val="000000"/>
          <w:sz w:val="28"/>
          <w:szCs w:val="28"/>
        </w:rPr>
      </w:pPr>
      <w:r>
        <w:rPr>
          <w:rFonts w:hint="eastAsia" w:ascii="仿宋" w:hAnsi="仿宋" w:eastAsia="仿宋"/>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pPr>
        <w:snapToGrid w:val="0"/>
        <w:spacing w:before="156" w:beforeLines="50"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（七）投标报价</w:t>
      </w:r>
    </w:p>
    <w:p>
      <w:pPr>
        <w:tabs>
          <w:tab w:val="left" w:pos="525"/>
        </w:tabs>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3.投标报价金额到元为止，如投标报价总价出现角、分，将被抹除。</w:t>
      </w:r>
    </w:p>
    <w:p>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4.资格文件、技术商务文件中不得出现投标报价信息，否则按无效标处理。</w:t>
      </w:r>
    </w:p>
    <w:p>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（八）串通投标认定</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有下列情形之一的，视为投标人串通投标，其投标无效：</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1.不同投标人的投标文件由同一单位或者个人编制或同一I</w:t>
      </w:r>
      <w:r>
        <w:rPr>
          <w:rFonts w:ascii="仿宋" w:hAnsi="仿宋" w:eastAsia="仿宋"/>
          <w:bCs/>
          <w:color w:val="000000"/>
          <w:sz w:val="28"/>
          <w:szCs w:val="28"/>
        </w:rPr>
        <w:t>P</w:t>
      </w:r>
      <w:r>
        <w:rPr>
          <w:rFonts w:hint="eastAsia" w:ascii="仿宋" w:hAnsi="仿宋" w:eastAsia="仿宋"/>
          <w:bCs/>
          <w:color w:val="000000"/>
          <w:sz w:val="28"/>
          <w:szCs w:val="28"/>
        </w:rPr>
        <w:t>地址上传；</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2.不同投标人委托同一单位或者个人办理投标事宜；</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3.不同投标人的投标文件载明的项目管理成员或者联系人员为同一人；</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4.不同投标人的投标文件异常一致或者投标报价呈规律性差异；</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5.不同投标人的投标文件相互混装；</w:t>
      </w:r>
    </w:p>
    <w:p>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（九）投标无效的情形</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在评审时，如发现下列情形之一的，投标文件将被视为无效：</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1.投标人未能提供合格的资格文件、投标有效期不足的；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2.投标人被列入失信被执行人、重大税收违法案件当事人名单、政府采购严重违法失信行为记录名单的；</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3.仅提供备份投标文件的；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4.电子投标文件解密失败，且未在规定时间内提交备份投标文件的；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5.电子投标文件解密失败，虽然在规定时间内提交了备份投标文件，但是备份投标文件无法导入或者无法读取或者不符合本招标文件和电子交易平台要求的；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6.投标文件未按招标文件要求签署、盖章的；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7.与招标文件有重大偏离、未满足带“▲”号实质性指标的投标文件；</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8.招标需求中要求提供的产品属于节能清单中政府强制采购节能产品品目的，投标人未提供该清单内产品的；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9</w:t>
      </w:r>
      <w:r>
        <w:rPr>
          <w:rFonts w:ascii="仿宋" w:hAnsi="仿宋" w:eastAsia="仿宋"/>
          <w:bCs/>
          <w:color w:val="000000"/>
          <w:sz w:val="28"/>
          <w:szCs w:val="28"/>
        </w:rPr>
        <w:t>.</w:t>
      </w:r>
      <w:r>
        <w:rPr>
          <w:rFonts w:hint="eastAsia" w:ascii="仿宋" w:hAnsi="仿宋" w:eastAsia="仿宋"/>
          <w:bCs/>
          <w:color w:val="000000"/>
          <w:sz w:val="28"/>
          <w:szCs w:val="28"/>
        </w:rPr>
        <w:t>未提供样品或提供样品不满足采购需求实质性条件的；</w:t>
      </w:r>
    </w:p>
    <w:p>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sz w:val="28"/>
          <w:szCs w:val="28"/>
        </w:rPr>
        <w:t>10</w:t>
      </w:r>
      <w:r>
        <w:rPr>
          <w:rFonts w:hint="eastAsia" w:ascii="仿宋" w:hAnsi="仿宋" w:eastAsia="仿宋"/>
          <w:bCs/>
          <w:color w:val="000000"/>
          <w:sz w:val="28"/>
          <w:szCs w:val="28"/>
        </w:rPr>
        <w:t>.投标报价超出招标文件中规定的预算金额或者最高限价的；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1</w:t>
      </w:r>
      <w:r>
        <w:rPr>
          <w:rFonts w:hint="eastAsia" w:ascii="仿宋" w:hAnsi="仿宋" w:eastAsia="仿宋"/>
          <w:bCs/>
          <w:color w:val="000000"/>
          <w:sz w:val="28"/>
          <w:szCs w:val="28"/>
        </w:rPr>
        <w:t>.标项以赠送方式投标的、对一个标项提供两个投标方案或两个报价的；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2</w:t>
      </w:r>
      <w:r>
        <w:rPr>
          <w:rFonts w:hint="eastAsia" w:ascii="仿宋" w:hAnsi="仿宋" w:eastAsia="仿宋"/>
          <w:bCs/>
          <w:color w:val="000000"/>
          <w:sz w:val="28"/>
          <w:szCs w:val="28"/>
        </w:rPr>
        <w:t>.评标委员会认为投标人的报价明显低于其他通过符合性审查投标人的报价，有可能影响产品质量或者不能诚信履约，且不能证明其报价合理性的；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3</w:t>
      </w:r>
      <w:r>
        <w:rPr>
          <w:rFonts w:hint="eastAsia" w:ascii="仿宋" w:hAnsi="仿宋" w:eastAsia="仿宋"/>
          <w:bCs/>
          <w:color w:val="000000"/>
          <w:sz w:val="28"/>
          <w:szCs w:val="28"/>
        </w:rPr>
        <w:t>.投标人不接受报价文件中修正后的报价的；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4</w:t>
      </w:r>
      <w:r>
        <w:rPr>
          <w:rFonts w:hint="eastAsia" w:ascii="仿宋" w:hAnsi="仿宋" w:eastAsia="仿宋"/>
          <w:bCs/>
          <w:color w:val="000000"/>
          <w:sz w:val="28"/>
          <w:szCs w:val="28"/>
        </w:rPr>
        <w:t>.未按本章“二、投标文件的编制”第七点投标报价要求报价的；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5</w:t>
      </w:r>
      <w:r>
        <w:rPr>
          <w:rFonts w:hint="eastAsia" w:ascii="仿宋" w:hAnsi="仿宋" w:eastAsia="仿宋"/>
          <w:bCs/>
          <w:color w:val="000000"/>
          <w:sz w:val="28"/>
          <w:szCs w:val="28"/>
        </w:rPr>
        <w:t>.投标文件含有采购人不能接受的附加条件的；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6</w:t>
      </w:r>
      <w:r>
        <w:rPr>
          <w:rFonts w:hint="eastAsia" w:ascii="仿宋" w:hAnsi="仿宋" w:eastAsia="仿宋"/>
          <w:bCs/>
          <w:color w:val="000000"/>
          <w:sz w:val="28"/>
          <w:szCs w:val="28"/>
        </w:rPr>
        <w:t>.投标人被视为串通投标的；</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7</w:t>
      </w:r>
      <w:r>
        <w:rPr>
          <w:rFonts w:hint="eastAsia" w:ascii="仿宋" w:hAnsi="仿宋" w:eastAsia="仿宋"/>
          <w:bCs/>
          <w:color w:val="000000"/>
          <w:sz w:val="28"/>
          <w:szCs w:val="28"/>
        </w:rPr>
        <w:t>.不符合法律、法规和本招标文件规定的其他实质性要求的。</w:t>
      </w:r>
    </w:p>
    <w:p>
      <w:pPr>
        <w:pStyle w:val="31"/>
        <w:snapToGrid w:val="0"/>
        <w:spacing w:beforeLines="0" w:after="156" w:line="460" w:lineRule="exact"/>
        <w:ind w:left="759" w:leftChars="228" w:hanging="280" w:hangingChars="100"/>
        <w:rPr>
          <w:rFonts w:ascii="仿宋" w:hAnsi="仿宋" w:eastAsia="仿宋"/>
          <w:bCs/>
          <w:color w:val="000000"/>
          <w:sz w:val="28"/>
          <w:szCs w:val="28"/>
        </w:rPr>
      </w:pPr>
      <w:r>
        <w:rPr>
          <w:rFonts w:hint="eastAsia" w:ascii="仿宋" w:hAnsi="仿宋" w:eastAsia="仿宋"/>
          <w:bCs/>
          <w:color w:val="000000"/>
          <w:sz w:val="28"/>
          <w:szCs w:val="28"/>
        </w:rPr>
        <w:t>（十）错误修正</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电子交易平台客户端里开标一览表录入的投标报价信息与扫描上传的报价文件不一致的，以扫描上传的报价文件为准。</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投标文件报价出现前后不一致的，除招标文件另有规定外，按照下列规定修正：</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1.投标文件中开标一览表内容与投标文件中相应内容不一致的，以开标一览表为准；</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2.大写金额和小写金额不一致的，以大写金额为准；</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3.单价金额小数点或者百分比有明显错位的，以开标一览表的总价为准，并修改单价；</w:t>
      </w:r>
    </w:p>
    <w:p>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4.总价金额与按单价汇总金额不一致的，以单价金额计算结果为准。</w:t>
      </w:r>
    </w:p>
    <w:p>
      <w:pPr>
        <w:snapToGrid w:val="0"/>
        <w:spacing w:line="460" w:lineRule="exact"/>
        <w:ind w:firstLine="562" w:firstLineChars="200"/>
        <w:rPr>
          <w:rFonts w:ascii="仿宋" w:hAnsi="仿宋" w:eastAsia="仿宋"/>
          <w:bCs/>
          <w:color w:val="000000"/>
          <w:sz w:val="28"/>
          <w:szCs w:val="28"/>
        </w:rPr>
      </w:pPr>
      <w:r>
        <w:rPr>
          <w:rFonts w:hint="eastAsia" w:ascii="仿宋" w:hAnsi="仿宋" w:eastAsia="仿宋"/>
          <w:b/>
          <w:bCs/>
          <w:color w:val="000000"/>
          <w:sz w:val="28"/>
          <w:szCs w:val="28"/>
        </w:rPr>
        <w:t>同时出现两种以上不一致的，按照前款规定的顺序修正。修正后的报价按照经投标人加盖公章后产生约束力，投标人不确认的，其投标无效。</w:t>
      </w:r>
    </w:p>
    <w:p>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（十一）采购过程中的异常情况及处理措施</w:t>
      </w:r>
    </w:p>
    <w:p>
      <w:pPr>
        <w:pStyle w:val="31"/>
        <w:adjustRightInd w:val="0"/>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采购过程中出现以下情形，导致电子交易平台无法正常运行，或者无法保证电子交易的公平、公正和安全时，招标方可中止电子交易活动：</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1.电子交易平台发生故障而无法登录访问的；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2.电子交易平台应用或数据库出现错误，不能进行正常操作的；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3.电子交易平台发现严重安全漏洞，有潜在泄密危险的；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4.病毒发作导致不能进行正常操作的；</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5.其他无法保证电子交易的公平、公正和安全的情况。</w:t>
      </w:r>
    </w:p>
    <w:p>
      <w:pPr>
        <w:spacing w:line="440" w:lineRule="exact"/>
        <w:ind w:firstLine="562" w:firstLineChars="200"/>
        <w:rPr>
          <w:rFonts w:ascii="仿宋" w:hAnsi="仿宋" w:eastAsia="仿宋"/>
          <w:bCs/>
          <w:color w:val="000000"/>
          <w:sz w:val="28"/>
          <w:szCs w:val="28"/>
        </w:rPr>
      </w:pPr>
      <w:r>
        <w:rPr>
          <w:rFonts w:hint="eastAsia" w:ascii="仿宋" w:hAnsi="仿宋" w:eastAsia="仿宋"/>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三、开、评标程序及评标委员会的评审程序</w:t>
      </w:r>
    </w:p>
    <w:p>
      <w:pPr>
        <w:pStyle w:val="31"/>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（一）组织开标</w:t>
      </w:r>
    </w:p>
    <w:p>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招标方将按照招标文件规定的时间、地点和程序组织开标，各投标人授权代表及相关人员</w:t>
      </w:r>
      <w:r>
        <w:rPr>
          <w:rFonts w:hint="eastAsia" w:ascii="仿宋" w:hAnsi="仿宋" w:eastAsia="仿宋"/>
          <w:b/>
          <w:bCs/>
          <w:color w:val="000000"/>
          <w:sz w:val="28"/>
          <w:szCs w:val="28"/>
        </w:rPr>
        <w:t>均应当准时在线参加</w:t>
      </w:r>
      <w:r>
        <w:rPr>
          <w:rFonts w:hint="eastAsia" w:ascii="仿宋" w:hAnsi="仿宋" w:eastAsia="仿宋"/>
          <w:bCs/>
          <w:color w:val="000000"/>
          <w:sz w:val="28"/>
          <w:szCs w:val="28"/>
        </w:rPr>
        <w:t>，无关人员不得进入开标现场。</w:t>
      </w:r>
      <w:r>
        <w:rPr>
          <w:rFonts w:hint="eastAsia" w:ascii="仿宋" w:hAnsi="仿宋" w:eastAsia="仿宋"/>
          <w:b/>
          <w:bCs/>
          <w:color w:val="000000"/>
          <w:sz w:val="28"/>
          <w:szCs w:val="28"/>
        </w:rPr>
        <w:t>投标人如未准时在线参加的</w:t>
      </w:r>
      <w:r>
        <w:rPr>
          <w:rFonts w:hint="eastAsia" w:ascii="仿宋" w:hAnsi="仿宋" w:eastAsia="仿宋"/>
          <w:bCs/>
          <w:color w:val="000000"/>
          <w:sz w:val="28"/>
          <w:szCs w:val="28"/>
        </w:rPr>
        <w:t>，事后不得对采购相关人员、开标过程和开标结果提出异议。</w:t>
      </w:r>
    </w:p>
    <w:p>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 落实工作场地、设施，检查录音录像采集设备运行情况，验证电子交易平台是否能正常登录，并开启直播（如直播信号出现问题，不影响项目开标程序）。</w:t>
      </w:r>
    </w:p>
    <w:p>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 开标由招标方主持，主持人介绍开标现场的人员情况，宣读递交投标文件的投标人名单、递交备份投标文件的投标人名单、开标纪律、应当回避的情形等注意事项。</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3.投标截止时，电子交易平台自动提取所有电子投标文件。招标方点击[开始解密]按钮后，投标人可以在线解密，解密时限为30分钟。</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解密时限内未完成解密且按规定提供了备份投标文件的，招标方将在开标直播间拆封其备份投标文件，并导入电子交易平台。</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5.评标委员会在商务和技术评审结束后，主持人通过电子交易平台宣告商务和技术评审无效投标人名称及理由，有效投标人的商务和技术得分情况。</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6.招标方在电子交易平台开启投标人的报价文件信息，投标人对报价信息进行确认。投标人对报价信息不予确认的不影响后续评标过程。</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8.在电子交易平台上公布评审结果。</w:t>
      </w:r>
    </w:p>
    <w:p>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特别说明：政采云公司如对电子化开标及评审程序有调整的，按调整后的程序操作。</w:t>
      </w:r>
    </w:p>
    <w:p>
      <w:pPr>
        <w:pStyle w:val="31"/>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（二）组织评标程序</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招标方将按照招标文件规定的时间、地点和程序组织评标，各评审专家及相关人员应参加评审活动并接受核验、签到，无关人员不得进入评审现场。</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1、开启开标场地录音录像采集设备，并确保正常运行。</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2、按规定统一收缴、保存评标现场相关人员通讯工具。</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3、介绍评审现场的人员情况，宣布评审工作纪律，告知评审人员应当回避情形；组织推选评标委员会组长。</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4、宣读提交投标文件的供应商名单，组织评标委员会各位成员签订纸质形式的《政府采购评审人员廉洁自律承诺书》。</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5、采购人可以在评标前说明项目背景和采购需求，说明内容不得含有歧视性、倾向性意见，不得超出招标文件所述范围。说明应当提交书面材料，并随采购文件一并存档。</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7、采购人代表对投标人资格文件进行审查并</w:t>
      </w:r>
      <w:r>
        <w:rPr>
          <w:rFonts w:hint="eastAsia" w:ascii="仿宋" w:hAnsi="仿宋" w:eastAsia="仿宋"/>
          <w:color w:val="000000"/>
          <w:sz w:val="28"/>
          <w:szCs w:val="28"/>
        </w:rPr>
        <w:t>以开标当日为准</w:t>
      </w:r>
      <w:r>
        <w:rPr>
          <w:rFonts w:hint="eastAsia" w:ascii="仿宋" w:hAnsi="仿宋" w:eastAsia="仿宋"/>
          <w:bCs/>
          <w:color w:val="000000"/>
          <w:sz w:val="28"/>
          <w:szCs w:val="28"/>
        </w:rPr>
        <w:t>对投标人“信用中国”网站（www.creditchina.gov.cn）、中国政府采购网（www.ccgp.gov.cn）信用记录情况进行核实，资格不符合的，应组织相关投标人代表进行陈述、澄清或申辩。</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9、做好评审现场相关记录，协助评标委员会组长做好评审报告起草、有关内容电脑文字录入等工作，并要求评标委员会各成员签字确认。</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pPr>
        <w:pStyle w:val="31"/>
        <w:snapToGrid w:val="0"/>
        <w:spacing w:before="156" w:after="156" w:line="460" w:lineRule="exact"/>
        <w:ind w:firstLine="551" w:firstLineChars="196"/>
        <w:rPr>
          <w:rFonts w:ascii="仿宋" w:hAnsi="仿宋" w:eastAsia="仿宋"/>
          <w:bCs/>
          <w:color w:val="000000"/>
          <w:sz w:val="28"/>
          <w:szCs w:val="28"/>
        </w:rPr>
      </w:pPr>
      <w:r>
        <w:rPr>
          <w:rFonts w:hint="eastAsia" w:ascii="仿宋" w:hAnsi="仿宋" w:eastAsia="仿宋"/>
          <w:b/>
          <w:bCs/>
          <w:color w:val="000000"/>
          <w:sz w:val="28"/>
          <w:szCs w:val="28"/>
        </w:rPr>
        <w:t>11、招标方将在《中标公告》中，公开评标委员会对每个投标人的《评分明细》以及《得分汇总表》情况。</w:t>
      </w:r>
      <w:r>
        <w:rPr>
          <w:rFonts w:ascii="Calibri" w:hAnsi="Calibri" w:eastAsia="仿宋" w:cs="Calibri"/>
          <w:b/>
          <w:bCs/>
          <w:color w:val="000000"/>
          <w:sz w:val="28"/>
          <w:szCs w:val="28"/>
        </w:rPr>
        <w:t> </w:t>
      </w:r>
      <w:r>
        <w:rPr>
          <w:rFonts w:hint="eastAsia" w:ascii="仿宋" w:hAnsi="仿宋" w:eastAsia="仿宋"/>
          <w:b/>
          <w:bCs/>
          <w:color w:val="000000"/>
          <w:sz w:val="28"/>
          <w:szCs w:val="28"/>
        </w:rPr>
        <w:tab/>
      </w:r>
    </w:p>
    <w:p>
      <w:pPr>
        <w:pStyle w:val="31"/>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（三）评审程序</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1、在评审专家中推选评标委员会组长。</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3、评审人员对各投标人投标文件的有效性、符合性、完整性和响应程度进行审查，确定是否对招标文件作出实质性响应。</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4、评审人员按招标文件规定的评审方法和评审标准，依法独立对投标人投标文件进行评估、比较，并给予评价或打分，不受任何单位和个人的干预。</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 xml:space="preserve">7、评标委员会根据评审汇总情况和招标文件规定确定中标候选供应商排序名单。 </w:t>
      </w:r>
    </w:p>
    <w:p>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8、起草评审报告，所有评审人员须在评审报告上签字确认。</w:t>
      </w:r>
    </w:p>
    <w:p>
      <w:pPr>
        <w:pStyle w:val="31"/>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四、评审原则</w:t>
      </w:r>
    </w:p>
    <w:p>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五、确定中标供应商的原则</w:t>
      </w:r>
    </w:p>
    <w:p>
      <w:pPr>
        <w:pStyle w:val="31"/>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1.项目由评标委员会根据第三章《评标办法与评分标准》规定提出中标候选人排序。</w:t>
      </w:r>
    </w:p>
    <w:p>
      <w:pPr>
        <w:pStyle w:val="31"/>
        <w:snapToGrid w:val="0"/>
        <w:spacing w:before="156" w:after="156" w:line="460" w:lineRule="exact"/>
        <w:ind w:firstLine="560" w:firstLineChars="200"/>
        <w:rPr>
          <w:rFonts w:ascii="仿宋" w:hAnsi="仿宋" w:eastAsia="仿宋"/>
          <w:color w:val="000000"/>
          <w:sz w:val="28"/>
          <w:szCs w:val="28"/>
        </w:rPr>
      </w:pPr>
      <w:r>
        <w:rPr>
          <w:rFonts w:hint="eastAsia" w:hAnsi="宋体" w:cs="Times New Roman"/>
          <w:color w:val="000000"/>
          <w:sz w:val="28"/>
          <w:szCs w:val="28"/>
        </w:rPr>
        <w:t xml:space="preserve"> </w:t>
      </w:r>
      <w:r>
        <w:rPr>
          <w:rFonts w:hint="eastAsia" w:ascii="仿宋" w:hAnsi="仿宋" w:eastAsia="仿宋"/>
          <w:color w:val="000000"/>
          <w:sz w:val="28"/>
          <w:szCs w:val="28"/>
        </w:rPr>
        <w:t>2.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pPr>
        <w:pStyle w:val="31"/>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sz w:val="28"/>
          <w:szCs w:val="28"/>
        </w:rPr>
        <w:t>。</w:t>
      </w:r>
    </w:p>
    <w:p>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六、合同授予</w:t>
      </w:r>
    </w:p>
    <w:p>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（一）签订合同</w:t>
      </w:r>
    </w:p>
    <w:p>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1.采购人与中标人应当在《中标通知书》发出之日起30日内签订政府采购合同。</w:t>
      </w:r>
    </w:p>
    <w:p>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2.中标人拖延、拒签合同的,将被取消中标资格。</w:t>
      </w:r>
    </w:p>
    <w:p>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1"/>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（二）履约保证金</w:t>
      </w:r>
    </w:p>
    <w:p>
      <w:pPr>
        <w:pStyle w:val="31"/>
        <w:snapToGrid w:val="0"/>
        <w:spacing w:before="312" w:beforeLines="100" w:after="312" w:afterLines="10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pPr>
        <w:pStyle w:val="31"/>
        <w:snapToGrid w:val="0"/>
        <w:spacing w:before="156" w:after="156" w:line="460" w:lineRule="exact"/>
        <w:ind w:firstLine="554" w:firstLineChars="198"/>
        <w:rPr>
          <w:rFonts w:ascii="仿宋" w:hAnsi="仿宋" w:eastAsia="仿宋"/>
          <w:color w:val="000000"/>
          <w:sz w:val="28"/>
          <w:szCs w:val="28"/>
        </w:rPr>
      </w:pPr>
      <w:r>
        <w:rPr>
          <w:rFonts w:hint="eastAsia" w:ascii="仿宋" w:hAnsi="仿宋" w:eastAsia="仿宋"/>
          <w:color w:val="000000"/>
          <w:sz w:val="28"/>
          <w:szCs w:val="28"/>
        </w:rPr>
        <w:t>2.按合同约定办理履约保证金退还手续。</w:t>
      </w:r>
    </w:p>
    <w:p>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七、货款的结算</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货款由采购人按采购文件规定的付款方式自行支付。纳入国库集中支付的，按照国库集中支付有关规定付款。</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 w:hAnsi="仿宋" w:eastAsia="仿宋"/>
          <w:color w:val="000000"/>
          <w:sz w:val="28"/>
          <w:szCs w:val="28"/>
        </w:rPr>
        <w:t>浙江省财政厅关于进一步加大政府采购支持中小企业力度助力扎实稳住经济的通知</w:t>
      </w:r>
      <w:r>
        <w:rPr>
          <w:rFonts w:hint="eastAsia" w:ascii="仿宋" w:hAnsi="仿宋" w:eastAsia="仿宋"/>
          <w:color w:val="000000"/>
          <w:sz w:val="28"/>
          <w:szCs w:val="28"/>
        </w:rPr>
        <w:t>》等相关规范，对预付款支付要求如下：</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1.对中小企业合同预付款比例原则上不低于合同金额的40％，不高于合同金额的70%；</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2.项目分年安排预算的，每年预付款比例不低于项目年度计划支付资金额的40％，不高于年度计划支付资金额的70%；</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3.采购项目实施以人工投入为主的，可适当降低预付款比例，但不得低于20%。</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4.对供应商为大型企业的项目或者以人工投入为主且实行按月定期结算支付款项的项目，预付款可低于上述比例或者不约定预付款。</w:t>
      </w:r>
    </w:p>
    <w:p>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备注：在签订合同时，供应商明确表示无需预付款或者主动要求降低预付款比例的，采购单位可不适用前述预付款比例的规定。</w:t>
      </w:r>
    </w:p>
    <w:p>
      <w:pPr>
        <w:pStyle w:val="31"/>
        <w:spacing w:before="156" w:after="156" w:line="360" w:lineRule="auto"/>
        <w:jc w:val="center"/>
        <w:outlineLvl w:val="0"/>
        <w:rPr>
          <w:rFonts w:hAnsi="宋体"/>
          <w:b/>
          <w:color w:val="000000"/>
          <w:sz w:val="36"/>
          <w:szCs w:val="36"/>
        </w:rPr>
      </w:pPr>
      <w:r>
        <w:rPr>
          <w:rFonts w:hint="eastAsia" w:hAnsi="宋体"/>
          <w:b/>
          <w:color w:val="000000"/>
          <w:kern w:val="0"/>
          <w:sz w:val="36"/>
          <w:szCs w:val="36"/>
        </w:rPr>
        <w:br w:type="page"/>
      </w:r>
      <w:bookmarkStart w:id="26" w:name="_Toc496796637"/>
      <w:bookmarkStart w:id="27" w:name="_Toc2834"/>
      <w:r>
        <w:rPr>
          <w:rFonts w:hint="eastAsia" w:hAnsi="宋体"/>
          <w:b/>
          <w:color w:val="000000"/>
          <w:sz w:val="36"/>
          <w:szCs w:val="36"/>
        </w:rPr>
        <w:t>第三章</w:t>
      </w:r>
      <w:bookmarkStart w:id="28" w:name="评标办法及评分标准"/>
      <w:r>
        <w:rPr>
          <w:rFonts w:hint="eastAsia" w:hAnsi="宋体"/>
          <w:b/>
          <w:color w:val="000000"/>
          <w:sz w:val="36"/>
          <w:szCs w:val="36"/>
          <w:lang w:val="en-US" w:eastAsia="zh-CN"/>
        </w:rPr>
        <w:t xml:space="preserve">  </w:t>
      </w:r>
      <w:r>
        <w:rPr>
          <w:rFonts w:hint="eastAsia" w:hAnsi="宋体"/>
          <w:b/>
          <w:color w:val="000000"/>
          <w:sz w:val="36"/>
          <w:szCs w:val="36"/>
        </w:rPr>
        <w:t>评标办法及评分标准</w:t>
      </w:r>
      <w:bookmarkEnd w:id="26"/>
      <w:bookmarkEnd w:id="27"/>
      <w:bookmarkEnd w:id="28"/>
    </w:p>
    <w:p>
      <w:pPr>
        <w:spacing w:before="156" w:beforeLines="50" w:after="156" w:afterLines="50" w:line="460" w:lineRule="exact"/>
        <w:ind w:firstLine="420"/>
        <w:rPr>
          <w:rFonts w:ascii="仿宋" w:hAnsi="仿宋" w:eastAsia="仿宋"/>
          <w:color w:val="000000"/>
          <w:sz w:val="30"/>
          <w:szCs w:val="30"/>
        </w:rPr>
      </w:pPr>
      <w:r>
        <w:rPr>
          <w:rFonts w:hint="eastAsia" w:ascii="仿宋" w:hAnsi="仿宋" w:eastAsia="仿宋"/>
          <w:color w:val="000000"/>
          <w:sz w:val="30"/>
          <w:szCs w:val="30"/>
        </w:rPr>
        <w:t>根据《中华人民共和国政府采购法》等有关法律法规，结合本项目的实际需求，制定本办法。</w:t>
      </w:r>
    </w:p>
    <w:p>
      <w:pPr>
        <w:spacing w:before="156" w:beforeLines="50" w:after="156" w:afterLines="50" w:line="460" w:lineRule="exact"/>
        <w:ind w:firstLine="590" w:firstLineChars="196"/>
        <w:rPr>
          <w:rFonts w:ascii="仿宋" w:hAnsi="仿宋" w:eastAsia="仿宋"/>
          <w:b/>
          <w:color w:val="000000"/>
          <w:sz w:val="30"/>
          <w:szCs w:val="30"/>
        </w:rPr>
      </w:pPr>
      <w:r>
        <w:rPr>
          <w:rFonts w:hint="eastAsia" w:ascii="仿宋" w:hAnsi="仿宋" w:eastAsia="仿宋"/>
          <w:b/>
          <w:color w:val="000000"/>
          <w:sz w:val="30"/>
          <w:szCs w:val="30"/>
        </w:rPr>
        <w:t>一、总则</w:t>
      </w:r>
    </w:p>
    <w:p>
      <w:pPr>
        <w:pStyle w:val="21"/>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pPr>
        <w:pStyle w:val="21"/>
        <w:ind w:firstLine="562" w:firstLineChars="200"/>
        <w:rPr>
          <w:rFonts w:ascii="仿宋" w:hAnsi="仿宋" w:eastAsia="仿宋"/>
          <w:color w:val="000000"/>
          <w:sz w:val="30"/>
          <w:szCs w:val="30"/>
        </w:rPr>
      </w:pPr>
      <w:r>
        <w:rPr>
          <w:rFonts w:hint="eastAsia" w:ascii="仿宋" w:hAnsi="仿宋" w:eastAsia="仿宋" w:cs="仿宋"/>
          <w:b/>
          <w:bCs/>
          <w:sz w:val="28"/>
          <w:szCs w:val="28"/>
          <w:lang w:val="en-US" w:eastAsia="zh-CN"/>
        </w:rPr>
        <w:t>中标候选人数量</w:t>
      </w:r>
      <w:r>
        <w:rPr>
          <w:rFonts w:hint="eastAsia" w:ascii="仿宋" w:hAnsi="仿宋" w:eastAsia="仿宋" w:cs="仿宋"/>
          <w:sz w:val="28"/>
          <w:szCs w:val="28"/>
          <w:lang w:val="en-US" w:eastAsia="zh-CN"/>
        </w:rPr>
        <w:t>：有效投标供应商数量等于3家时，中标候选人数量为1家；有效投标供应商数量等于4家时，中标候选人数量为2家；有效投标供应商数量大于等于5家时，中标候选人数量为3家。</w:t>
      </w:r>
    </w:p>
    <w:p>
      <w:pPr>
        <w:spacing w:before="156" w:beforeLines="50" w:after="156"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二、分值的计算</w:t>
      </w:r>
    </w:p>
    <w:p>
      <w:pPr>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技术、资信、商务及其他分按照评标委员会成员的独立评分结果汇总后的算术平均分计算，计算公式为：</w:t>
      </w:r>
    </w:p>
    <w:p>
      <w:pPr>
        <w:spacing w:before="156" w:beforeLines="50" w:after="156" w:afterLines="50" w:line="460" w:lineRule="exact"/>
        <w:ind w:firstLine="495"/>
        <w:rPr>
          <w:rFonts w:ascii="仿宋" w:hAnsi="仿宋" w:eastAsia="仿宋"/>
          <w:color w:val="000000"/>
          <w:sz w:val="30"/>
          <w:szCs w:val="30"/>
        </w:rPr>
      </w:pPr>
      <w:r>
        <w:rPr>
          <w:rFonts w:hint="eastAsia" w:ascii="仿宋" w:hAnsi="仿宋" w:eastAsia="仿宋"/>
          <w:color w:val="000000"/>
          <w:sz w:val="30"/>
          <w:szCs w:val="30"/>
        </w:rPr>
        <w:t>技术、资信商务及其他分=评标委员会所有成员评分合计数/评标委员会组成人员数</w:t>
      </w:r>
    </w:p>
    <w:p>
      <w:pPr>
        <w:spacing w:before="156" w:beforeLines="50" w:after="156" w:afterLines="50" w:line="460" w:lineRule="exact"/>
        <w:ind w:firstLine="600" w:firstLineChars="200"/>
        <w:rPr>
          <w:rFonts w:ascii="仿宋" w:hAnsi="仿宋" w:eastAsia="仿宋"/>
          <w:bCs/>
          <w:color w:val="000000"/>
          <w:sz w:val="30"/>
          <w:szCs w:val="30"/>
        </w:rPr>
      </w:pPr>
      <w:r>
        <w:rPr>
          <w:rFonts w:hint="eastAsia" w:ascii="仿宋" w:hAnsi="仿宋" w:eastAsia="仿宋"/>
          <w:color w:val="000000"/>
          <w:sz w:val="30"/>
          <w:szCs w:val="30"/>
        </w:rPr>
        <w:t>投标人评标</w:t>
      </w:r>
      <w:r>
        <w:rPr>
          <w:rFonts w:hint="eastAsia" w:ascii="仿宋" w:hAnsi="仿宋" w:eastAsia="仿宋"/>
          <w:bCs/>
          <w:color w:val="000000"/>
          <w:sz w:val="30"/>
          <w:szCs w:val="30"/>
        </w:rPr>
        <w:t>综合得分=价格分+(技术分+资信商务及其他分)</w:t>
      </w:r>
    </w:p>
    <w:p>
      <w:pPr>
        <w:spacing w:before="156" w:beforeLines="50" w:after="156" w:afterLines="50" w:line="460" w:lineRule="exact"/>
        <w:ind w:firstLine="602" w:firstLineChars="200"/>
        <w:rPr>
          <w:rFonts w:ascii="仿宋" w:hAnsi="仿宋" w:eastAsia="仿宋"/>
          <w:b/>
          <w:bCs/>
          <w:color w:val="000000"/>
          <w:sz w:val="30"/>
          <w:szCs w:val="30"/>
        </w:rPr>
      </w:pPr>
    </w:p>
    <w:p>
      <w:pPr>
        <w:spacing w:before="156" w:beforeLines="50" w:after="156" w:afterLines="50" w:line="460" w:lineRule="exact"/>
        <w:ind w:firstLine="602" w:firstLineChars="200"/>
        <w:rPr>
          <w:rFonts w:ascii="仿宋" w:hAnsi="仿宋" w:eastAsia="宋体"/>
          <w:bCs/>
          <w:color w:val="000000"/>
          <w:sz w:val="30"/>
          <w:szCs w:val="30"/>
        </w:rPr>
      </w:pPr>
      <w:r>
        <w:rPr>
          <w:rFonts w:hint="eastAsia" w:ascii="仿宋" w:hAnsi="仿宋" w:eastAsia="仿宋"/>
          <w:b/>
          <w:bCs/>
          <w:color w:val="000000"/>
          <w:sz w:val="30"/>
          <w:szCs w:val="30"/>
        </w:rPr>
        <w:t>特别提醒：</w:t>
      </w:r>
      <w:r>
        <w:rPr>
          <w:rFonts w:hint="eastAsia" w:ascii="仿宋" w:hAnsi="仿宋" w:eastAsia="仿宋"/>
          <w:bCs/>
          <w:color w:val="000000"/>
          <w:sz w:val="30"/>
          <w:szCs w:val="30"/>
        </w:rPr>
        <w:t>评标委员会对每个投标人的评分明细以及得分汇总表情况在中标公告中公布。</w:t>
      </w:r>
    </w:p>
    <w:p>
      <w:pPr>
        <w:spacing w:before="156" w:beforeLines="50" w:after="156" w:afterLines="50" w:line="320" w:lineRule="exact"/>
        <w:rPr>
          <w:rFonts w:ascii="仿宋" w:hAnsi="仿宋" w:eastAsia="仿宋_GB2312"/>
          <w:b/>
          <w:color w:val="000000"/>
          <w:sz w:val="30"/>
          <w:szCs w:val="30"/>
        </w:rPr>
      </w:pPr>
      <w:r>
        <w:rPr>
          <w:rFonts w:hint="eastAsia" w:ascii="仿宋" w:hAnsi="仿宋" w:eastAsia="仿宋_GB2312"/>
          <w:bCs/>
          <w:color w:val="000000"/>
          <w:kern w:val="0"/>
          <w:sz w:val="30"/>
          <w:szCs w:val="30"/>
        </w:rPr>
        <w:br w:type="page"/>
      </w:r>
      <w:r>
        <w:rPr>
          <w:rFonts w:hint="eastAsia" w:ascii="仿宋" w:hAnsi="仿宋" w:eastAsia="仿宋_GB2312"/>
          <w:b/>
          <w:color w:val="000000"/>
          <w:sz w:val="32"/>
          <w:szCs w:val="32"/>
        </w:rPr>
        <w:t>三、评标内容及标</w:t>
      </w:r>
      <w:r>
        <w:rPr>
          <w:rFonts w:hint="eastAsia" w:ascii="仿宋" w:hAnsi="仿宋" w:eastAsia="仿宋_GB2312"/>
          <w:b/>
          <w:color w:val="000000"/>
          <w:sz w:val="30"/>
          <w:szCs w:val="30"/>
        </w:rPr>
        <w:t>准</w:t>
      </w:r>
      <w:bookmarkStart w:id="29" w:name="_Toc496796638"/>
    </w:p>
    <w:tbl>
      <w:tblPr>
        <w:tblStyle w:val="59"/>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94"/>
        <w:gridCol w:w="5030"/>
        <w:gridCol w:w="81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序号</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评分类型</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评分标准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分值</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打分方式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报价</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(最低报价/投标报价)*最大分值</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30</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投标方针对招标内容及需求的响应情况，完全满足的，得</w:t>
            </w:r>
            <w:r>
              <w:rPr>
                <w:rFonts w:hint="eastAsia" w:ascii="仿宋" w:hAnsi="仿宋" w:eastAsia="仿宋" w:cs="仿宋"/>
                <w:bCs/>
                <w:color w:val="auto"/>
                <w:sz w:val="28"/>
                <w:szCs w:val="28"/>
                <w:highlight w:val="none"/>
                <w:lang w:val="en-US" w:eastAsia="zh-CN"/>
              </w:rPr>
              <w:t>24</w:t>
            </w:r>
            <w:r>
              <w:rPr>
                <w:rFonts w:hint="eastAsia" w:ascii="仿宋" w:hAnsi="仿宋" w:eastAsia="仿宋" w:cs="仿宋"/>
                <w:bCs/>
                <w:color w:val="auto"/>
                <w:sz w:val="28"/>
                <w:szCs w:val="28"/>
                <w:highlight w:val="none"/>
              </w:rPr>
              <w:t>分。需求发生负偏离或缺漏项的每项扣0.</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分</w:t>
            </w:r>
            <w:r>
              <w:rPr>
                <w:rFonts w:hint="eastAsia" w:ascii="仿宋" w:hAnsi="仿宋" w:eastAsia="仿宋" w:cs="仿宋"/>
                <w:bCs/>
                <w:color w:val="auto"/>
                <w:sz w:val="28"/>
                <w:szCs w:val="28"/>
                <w:highlight w:val="none"/>
                <w:lang w:val="en-US" w:eastAsia="zh-CN"/>
              </w:rPr>
              <w:t>;最低分值为0</w:t>
            </w:r>
            <w:r>
              <w:rPr>
                <w:rFonts w:hint="eastAsia" w:ascii="仿宋" w:hAnsi="仿宋" w:eastAsia="仿宋" w:cs="仿宋"/>
                <w:bCs/>
                <w:color w:val="auto"/>
                <w:sz w:val="28"/>
                <w:szCs w:val="28"/>
                <w:highlight w:val="none"/>
              </w:rPr>
              <w:t>。提供“技术响应表”。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24</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459" w:type="pct"/>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对性能指标、技术参数属正偏或高配的、有先进程度的正偏离每项加1分，最高得5分，无实质性意义的正偏离不加分。</w:t>
            </w:r>
          </w:p>
        </w:tc>
        <w:tc>
          <w:tcPr>
            <w:tcW w:w="471" w:type="pct"/>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705" w:type="pct"/>
            <w:tcBorders>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主</w:t>
            </w:r>
            <w:r>
              <w:rPr>
                <w:rFonts w:hint="eastAsia" w:ascii="仿宋" w:hAnsi="仿宋" w:eastAsia="仿宋" w:cs="仿宋"/>
                <w:bCs/>
                <w:color w:val="auto"/>
                <w:sz w:val="28"/>
                <w:szCs w:val="28"/>
                <w:highlight w:val="none"/>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提供市场监管总局关于发布参与实施政府采购节能产品、环境标志产品认证机构名录的公告（2019第16号）通过《参与实施政府采购节能产品认证机构名录》认证机构认证的环境标志产品认证证书或者证书的查询网址及截图的，得1分, 节能产品认证证书或者证书的查询网址及截图的，得1分。</w:t>
            </w: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705" w:type="pct"/>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459" w:type="pct"/>
            <w:tcBorders>
              <w:top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tcBorders>
              <w:top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产品性能、特点：根据供应商所投产品的主要性能（1分）、特点（1分）、操作说明（1分）和质量水平（1分）进行综合打分。</w:t>
            </w:r>
          </w:p>
        </w:tc>
        <w:tc>
          <w:tcPr>
            <w:tcW w:w="471" w:type="pct"/>
            <w:tcBorders>
              <w:top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705" w:type="pct"/>
            <w:tcBorders>
              <w:top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项目实施方案：根据供应商提供的项目实施方案的全面性（1分）、可行性（1分）、项目管理措施科学性（1分）、完整性（1分）进行综合打分。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项目实施进度计划：根据供应商提供的项目实施进度计划的针对性（1分）、合理性（1分）、完整性（1分）、全面性（1分）进行综合打分。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项目验收方案：根据供应商提供的项目验收方案的针对性（1分）、合理性（1分）、完整性（1分）、适应性（1分）进行综合打分。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w:t>
            </w:r>
            <w:r>
              <w:rPr>
                <w:rFonts w:hint="eastAsia" w:ascii="仿宋" w:hAnsi="仿宋" w:eastAsia="仿宋" w:cs="仿宋"/>
                <w:bCs/>
                <w:color w:val="auto"/>
                <w:sz w:val="28"/>
                <w:szCs w:val="28"/>
                <w:highlight w:val="none"/>
                <w:lang w:eastAsia="zh-CN"/>
              </w:rPr>
              <w:t>负责人</w:t>
            </w:r>
            <w:r>
              <w:rPr>
                <w:rFonts w:hint="eastAsia" w:ascii="仿宋" w:hAnsi="仿宋" w:eastAsia="仿宋" w:cs="仿宋"/>
                <w:bCs/>
                <w:color w:val="auto"/>
                <w:sz w:val="28"/>
                <w:szCs w:val="28"/>
                <w:highlight w:val="none"/>
              </w:rPr>
              <w:t>：根据供应商拟投入本项目的项目负责人的整体能力情况（工作履历（1分）、学历（1分）、技术能力（1分）进行综合打分。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项目团队</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供应商拟投入本项目的</w:t>
            </w:r>
            <w:r>
              <w:rPr>
                <w:rFonts w:hint="eastAsia" w:ascii="仿宋" w:hAnsi="仿宋" w:eastAsia="仿宋" w:cs="仿宋"/>
                <w:bCs/>
                <w:color w:val="auto"/>
                <w:sz w:val="28"/>
                <w:szCs w:val="28"/>
                <w:highlight w:val="none"/>
                <w:lang w:eastAsia="zh-CN"/>
              </w:rPr>
              <w:t>团队</w:t>
            </w:r>
            <w:r>
              <w:rPr>
                <w:rFonts w:hint="eastAsia" w:ascii="仿宋" w:hAnsi="仿宋" w:eastAsia="仿宋" w:cs="仿宋"/>
                <w:bCs/>
                <w:color w:val="auto"/>
                <w:sz w:val="28"/>
                <w:szCs w:val="28"/>
                <w:highlight w:val="none"/>
              </w:rPr>
              <w:t>人员</w:t>
            </w:r>
            <w:r>
              <w:rPr>
                <w:rFonts w:hint="eastAsia" w:ascii="仿宋" w:hAnsi="仿宋" w:eastAsia="仿宋" w:cs="仿宋"/>
                <w:bCs/>
                <w:color w:val="auto"/>
                <w:sz w:val="28"/>
                <w:szCs w:val="28"/>
                <w:highlight w:val="none"/>
                <w:lang w:eastAsia="zh-CN"/>
              </w:rPr>
              <w:t>数量（≥</w:t>
            </w:r>
            <w:r>
              <w:rPr>
                <w:rFonts w:hint="eastAsia" w:ascii="仿宋" w:hAnsi="仿宋" w:eastAsia="仿宋" w:cs="仿宋"/>
                <w:bCs/>
                <w:color w:val="auto"/>
                <w:sz w:val="28"/>
                <w:szCs w:val="28"/>
                <w:highlight w:val="none"/>
                <w:lang w:val="en-US" w:eastAsia="zh-CN"/>
              </w:rPr>
              <w:t>5人得1分，不满足不得分</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工作履历（1分）进行综合打分。（提供履历表和相关资料）</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投标人须承诺项目建设全过程中无版权、知识产权问题</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（需提供承诺函，承诺函格式自拟，提供承诺函的得2分，未提供承诺函不得分）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产品质保是否有延长，在满足最低采购需求的基础上，每延长一年（所有设备/软件均延长）得1分,最高得</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分。不满足的不得分。</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项目维护计划（质保期、三包、服务承诺函、备品备件等情况），详见商务要求表。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3</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售后服务的响应情况（供货方案及时效性，对用户故障响应、处理等），详见商务要求表。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13</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技术培训方案、计划的可行性及合理性，详见商务要求表。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投标人技术力量情况，详见商务要求表。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15</w:t>
            </w:r>
          </w:p>
        </w:tc>
        <w:tc>
          <w:tcPr>
            <w:tcW w:w="459"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商务资信</w:t>
            </w:r>
          </w:p>
        </w:tc>
        <w:tc>
          <w:tcPr>
            <w:tcW w:w="2908"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经验或业绩，详见商务要求表。</w:t>
            </w:r>
          </w:p>
        </w:tc>
        <w:tc>
          <w:tcPr>
            <w:tcW w:w="471"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705" w:type="pct"/>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36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客观分</w:t>
            </w:r>
          </w:p>
        </w:tc>
      </w:tr>
    </w:tbl>
    <w:p>
      <w:pPr>
        <w:spacing w:after="312" w:afterLines="100" w:line="340" w:lineRule="exact"/>
        <w:jc w:val="both"/>
        <w:outlineLvl w:val="0"/>
        <w:rPr>
          <w:rFonts w:hAnsi="宋体"/>
          <w:b/>
          <w:color w:val="000000"/>
          <w:sz w:val="36"/>
          <w:szCs w:val="36"/>
        </w:rPr>
      </w:pPr>
    </w:p>
    <w:p>
      <w:pPr>
        <w:spacing w:after="312" w:afterLines="100" w:line="340" w:lineRule="exact"/>
        <w:jc w:val="center"/>
        <w:outlineLvl w:val="0"/>
        <w:rPr>
          <w:rFonts w:hAnsi="宋体"/>
          <w:b/>
          <w:color w:val="000000"/>
          <w:sz w:val="36"/>
          <w:szCs w:val="36"/>
        </w:rPr>
      </w:pPr>
      <w:bookmarkStart w:id="30" w:name="_Toc24960"/>
      <w:r>
        <w:rPr>
          <w:rFonts w:hint="eastAsia" w:hAnsi="宋体"/>
          <w:b/>
          <w:color w:val="000000"/>
          <w:sz w:val="36"/>
          <w:szCs w:val="36"/>
        </w:rPr>
        <w:t>第四章招标需求</w:t>
      </w:r>
      <w:bookmarkEnd w:id="29"/>
      <w:bookmarkEnd w:id="30"/>
    </w:p>
    <w:p>
      <w:pPr>
        <w:snapToGrid w:val="0"/>
        <w:spacing w:before="156" w:beforeLines="50" w:after="156" w:afterLines="50"/>
        <w:rPr>
          <w:rFonts w:ascii="宋体" w:hAnsi="宋体" w:eastAsia="宋体"/>
          <w:b/>
          <w:color w:val="000000"/>
          <w:spacing w:val="40"/>
          <w:kern w:val="0"/>
          <w:sz w:val="36"/>
          <w:szCs w:val="36"/>
        </w:rPr>
      </w:pPr>
    </w:p>
    <w:p>
      <w:pPr>
        <w:snapToGrid w:val="0"/>
        <w:spacing w:before="156" w:beforeLines="50" w:after="156" w:afterLines="50"/>
        <w:rPr>
          <w:rFonts w:ascii="仿宋" w:hAnsi="仿宋" w:eastAsia="仿宋"/>
          <w:b/>
          <w:color w:val="000000"/>
          <w:spacing w:val="40"/>
          <w:kern w:val="0"/>
          <w:sz w:val="28"/>
          <w:szCs w:val="28"/>
        </w:rPr>
      </w:pPr>
      <w:r>
        <w:rPr>
          <w:rFonts w:hint="eastAsia" w:ascii="仿宋" w:hAnsi="仿宋" w:eastAsia="仿宋"/>
          <w:b/>
          <w:color w:val="000000"/>
          <w:spacing w:val="40"/>
          <w:kern w:val="0"/>
          <w:sz w:val="28"/>
          <w:szCs w:val="28"/>
        </w:rPr>
        <w:t>特别说明：</w:t>
      </w:r>
    </w:p>
    <w:p>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1.除采购文件明确的品牌外，欢迎其他能满足本项目技术需求且性能与所明确品牌相当的产品参加。</w:t>
      </w:r>
    </w:p>
    <w:p>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2.需求中不允许偏离的实质性要求和条件，以“▲”号标明，如投标人未响应的，将被视为无效。</w:t>
      </w:r>
    </w:p>
    <w:p>
      <w:pPr>
        <w:spacing w:line="360" w:lineRule="auto"/>
        <w:ind w:firstLine="562" w:firstLineChars="200"/>
        <w:rPr>
          <w:rFonts w:ascii="仿宋" w:hAnsi="仿宋" w:eastAsia="仿宋_GB2312"/>
          <w:b/>
          <w:color w:val="000000"/>
          <w:sz w:val="30"/>
          <w:szCs w:val="30"/>
        </w:rPr>
      </w:pPr>
      <w:r>
        <w:rPr>
          <w:rFonts w:hint="eastAsia" w:ascii="仿宋" w:hAnsi="仿宋" w:eastAsia="仿宋"/>
          <w:b/>
          <w:color w:val="000000"/>
          <w:sz w:val="28"/>
          <w:szCs w:val="28"/>
        </w:rPr>
        <w:t>3.核心产品在各标项内容中明确，如出现同品牌情况的，评标委员会根据评审原则第4条规定执行</w:t>
      </w:r>
      <w:r>
        <w:rPr>
          <w:rFonts w:hint="eastAsia" w:ascii="仿宋" w:hAnsi="仿宋" w:eastAsia="仿宋_GB2312"/>
          <w:b/>
          <w:color w:val="000000"/>
          <w:sz w:val="30"/>
          <w:szCs w:val="30"/>
        </w:rPr>
        <w:t>。</w:t>
      </w:r>
    </w:p>
    <w:p>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5</w:t>
      </w:r>
      <w:r>
        <w:rPr>
          <w:rFonts w:ascii="仿宋" w:hAnsi="仿宋" w:eastAsia="仿宋"/>
          <w:b/>
          <w:color w:val="000000"/>
          <w:sz w:val="28"/>
          <w:szCs w:val="28"/>
        </w:rPr>
        <w:t>.</w:t>
      </w:r>
      <w:r>
        <w:rPr>
          <w:rFonts w:hint="eastAsia" w:ascii="仿宋" w:hAnsi="仿宋" w:eastAsia="仿宋"/>
          <w:b/>
          <w:color w:val="000000"/>
          <w:sz w:val="28"/>
          <w:szCs w:val="28"/>
        </w:rPr>
        <w:t xml:space="preserve">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pPr>
        <w:spacing w:line="360" w:lineRule="auto"/>
        <w:ind w:firstLine="562" w:firstLineChars="200"/>
        <w:rPr>
          <w:rFonts w:ascii="仿宋" w:hAnsi="仿宋" w:eastAsia="仿宋"/>
          <w:b/>
          <w:color w:val="000000"/>
          <w:sz w:val="28"/>
          <w:szCs w:val="28"/>
        </w:rPr>
      </w:pPr>
      <w:r>
        <w:rPr>
          <w:rFonts w:ascii="仿宋" w:hAnsi="仿宋" w:eastAsia="仿宋"/>
          <w:b/>
          <w:color w:val="000000"/>
          <w:sz w:val="28"/>
          <w:szCs w:val="28"/>
        </w:rPr>
        <w:t>6.</w:t>
      </w:r>
      <w:r>
        <w:rPr>
          <w:rFonts w:hint="eastAsia" w:ascii="仿宋" w:hAnsi="仿宋" w:eastAsia="仿宋"/>
          <w:b/>
          <w:color w:val="000000"/>
          <w:sz w:val="28"/>
          <w:szCs w:val="28"/>
        </w:rPr>
        <w:t>供应商承诺提供赠品、回扣、采购预算中本身不包含的其他商品或服务，视作无效承诺。</w:t>
      </w:r>
    </w:p>
    <w:p>
      <w:pPr>
        <w:pStyle w:val="31"/>
        <w:spacing w:before="156" w:after="156" w:line="360" w:lineRule="auto"/>
        <w:jc w:val="center"/>
        <w:rPr>
          <w:rFonts w:hint="default" w:ascii="仿宋" w:hAnsi="仿宋" w:eastAsia="仿宋" w:cs="Arial"/>
          <w:b/>
          <w:color w:val="000000"/>
          <w:sz w:val="36"/>
          <w:szCs w:val="36"/>
          <w:lang w:val="en-US" w:eastAsia="zh-CN"/>
        </w:rPr>
      </w:pPr>
      <w:bookmarkStart w:id="31" w:name="_Toc496796639"/>
      <w:r>
        <w:rPr>
          <w:rFonts w:hint="default" w:ascii="仿宋" w:hAnsi="仿宋" w:eastAsia="仿宋" w:cs="Arial"/>
          <w:b/>
          <w:color w:val="000000"/>
          <w:sz w:val="36"/>
          <w:szCs w:val="36"/>
          <w:lang w:val="en-US" w:eastAsia="zh-CN"/>
        </w:rPr>
        <w:t>浙江工商大学科创大楼信息系统基础设施建设项目</w:t>
      </w:r>
      <w:r>
        <w:rPr>
          <w:rFonts w:hint="eastAsia" w:ascii="仿宋" w:hAnsi="仿宋" w:eastAsia="仿宋" w:cs="Arial"/>
          <w:b/>
          <w:color w:val="000000"/>
          <w:sz w:val="36"/>
          <w:szCs w:val="36"/>
          <w:lang w:val="en-US" w:eastAsia="zh-CN"/>
        </w:rPr>
        <w:t xml:space="preserve">               </w:t>
      </w:r>
      <w:r>
        <w:rPr>
          <w:rFonts w:hint="default" w:ascii="仿宋" w:hAnsi="仿宋" w:eastAsia="仿宋" w:cs="Arial"/>
          <w:b/>
          <w:color w:val="000000"/>
          <w:sz w:val="36"/>
          <w:szCs w:val="36"/>
          <w:lang w:val="en-US" w:eastAsia="zh-CN"/>
        </w:rPr>
        <w:t>-交换机等设备采购项目</w:t>
      </w:r>
      <w:r>
        <w:rPr>
          <w:rFonts w:hint="eastAsia" w:ascii="仿宋" w:hAnsi="仿宋" w:eastAsia="仿宋" w:cs="Arial"/>
          <w:b/>
          <w:color w:val="000000"/>
          <w:sz w:val="36"/>
          <w:szCs w:val="36"/>
          <w:lang w:val="en-US" w:eastAsia="zh-CN"/>
        </w:rPr>
        <w:t>采购需求</w:t>
      </w:r>
    </w:p>
    <w:p>
      <w:pPr>
        <w:pStyle w:val="31"/>
        <w:spacing w:before="156" w:after="156" w:line="360" w:lineRule="auto"/>
        <w:rPr>
          <w:rFonts w:hint="default" w:ascii="仿宋" w:hAnsi="仿宋" w:eastAsia="仿宋" w:cs="Arial"/>
          <w:b/>
          <w:color w:val="000000"/>
          <w:sz w:val="28"/>
          <w:szCs w:val="28"/>
          <w:lang w:val="en-US" w:eastAsia="zh-CN"/>
        </w:rPr>
      </w:pPr>
    </w:p>
    <w:tbl>
      <w:tblPr>
        <w:tblStyle w:val="59"/>
        <w:tblW w:w="5167"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059"/>
        <w:gridCol w:w="703"/>
        <w:gridCol w:w="1075"/>
        <w:gridCol w:w="1444"/>
        <w:gridCol w:w="1431"/>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top"/>
          </w:tcPr>
          <w:p>
            <w:pPr>
              <w:widowControl/>
              <w:spacing w:line="360" w:lineRule="auto"/>
              <w:jc w:val="center"/>
              <w:rPr>
                <w:rFonts w:hint="default" w:ascii="Times New Roman" w:hAnsi="Times New Roman" w:eastAsia="宋体" w:cs="Times New Roman"/>
                <w:b/>
                <w:bCs/>
                <w:color w:val="auto"/>
                <w:kern w:val="0"/>
                <w:sz w:val="24"/>
                <w:szCs w:val="24"/>
                <w:highlight w:val="none"/>
              </w:rPr>
            </w:pPr>
            <w:bookmarkStart w:id="32" w:name="PO_TDCUS_ITEM_PB_REQ_FILE_1_1_0"/>
            <w:r>
              <w:rPr>
                <w:rFonts w:hint="default" w:ascii="Times New Roman" w:hAnsi="Times New Roman" w:eastAsia="宋体" w:cs="Times New Roman"/>
                <w:b/>
                <w:bCs/>
                <w:color w:val="auto"/>
                <w:kern w:val="0"/>
                <w:sz w:val="24"/>
                <w:szCs w:val="24"/>
                <w:highlight w:val="none"/>
              </w:rPr>
              <w:t>序号</w:t>
            </w:r>
          </w:p>
        </w:tc>
        <w:tc>
          <w:tcPr>
            <w:tcW w:w="1168" w:type="pct"/>
            <w:noWrap w:val="0"/>
            <w:vAlign w:val="top"/>
          </w:tcPr>
          <w:p>
            <w:pPr>
              <w:widowControl/>
              <w:spacing w:line="360" w:lineRule="auto"/>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货物名称</w:t>
            </w:r>
          </w:p>
        </w:tc>
        <w:tc>
          <w:tcPr>
            <w:tcW w:w="399" w:type="pct"/>
            <w:noWrap w:val="0"/>
            <w:vAlign w:val="top"/>
          </w:tcPr>
          <w:p>
            <w:pPr>
              <w:widowControl/>
              <w:spacing w:line="360" w:lineRule="auto"/>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计量单位</w:t>
            </w:r>
          </w:p>
        </w:tc>
        <w:tc>
          <w:tcPr>
            <w:tcW w:w="610" w:type="pct"/>
            <w:noWrap w:val="0"/>
            <w:vAlign w:val="top"/>
          </w:tcPr>
          <w:p>
            <w:pPr>
              <w:widowControl/>
              <w:spacing w:line="360" w:lineRule="auto"/>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数量</w:t>
            </w:r>
          </w:p>
        </w:tc>
        <w:tc>
          <w:tcPr>
            <w:tcW w:w="819" w:type="pct"/>
            <w:noWrap w:val="0"/>
            <w:vAlign w:val="top"/>
          </w:tcPr>
          <w:p>
            <w:pPr>
              <w:widowControl/>
              <w:spacing w:line="360" w:lineRule="auto"/>
              <w:jc w:val="both"/>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控制单价</w:t>
            </w:r>
            <w:r>
              <w:rPr>
                <w:rFonts w:hint="default" w:ascii="Times New Roman" w:hAnsi="Times New Roman" w:eastAsia="宋体" w:cs="Times New Roman"/>
                <w:color w:val="auto"/>
                <w:kern w:val="0"/>
                <w:sz w:val="24"/>
                <w:szCs w:val="24"/>
                <w:highlight w:val="none"/>
              </w:rPr>
              <w:t>（元）</w:t>
            </w:r>
          </w:p>
        </w:tc>
        <w:tc>
          <w:tcPr>
            <w:tcW w:w="812" w:type="pct"/>
            <w:noWrap w:val="0"/>
            <w:vAlign w:val="top"/>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lang w:eastAsia="zh-CN"/>
              </w:rPr>
              <w:t>控制总价</w:t>
            </w:r>
            <w:r>
              <w:rPr>
                <w:rFonts w:hint="default" w:ascii="Times New Roman" w:hAnsi="Times New Roman" w:eastAsia="宋体" w:cs="Times New Roman"/>
                <w:color w:val="auto"/>
                <w:kern w:val="0"/>
                <w:sz w:val="24"/>
                <w:szCs w:val="24"/>
                <w:highlight w:val="none"/>
              </w:rPr>
              <w:t>（元）</w:t>
            </w:r>
          </w:p>
        </w:tc>
        <w:tc>
          <w:tcPr>
            <w:tcW w:w="812" w:type="pct"/>
            <w:noWrap w:val="0"/>
            <w:vAlign w:val="top"/>
          </w:tcPr>
          <w:p>
            <w:pPr>
              <w:widowControl/>
              <w:spacing w:line="360" w:lineRule="auto"/>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cs="Times New Roman"/>
                <w:b/>
                <w:color w:val="auto"/>
                <w:szCs w:val="21"/>
                <w:highlight w:val="none"/>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大楼核心交换机</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445000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445000</w:t>
            </w:r>
          </w:p>
        </w:tc>
        <w:tc>
          <w:tcPr>
            <w:tcW w:w="812" w:type="pct"/>
            <w:vMerge w:val="restar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浙江工商大学 下沙校区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2</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全光汇聚交换机</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4</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32000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128000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3</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面板AP</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200</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360000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4</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 xml:space="preserve">高密AP </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30</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4500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135000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5</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室外AP</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4</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32000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6</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数据中心交换机</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80000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80000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7</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数据中心防火墙</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150000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150000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8</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光纤SAN交换机</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2</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87500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175000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9</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全闪存储</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413000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413000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10</w:t>
            </w:r>
          </w:p>
        </w:tc>
        <w:tc>
          <w:tcPr>
            <w:tcW w:w="1168" w:type="pct"/>
            <w:noWrap w:val="0"/>
            <w:vAlign w:val="center"/>
          </w:tcPr>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虚拟化服务器</w:t>
            </w:r>
          </w:p>
          <w:p>
            <w:pPr>
              <w:widowControl/>
              <w:spacing w:line="360" w:lineRule="auto"/>
              <w:jc w:val="center"/>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sz w:val="24"/>
                <w:szCs w:val="24"/>
                <w:highlight w:val="none"/>
                <w:lang w:val="en-US" w:eastAsia="zh-CN"/>
              </w:rPr>
              <w:t>(核心产品)</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17</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76000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1292000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6"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11</w:t>
            </w:r>
          </w:p>
        </w:tc>
        <w:tc>
          <w:tcPr>
            <w:tcW w:w="1168"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高性能计算服务器</w:t>
            </w:r>
          </w:p>
        </w:tc>
        <w:tc>
          <w:tcPr>
            <w:tcW w:w="399"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套</w:t>
            </w:r>
          </w:p>
        </w:tc>
        <w:tc>
          <w:tcPr>
            <w:tcW w:w="610" w:type="pct"/>
            <w:noWrap w:val="0"/>
            <w:vAlign w:val="center"/>
          </w:tcPr>
          <w:p>
            <w:pPr>
              <w:widowControl/>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6</w:t>
            </w:r>
          </w:p>
        </w:tc>
        <w:tc>
          <w:tcPr>
            <w:tcW w:w="819"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215000</w:t>
            </w:r>
          </w:p>
        </w:tc>
        <w:tc>
          <w:tcPr>
            <w:tcW w:w="812" w:type="pct"/>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1290000</w:t>
            </w:r>
          </w:p>
        </w:tc>
        <w:tc>
          <w:tcPr>
            <w:tcW w:w="812" w:type="pct"/>
            <w:vMerge w:val="continue"/>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pPr>
        <w:pStyle w:val="182"/>
        <w:numPr>
          <w:ilvl w:val="0"/>
          <w:numId w:val="0"/>
        </w:numPr>
        <w:spacing w:line="360" w:lineRule="auto"/>
        <w:ind w:leftChars="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rPr>
        <w:t>第二部分 采购需求主要内容</w:t>
      </w:r>
    </w:p>
    <w:p>
      <w:pPr>
        <w:pStyle w:val="1001"/>
        <w:spacing w:line="360" w:lineRule="auto"/>
        <w:ind w:firstLine="240" w:firstLineChars="100"/>
        <w:jc w:val="both"/>
        <w:rPr>
          <w:rFonts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cs="Times New Roman"/>
          <w:color w:val="auto"/>
          <w:highlight w:val="none"/>
        </w:rPr>
        <w:t>本项目是网络基础设施和数据中心在学校科创大楼的</w:t>
      </w:r>
      <w:r>
        <w:rPr>
          <w:rFonts w:hint="eastAsia" w:ascii="Times New Roman" w:hAnsi="Times New Roman" w:cs="Times New Roman"/>
          <w:color w:val="auto"/>
          <w:highlight w:val="none"/>
          <w:lang w:eastAsia="zh-CN"/>
        </w:rPr>
        <w:t>延伸</w:t>
      </w:r>
      <w:r>
        <w:rPr>
          <w:rFonts w:hint="default" w:ascii="Times New Roman" w:hAnsi="Times New Roman" w:cs="Times New Roman"/>
          <w:color w:val="auto"/>
          <w:highlight w:val="none"/>
        </w:rPr>
        <w:t>。项目实施时，核心与汇聚网络设备需与学校有线核心网络联通；无线A</w:t>
      </w:r>
      <w:r>
        <w:rPr>
          <w:rFonts w:ascii="Times New Roman" w:hAnsi="Times New Roman" w:cs="Times New Roman"/>
          <w:color w:val="auto"/>
          <w:highlight w:val="none"/>
        </w:rPr>
        <w:t>P需</w:t>
      </w:r>
      <w:r>
        <w:rPr>
          <w:rFonts w:hint="default" w:ascii="Times New Roman" w:hAnsi="Times New Roman" w:cs="Times New Roman"/>
          <w:color w:val="auto"/>
          <w:highlight w:val="none"/>
        </w:rPr>
        <w:t>与无线</w:t>
      </w:r>
      <w:r>
        <w:rPr>
          <w:rFonts w:ascii="Times New Roman" w:hAnsi="Times New Roman" w:cs="Times New Roman"/>
          <w:color w:val="auto"/>
          <w:highlight w:val="none"/>
        </w:rPr>
        <w:t>网络对接</w:t>
      </w:r>
      <w:r>
        <w:rPr>
          <w:rFonts w:hint="default" w:ascii="Times New Roman" w:hAnsi="Times New Roman" w:cs="Times New Roman"/>
          <w:color w:val="auto"/>
          <w:highlight w:val="none"/>
        </w:rPr>
        <w:t>，实现师生进入科创大楼可无缝漫游使用学校无线网；</w:t>
      </w:r>
      <w:r>
        <w:rPr>
          <w:rFonts w:ascii="Times New Roman" w:hAnsi="Times New Roman" w:cs="Times New Roman"/>
          <w:color w:val="auto"/>
          <w:highlight w:val="none"/>
        </w:rPr>
        <w:t>新采购服务器</w:t>
      </w:r>
      <w:r>
        <w:rPr>
          <w:rFonts w:hint="default" w:ascii="Times New Roman" w:hAnsi="Times New Roman" w:cs="Times New Roman"/>
          <w:color w:val="auto"/>
          <w:highlight w:val="none"/>
        </w:rPr>
        <w:t>需</w:t>
      </w:r>
      <w:r>
        <w:rPr>
          <w:rFonts w:ascii="Times New Roman" w:hAnsi="Times New Roman" w:cs="Times New Roman"/>
          <w:color w:val="auto"/>
          <w:highlight w:val="none"/>
        </w:rPr>
        <w:t>加入</w:t>
      </w:r>
      <w:r>
        <w:rPr>
          <w:rFonts w:hint="default" w:ascii="Times New Roman" w:hAnsi="Times New Roman" w:cs="Times New Roman"/>
          <w:color w:val="auto"/>
          <w:highlight w:val="none"/>
        </w:rPr>
        <w:t>统一</w:t>
      </w:r>
      <w:r>
        <w:rPr>
          <w:rFonts w:ascii="Times New Roman" w:hAnsi="Times New Roman" w:cs="Times New Roman"/>
          <w:color w:val="auto"/>
          <w:highlight w:val="none"/>
        </w:rPr>
        <w:t>资源池内并作为同一个计算平台统一管控，并配置安全隔</w:t>
      </w:r>
      <w:r>
        <w:rPr>
          <w:rFonts w:hint="default" w:ascii="Times New Roman" w:hAnsi="Times New Roman" w:cs="Times New Roman"/>
          <w:color w:val="auto"/>
          <w:highlight w:val="none"/>
        </w:rPr>
        <w:t>防护</w:t>
      </w:r>
      <w:r>
        <w:rPr>
          <w:rFonts w:ascii="Times New Roman" w:hAnsi="Times New Roman" w:cs="Times New Roman"/>
          <w:color w:val="auto"/>
          <w:highlight w:val="none"/>
        </w:rPr>
        <w:t>软件</w:t>
      </w:r>
      <w:r>
        <w:rPr>
          <w:rFonts w:hint="default" w:ascii="Times New Roman" w:hAnsi="Times New Roman" w:cs="Times New Roman"/>
          <w:color w:val="auto"/>
          <w:highlight w:val="none"/>
        </w:rPr>
        <w:t>；防火墙需完成接口定制与对接</w:t>
      </w:r>
      <w:r>
        <w:rPr>
          <w:rFonts w:ascii="Times New Roman" w:hAnsi="Times New Roman" w:cs="Times New Roman"/>
          <w:color w:val="auto"/>
          <w:highlight w:val="none"/>
        </w:rPr>
        <w:t>。该项目为交钥匙工程，需要中标方</w:t>
      </w:r>
      <w:r>
        <w:rPr>
          <w:rFonts w:hint="default" w:ascii="Times New Roman" w:hAnsi="Times New Roman" w:cs="Times New Roman"/>
          <w:color w:val="auto"/>
          <w:highlight w:val="none"/>
        </w:rPr>
        <w:t>在</w:t>
      </w:r>
      <w:r>
        <w:rPr>
          <w:rFonts w:ascii="Times New Roman" w:hAnsi="Times New Roman" w:cs="Times New Roman"/>
          <w:color w:val="auto"/>
          <w:highlight w:val="none"/>
        </w:rPr>
        <w:t>满足招标参数基础上</w:t>
      </w:r>
      <w:r>
        <w:rPr>
          <w:rFonts w:hint="default" w:ascii="Times New Roman" w:hAnsi="Times New Roman" w:cs="Times New Roman"/>
          <w:color w:val="auto"/>
          <w:highlight w:val="none"/>
        </w:rPr>
        <w:t>完成所有设备的部署和实施工作，</w:t>
      </w:r>
      <w:r>
        <w:rPr>
          <w:rFonts w:ascii="Times New Roman" w:hAnsi="Times New Roman" w:cs="Times New Roman"/>
          <w:color w:val="auto"/>
          <w:highlight w:val="none"/>
        </w:rPr>
        <w:t>主要包括</w:t>
      </w:r>
      <w:r>
        <w:rPr>
          <w:rFonts w:hint="default" w:ascii="Times New Roman" w:hAnsi="Times New Roman" w:cs="Times New Roman"/>
          <w:color w:val="auto"/>
          <w:highlight w:val="none"/>
        </w:rPr>
        <w:t>所有设备上架安装、连线、配置调试、切换演练、培训等</w:t>
      </w:r>
      <w:r>
        <w:rPr>
          <w:rFonts w:ascii="Times New Roman" w:hAnsi="Times New Roman" w:cs="Times New Roman"/>
          <w:color w:val="auto"/>
          <w:highlight w:val="none"/>
        </w:rPr>
        <w:t>。</w:t>
      </w: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大楼核心交换机（1套）</w:t>
      </w:r>
    </w:p>
    <w:tbl>
      <w:tblPr>
        <w:tblStyle w:val="59"/>
        <w:tblW w:w="517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3844" w:type="pct"/>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产品架构</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支持正交多级交换架构（CLOS），采用正交网板设计，无中板设计能够配置独立的交换网板与主控板相互独立，交换网板与主控板硬件槽位分离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性能指标</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交换容量≥1290Tbps，包转发率≥460000Mpps，如存在双参数，以较小值为准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主控冗余</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主控引擎模块≥2，满足1+1冗余，主控槽位为全尺寸设计，与业务卡槽位宽度相同的全宽槽位，提供更好的扩展性和可靠性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冗余网板</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独立交换网板槽位数≥6，业务插槽数≥16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国产化</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CPU、SW均为国产芯片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设备高度</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为节省机柜空间，要求设备高度＜22U</w:t>
            </w:r>
            <w:r>
              <w:rPr>
                <w:rFonts w:hint="default" w:ascii="Times New Roman" w:hAnsi="Times New Roman" w:eastAsia="宋体" w:cs="Times New Roman"/>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关键部件热插拔</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主控交换卡、电源、接口模块、风扇、网板等关键部件可热插拔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二层功能</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支持ERPS以太环保护协议（G.8032）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三层功能</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支持MPLS L3 VPN，支持MPLS L2 VPN，支持MPLS VPLS，支持MPLS TE，支持MCE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有线无线</w:t>
            </w:r>
          </w:p>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一体化</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支持融合AC功能，可以对无线AP进行控制和管理。最大 AP上线数量为 10K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智能无损</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支持PFC死锁检测和死锁预防、支持ECN Overlay功能、支持AI ECN，AI调优功能、支持智能流量分析功能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可视化</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支持INT流量可视化功能，可实时分析INT报文中携带的时间戳分析每台设备和链路的逐跳转发延迟，快速定位故障、简化运维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端口时延</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10G/40G/100G端口时延均小于1.2μs, 提供第三方权威机构（CNAS认证）测试报告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vMerge w:val="restart"/>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认证</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支持802.1x认证，支持mac认证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vMerge w:val="continue"/>
            <w:noWrap w:val="0"/>
            <w:vAlign w:val="center"/>
          </w:tcPr>
          <w:p>
            <w:pPr>
              <w:spacing w:line="360" w:lineRule="auto"/>
              <w:jc w:val="left"/>
              <w:rPr>
                <w:rFonts w:hint="default" w:ascii="Times New Roman" w:hAnsi="Times New Roman" w:eastAsia="宋体" w:cs="Times New Roman"/>
                <w:color w:val="auto"/>
                <w:sz w:val="24"/>
                <w:szCs w:val="24"/>
                <w:highlight w:val="none"/>
              </w:rPr>
            </w:pP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支持Portal认证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vMerge w:val="continue"/>
            <w:noWrap w:val="0"/>
            <w:vAlign w:val="center"/>
          </w:tcPr>
          <w:p>
            <w:pPr>
              <w:spacing w:line="360" w:lineRule="auto"/>
              <w:jc w:val="left"/>
              <w:rPr>
                <w:rFonts w:hint="default" w:ascii="Times New Roman" w:hAnsi="Times New Roman" w:eastAsia="宋体" w:cs="Times New Roman"/>
                <w:color w:val="auto"/>
                <w:sz w:val="24"/>
                <w:szCs w:val="24"/>
                <w:highlight w:val="none"/>
              </w:rPr>
            </w:pP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支持有线无线用户的统一认证管理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vMerge w:val="restart"/>
            <w:tcBorders>
              <w:top w:val="single" w:color="auto" w:sz="4" w:space="0"/>
              <w:left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AI特性 </w:t>
            </w:r>
          </w:p>
        </w:tc>
        <w:tc>
          <w:tcPr>
            <w:tcW w:w="3844"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支持高性能AI计算模块，可以为网络和业务提供强大算力，可实现浮点运算能力≥100TFlops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vMerge w:val="continue"/>
            <w:tcBorders>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color w:val="auto"/>
                <w:sz w:val="24"/>
                <w:szCs w:val="24"/>
                <w:highlight w:val="none"/>
              </w:rPr>
            </w:pPr>
          </w:p>
        </w:tc>
        <w:tc>
          <w:tcPr>
            <w:tcW w:w="3844"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支持融合SDN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虚拟化</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支持多虚一技术，支持多框虚拟化技术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56"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配置要求</w:t>
            </w:r>
          </w:p>
        </w:tc>
        <w:tc>
          <w:tcPr>
            <w:tcW w:w="3844" w:type="pc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配置双主控，四块独立交换网板，四块电源，双风扇模块，≥48端口万兆光口，≥36端口40G以太网光口模块，含48个原厂万兆光模块和10个原厂40G光模块，含可调节机架滑道</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全光汇聚交换机（4套）</w:t>
      </w:r>
    </w:p>
    <w:tbl>
      <w:tblPr>
        <w:tblStyle w:val="60"/>
        <w:tblW w:w="88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6848"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性能指标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交换容量≥2.56Tbps，转发性能≥720Mpps，如存在双参数，以较小值为准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软件规格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软件规格：MAC地址表≥128K、路由表容量≥64K、ARP表≥64K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扩展性</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支持物理扩展插槽≥2个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noWrap w:val="0"/>
            <w:vAlign w:val="top"/>
          </w:tcPr>
          <w:p>
            <w:pPr>
              <w:spacing w:line="360" w:lineRule="auto"/>
              <w:jc w:val="left"/>
              <w:rPr>
                <w:rFonts w:hint="default" w:ascii="Times New Roman" w:hAnsi="Times New Roman" w:eastAsia="宋体" w:cs="Times New Roman"/>
                <w:color w:val="auto"/>
                <w:sz w:val="24"/>
                <w:szCs w:val="24"/>
                <w:highlight w:val="none"/>
              </w:rPr>
            </w:pP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可扩展10G光接口、10G电接口、25GE SFP28光接口、40GE QSFP+光接口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安全功能</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支持安全插卡，可扩展防火墙模块，支持配置IPS、防病毒、负载均衡（LB）、应用识别、SSL VPN等多种安全功能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工作环境温度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-5ºC～45ºC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VxLAN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 VXLAN 二层互通、VXLAN 集中式网关三层互通、EVPN分布式网关二三层互通功能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路由协议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支持IPv4静态路由、RIP V1/V2、OSPF、BGP、ISIS ，支持IPv6静态路由、RIPng、OSPFv3、BGP4+,支持IPv4和IPv6环境下的策略路由， 支持IPv6手动隧道、6to4隧道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可靠性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 RSTP 功能、MSTP 功能、ERPS 功能、RRPP 功能、 SmartLink功能、PVST 功能，并且收敛时间均在 50ms 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可视化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支持Telemetry可视化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配置要求 </w:t>
            </w:r>
          </w:p>
        </w:tc>
        <w:tc>
          <w:tcPr>
            <w:tcW w:w="6848"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24个1/10GE SFP+光接口，2个QSFP+光接口，冗余电源模块，冗余风扇模块</w:t>
            </w:r>
          </w:p>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每台交换机含1块防火墙安全板卡， 24个原厂万兆光模块、2个40G模块。</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面板AP（200套）</w:t>
      </w:r>
    </w:p>
    <w:p>
      <w:pPr>
        <w:spacing w:line="360" w:lineRule="auto"/>
        <w:jc w:val="left"/>
        <w:rPr>
          <w:rFonts w:hint="default" w:ascii="Times New Roman" w:hAnsi="Times New Roman" w:eastAsia="宋体" w:cs="Times New Roman"/>
          <w:color w:val="auto"/>
          <w:sz w:val="24"/>
          <w:szCs w:val="24"/>
          <w:highlight w:val="none"/>
        </w:rPr>
      </w:pPr>
    </w:p>
    <w:tbl>
      <w:tblPr>
        <w:tblStyle w:val="60"/>
        <w:tblW w:w="88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7131"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工作模式 </w:t>
            </w:r>
          </w:p>
        </w:tc>
        <w:tc>
          <w:tcPr>
            <w:tcW w:w="713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采用整机双频4流设计，支持WiFi6协议（802.11ax模式）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协商速率</w:t>
            </w:r>
          </w:p>
        </w:tc>
        <w:tc>
          <w:tcPr>
            <w:tcW w:w="713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整机协商速率≥2.9Gbps；5GHz频段最大2空间流，最大协商速率2.4Gbps。2.4GHz频段最大2空间流，最大协商速率0.575Gbps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接口设计</w:t>
            </w:r>
          </w:p>
        </w:tc>
        <w:tc>
          <w:tcPr>
            <w:tcW w:w="713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下行口≥3个10/100/1000Mbps 自协商以太网口、上行口≥1个10/100/1000Mbps 自协商以太网口，整机1对透传接口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供电</w:t>
            </w:r>
          </w:p>
        </w:tc>
        <w:tc>
          <w:tcPr>
            <w:tcW w:w="7131" w:type="dxa"/>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GE：802.3af供电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安装方式</w:t>
            </w:r>
          </w:p>
        </w:tc>
        <w:tc>
          <w:tcPr>
            <w:tcW w:w="713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为了安装方便，要求设备和尺寸为标准86mmx86mm尺寸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终端功能</w:t>
            </w:r>
          </w:p>
        </w:tc>
        <w:tc>
          <w:tcPr>
            <w:tcW w:w="713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需具备在网络拥塞情况下，可通过对终端发送的报文进行识别，在多业务并行处理时，对关键业务（如视频会议、时延敏感类游戏等）优先处理从而实现应用加速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▲兼容性</w:t>
            </w:r>
          </w:p>
        </w:tc>
        <w:tc>
          <w:tcPr>
            <w:tcW w:w="7131" w:type="dxa"/>
            <w:noWrap w:val="0"/>
            <w:vAlign w:val="center"/>
          </w:tcPr>
          <w:p>
            <w:pPr>
              <w:spacing w:line="36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本次采购项目为学校无线扩容。所需要的无线控制器可利旧使用或新增，并在教学区内实现现有1400个AP统一管控，需在方案中体现</w:t>
            </w:r>
            <w:r>
              <w:rPr>
                <w:rFonts w:hint="default" w:ascii="Times New Roman" w:hAnsi="Times New Roman" w:eastAsia="宋体" w:cs="Times New Roman"/>
                <w:color w:val="auto"/>
                <w:sz w:val="24"/>
                <w:szCs w:val="24"/>
                <w:highlight w:val="none"/>
                <w:lang w:eastAsia="zh-CN"/>
              </w:rPr>
              <w:t>，费用含在投标报价中。</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高密AP （30套）</w:t>
      </w:r>
    </w:p>
    <w:tbl>
      <w:tblPr>
        <w:tblStyle w:val="59"/>
        <w:tblW w:w="517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6" w:type="pct"/>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3844" w:type="pct"/>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工作模式</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采用三射频设计，支持WiFi6协议（802.11ax模式）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协商速率</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整机最大速率≥9.6Gbps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接口设计</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≥2个接口，其中1个5G电口，1个1G电口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供电</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GE：802.3af供电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空间流数</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可支持三个5GHz射频同时工作，整机5GHz射频空间流≥8，2.4GHz射频空间流≥2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射频可切换</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Wi-Fi 6射频可切换，其中一个射频支持2.4G射频和5G射频切换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物联网</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内置蓝牙5.0/RFID/Zigbee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终端功能</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需具备在网络拥塞情况下，可通过对终端发送的报文进行识别，在多业务并行处理时，对关键业务（如视频会议、时延敏感类游戏等）优先处理从而实现应用加速。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▲兼容性</w:t>
            </w:r>
          </w:p>
        </w:tc>
        <w:tc>
          <w:tcPr>
            <w:tcW w:w="38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本次采购项目为学校无线扩容。所需要的无线控制器可利旧使用或新增，并在教学区内实现现有1400个AP统一管控，需在方案中体现</w:t>
            </w:r>
            <w:r>
              <w:rPr>
                <w:rFonts w:hint="default" w:ascii="Times New Roman" w:hAnsi="Times New Roman" w:eastAsia="宋体" w:cs="Times New Roman"/>
                <w:color w:val="auto"/>
                <w:sz w:val="24"/>
                <w:szCs w:val="24"/>
                <w:highlight w:val="none"/>
                <w:lang w:eastAsia="zh-CN"/>
              </w:rPr>
              <w:t>，费用含在投标报价中。</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室外AP（4套）</w:t>
      </w:r>
    </w:p>
    <w:tbl>
      <w:tblPr>
        <w:tblStyle w:val="59"/>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68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工作模式</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要求AP采用双射频设计，支持WiFi6协议（802.11ax模式）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接入速率</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最大接入速率≥2.4Gbps。具备1个固定5GHz射频，采用2条空间流设计，最大接入速率1.2Gbps；另一射频可实现2.4GHz与5GHz灵活切换，采用2条空间流设计，最大接入速率1.2Gbps。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接口要求</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≥3个接口，其中1个千兆光口，2个千兆电口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85" w:type="dxa"/>
            <w:tcBorders>
              <w:top w:val="single" w:color="auto" w:sz="4" w:space="0"/>
              <w:left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天线覆盖</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设备支持全向天线信号覆盖，提供更广阔的无线覆盖范围。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天线设计</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要求采用内置高增益定向天线设计，且支持外置天线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内置物联网</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内置BLE5.1/RFID/Zigbee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空口优化</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支持基于空口利用率的SSID自动隐藏功能，当空口繁忙程度达到或超过配置的阈值时，SSID自动隐藏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配置</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配置光纤PoE供电器-(-40℃-65℃)  60W-55V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▲兼容性</w:t>
            </w:r>
          </w:p>
        </w:tc>
        <w:tc>
          <w:tcPr>
            <w:tcW w:w="6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本次采购项目为学校无线扩容。所需要的无线控制器可利旧使用或新增，并在教学区内实现现有1400个AP统一管控，需在方案中体现</w:t>
            </w:r>
            <w:r>
              <w:rPr>
                <w:rFonts w:hint="default" w:ascii="Times New Roman" w:hAnsi="Times New Roman" w:eastAsia="宋体" w:cs="Times New Roman"/>
                <w:color w:val="auto"/>
                <w:sz w:val="24"/>
                <w:szCs w:val="24"/>
                <w:highlight w:val="none"/>
                <w:lang w:eastAsia="zh-CN"/>
              </w:rPr>
              <w:t>，费用含在投标报价中。</w:t>
            </w:r>
          </w:p>
        </w:tc>
      </w:tr>
    </w:tbl>
    <w:p>
      <w:pPr>
        <w:spacing w:line="360" w:lineRule="auto"/>
        <w:jc w:val="left"/>
        <w:rPr>
          <w:rFonts w:hint="default" w:ascii="Times New Roman" w:hAnsi="Times New Roman" w:eastAsia="宋体" w:cs="Times New Roman"/>
          <w:color w:val="auto"/>
          <w:sz w:val="24"/>
          <w:szCs w:val="24"/>
          <w:highlight w:val="none"/>
        </w:rPr>
      </w:pPr>
    </w:p>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数据中心交换机（1套）</w:t>
      </w:r>
    </w:p>
    <w:tbl>
      <w:tblPr>
        <w:tblStyle w:val="60"/>
        <w:tblW w:w="881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w:t>
            </w:r>
          </w:p>
        </w:tc>
        <w:tc>
          <w:tcPr>
            <w:tcW w:w="6691" w:type="dxa"/>
            <w:noWrap w:val="0"/>
            <w:vAlign w:val="top"/>
          </w:tcPr>
          <w:p>
            <w:pPr>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硬件架构</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主控槽位（全宽）≥2，业务槽位≥6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设备性能</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交换容量≥76Tbps、包转发率≥57000Mpps，如存在双参数，以较小值为准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安全功能</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支持安全插卡，可扩展防火墙模块，支持配置IPS、防病毒、负载均衡（LB）、应用识别、SSL VPN等多种安全功能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有线无线一体化</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支持融合AC功能，无需额外配置单独硬件，在交换机上实现对AP的接入控制和管理，有线无线用户的统一认证管理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可视化</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支持Telemetry流量可视化功能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VXLAN</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支持BGP EVPN特性，支持IS-IS+ENDP的VXLAN分布式控制平面，支持OpenFlow+Netconf的VXLAN集中式控制平面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虚拟化</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支持横向虚拟化技术，支持纵向虚拟化技术，支持多虚一技术和一虚多技术的配合使用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智能管理</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支持内置智能图形化管理功能，对于下联设备具备统一管理的功能；能够通过图形化界面对组内设备进行配置文件一键下发；对拓扑内的设备或设备组批量进行版本升级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配置要求</w:t>
            </w:r>
          </w:p>
        </w:tc>
        <w:tc>
          <w:tcPr>
            <w:tcW w:w="6691" w:type="dxa"/>
            <w:noWrap w:val="0"/>
            <w:vAlign w:val="top"/>
          </w:tcPr>
          <w:p>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双主控，双电源模块，配置≥24端口万兆以太网光接口模块，配置≥8端口40GB接口，≥4端口100GB接口，配置≥48千兆以太网电接口模块。含24个原厂万兆模块，6个原厂40G光模块</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数据中心防火墙（1套）</w:t>
      </w:r>
    </w:p>
    <w:p>
      <w:pPr>
        <w:spacing w:line="360" w:lineRule="auto"/>
        <w:jc w:val="left"/>
        <w:rPr>
          <w:rFonts w:hint="default" w:ascii="Times New Roman" w:hAnsi="Times New Roman" w:eastAsia="宋体" w:cs="Times New Roman"/>
          <w:color w:val="auto"/>
          <w:sz w:val="24"/>
          <w:szCs w:val="24"/>
          <w:highlight w:val="none"/>
        </w:rPr>
      </w:pPr>
    </w:p>
    <w:tbl>
      <w:tblPr>
        <w:tblStyle w:val="59"/>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shd w:val="clear" w:color="auto" w:fill="D9D9D9"/>
            <w:noWrap w:val="0"/>
            <w:vAlign w:val="top"/>
          </w:tcPr>
          <w:p>
            <w:pPr>
              <w:spacing w:line="360" w:lineRule="auto"/>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功能项</w:t>
            </w:r>
          </w:p>
        </w:tc>
        <w:tc>
          <w:tcPr>
            <w:tcW w:w="7304" w:type="dxa"/>
            <w:shd w:val="clear" w:color="auto" w:fill="D9D9D9"/>
            <w:noWrap w:val="0"/>
            <w:vAlign w:val="top"/>
          </w:tcPr>
          <w:p>
            <w:pPr>
              <w:spacing w:line="360" w:lineRule="auto"/>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规格要求</w:t>
            </w:r>
          </w:p>
        </w:tc>
        <w:tc>
          <w:tcPr>
            <w:tcW w:w="7304" w:type="dxa"/>
            <w:noWrap w:val="0"/>
            <w:vAlign w:val="top"/>
          </w:tcPr>
          <w:p>
            <w:pPr>
              <w:widowControl/>
              <w:spacing w:line="360" w:lineRule="auto"/>
              <w:jc w:val="left"/>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硬件参数：标准2U机箱，内存大小≥8G，硬盘容量≥128G SSD+480G SSD，电源：冗余电源，接口≥16千兆电口+2千兆光口SFP+4万兆光口SFP+（含光模块）。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性能参数：网络层吞吐量≥20G，应用层吞吐量≥10G，防病毒吞吐量≥1.6G，IPS吞吐量≥1.5G，并发连接数≥210万，HTTP新建连接数≥13万。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病毒防护</w:t>
            </w:r>
          </w:p>
        </w:tc>
        <w:tc>
          <w:tcPr>
            <w:tcW w:w="7304" w:type="dxa"/>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产品支持对压缩的病毒文件进行检测和拦截，压缩层数支持15层及以上。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kern w:val="0"/>
                <w:sz w:val="24"/>
                <w:szCs w:val="24"/>
                <w:highlight w:val="none"/>
              </w:rPr>
              <w:t>产品实现勒索病毒检测与防御功能，针对勒索病毒攻击设置专项安全策略。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入侵防御</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产品内置不低于10800种漏洞规则，同时支持在控制台界面通过漏洞ID、漏洞名称、危险等级、漏洞CVE标识、漏洞描述等条件查询漏洞特征信息。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支持僵尸主机检测功能，产品内置僵尸网络特征库超过128万种，可识别主机的异常外联行为。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Web安全防护</w:t>
            </w:r>
          </w:p>
        </w:tc>
        <w:tc>
          <w:tcPr>
            <w:tcW w:w="7304" w:type="dxa"/>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产品内置超过4580种WEB应用攻击特征，支持对跨站脚本（XSS）攻击、SQL注入、文件包含攻击、信息泄露攻击、WEBSHELL、网站扫描、网页木马等攻击类型进行防护。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产品支持X-Forworded-For字段检测，并对非法源IP进行日志记录和联动封锁。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产品支持服务器漏洞防扫描功能</w:t>
            </w:r>
            <w:r>
              <w:rPr>
                <w:rFonts w:hint="default" w:ascii="Times New Roman" w:hAnsi="Times New Roman" w:eastAsia="宋体" w:cs="Times New Roman"/>
                <w:bCs/>
                <w:color w:val="auto"/>
                <w:kern w:val="0"/>
                <w:sz w:val="24"/>
                <w:szCs w:val="24"/>
                <w:highlight w:val="none"/>
              </w:rPr>
              <w:t>，并对扫描源IP进行日志记录和联动封锁。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冗余部署</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保证设备运行的可靠性，要求所投产品需支持与学校防火墙设备冗余部署，实现配置信息同步，当一台防火墙设备出现故障时，可以将设备的用户认证信息、策略配置等自动同步切换到另一个防火墙设备上无需人工干预学校可提供防火墙对外开放API接口的开发文档，通过接口定制实现上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智能运营</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支持联动云端运营平台，支持流量日志分析、事件聚合，安全事件微信端可接受预警和处置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高级威胁响应</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支持未知流量实时上云检测，能够及时返回结果，实现失陷终端外联实时检测与拦截，有效应对挖矿、恶意软件、APT等新型威胁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针对新发现的0-day、C&amp;C等威胁情报，设备可及时进行全网同步，并对本防火墙设备进行规则更新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云蜜罐</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产品应支持主动防御功能，通过与云端蜜罐智能联动，通过仿真虚拟业务混淆黑客攻击，并对攻击进行溯源取证和阻断威胁IP，保护网络真实和学校业务安全，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威胁情报共享</w:t>
            </w: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产品应实现与我校公共数据中台进行威胁情报共享，将防火墙产品产生的安全日志等数据上报至数据中台，并进行威胁展示需在投标时提供与</w:t>
            </w:r>
            <w:r>
              <w:rPr>
                <w:rFonts w:hint="default" w:ascii="Times New Roman" w:hAnsi="Times New Roman" w:eastAsia="宋体" w:cs="Times New Roman"/>
                <w:color w:val="auto"/>
                <w:sz w:val="24"/>
                <w:szCs w:val="24"/>
                <w:highlight w:val="none"/>
                <w:lang w:bidi="ar"/>
              </w:rPr>
              <w:t>数据中台</w:t>
            </w:r>
            <w:r>
              <w:rPr>
                <w:rFonts w:hint="default" w:ascii="Times New Roman" w:hAnsi="Times New Roman" w:eastAsia="宋体" w:cs="Times New Roman"/>
                <w:color w:val="auto"/>
                <w:sz w:val="24"/>
                <w:szCs w:val="24"/>
                <w:highlight w:val="none"/>
              </w:rPr>
              <w:t>进行情报共享的证明材料（技术方案、功能截图等）</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color w:val="auto"/>
                <w:sz w:val="24"/>
                <w:szCs w:val="24"/>
                <w:highlight w:val="none"/>
              </w:rPr>
              <w:t>我校数据中台</w:t>
            </w:r>
            <w:r>
              <w:rPr>
                <w:rFonts w:hint="default" w:ascii="Times New Roman" w:hAnsi="Times New Roman" w:eastAsia="宋体" w:cs="Times New Roman"/>
                <w:color w:val="auto"/>
                <w:sz w:val="24"/>
                <w:szCs w:val="24"/>
                <w:highlight w:val="none"/>
                <w:lang w:bidi="ar"/>
              </w:rPr>
              <w:t>可开放TCP接口与第三方安全设备进行日志对接，对接类型包括：syslog、FTP、kafka、webservice、winlogbeat、WMI等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终端协同防护</w:t>
            </w:r>
          </w:p>
        </w:tc>
        <w:tc>
          <w:tcPr>
            <w:tcW w:w="7304" w:type="dxa"/>
            <w:noWrap w:val="0"/>
            <w:vAlign w:val="top"/>
          </w:tcPr>
          <w:p>
            <w:pPr>
              <w:widowControl/>
              <w:spacing w:line="360" w:lineRule="auto"/>
              <w:jc w:val="left"/>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产品能够下发安全策略至终端进行安全事件的一键处置，而不需要管理员登录终端后台去进行针对性处置，并将安全事件同步到公共数据中台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协同认证</w:t>
            </w:r>
          </w:p>
        </w:tc>
        <w:tc>
          <w:tcPr>
            <w:tcW w:w="7304" w:type="dxa"/>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kern w:val="0"/>
                <w:sz w:val="24"/>
                <w:szCs w:val="24"/>
                <w:highlight w:val="none"/>
              </w:rPr>
              <w:t>需与学校安全设备平台实现公共接口对接，以实现管理员账号单点登录功能，</w:t>
            </w:r>
            <w:r>
              <w:rPr>
                <w:rFonts w:hint="default" w:ascii="Times New Roman" w:hAnsi="Times New Roman" w:eastAsia="宋体" w:cs="Times New Roman"/>
                <w:color w:val="auto"/>
                <w:sz w:val="24"/>
                <w:szCs w:val="24"/>
                <w:highlight w:val="none"/>
              </w:rPr>
              <w:t>需在投标时提供单点登录对接的证明材料（技术方案、功能截图等），我校</w:t>
            </w:r>
            <w:r>
              <w:rPr>
                <w:rFonts w:hint="default" w:ascii="Times New Roman" w:hAnsi="Times New Roman" w:eastAsia="宋体" w:cs="Times New Roman"/>
                <w:bCs/>
                <w:color w:val="auto"/>
                <w:kern w:val="0"/>
                <w:sz w:val="24"/>
                <w:szCs w:val="24"/>
                <w:highlight w:val="none"/>
              </w:rPr>
              <w:t>安全平台</w:t>
            </w:r>
            <w:r>
              <w:rPr>
                <w:rFonts w:hint="default" w:ascii="Times New Roman" w:hAnsi="Times New Roman" w:eastAsia="宋体" w:cs="Times New Roman"/>
                <w:color w:val="auto"/>
                <w:sz w:val="24"/>
                <w:szCs w:val="24"/>
                <w:highlight w:val="none"/>
                <w:lang w:bidi="ar"/>
              </w:rPr>
              <w:t>对接开放接口包括API接口和LADP接口。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46"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服务要求</w:t>
            </w:r>
          </w:p>
        </w:tc>
        <w:tc>
          <w:tcPr>
            <w:tcW w:w="7304" w:type="dxa"/>
            <w:noWrap w:val="0"/>
            <w:vAlign w:val="top"/>
          </w:tcPr>
          <w:p>
            <w:pPr>
              <w:widowControl/>
              <w:spacing w:line="360" w:lineRule="auto"/>
              <w:jc w:val="left"/>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rPr>
              <w:t>本次提供规则库（包括：WEB应用防护识别库、IPS特征库、僵尸网络防护库、实时漏洞分析识别库和URL&amp;应用识别库）不少于3年更新，提供不少于3年硬件质保和软件升级服务。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46"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7304" w:type="dxa"/>
            <w:noWrap w:val="0"/>
            <w:vAlign w:val="top"/>
          </w:tcPr>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本次项目中如需要进行API接口定制实现</w:t>
            </w:r>
            <w:r>
              <w:rPr>
                <w:rFonts w:hint="default" w:ascii="Times New Roman" w:hAnsi="Times New Roman" w:eastAsia="宋体" w:cs="Times New Roman"/>
                <w:color w:val="auto"/>
                <w:kern w:val="0"/>
                <w:sz w:val="24"/>
                <w:szCs w:val="24"/>
                <w:highlight w:val="none"/>
              </w:rPr>
              <w:t>冗余部署</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威胁情报共享</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终端协同防护</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安全协同认证等</w:t>
            </w:r>
            <w:r>
              <w:rPr>
                <w:rFonts w:hint="default" w:ascii="Times New Roman" w:hAnsi="Times New Roman" w:eastAsia="宋体" w:cs="Times New Roman"/>
                <w:color w:val="auto"/>
                <w:sz w:val="24"/>
                <w:szCs w:val="24"/>
                <w:highlight w:val="none"/>
              </w:rPr>
              <w:t>功能，产生的定制费用由投标方承担。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46"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资质要求</w:t>
            </w:r>
          </w:p>
        </w:tc>
        <w:tc>
          <w:tcPr>
            <w:tcW w:w="7304" w:type="dxa"/>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要求所投产品具备中国信息安全测评中心出具的国家信息安全漏洞库兼容性资质证书。</w:t>
            </w:r>
          </w:p>
        </w:tc>
      </w:tr>
    </w:tbl>
    <w:p>
      <w:pPr>
        <w:spacing w:line="360" w:lineRule="auto"/>
        <w:jc w:val="left"/>
        <w:rPr>
          <w:rFonts w:hint="default" w:ascii="Times New Roman" w:hAnsi="Times New Roman" w:eastAsia="宋体" w:cs="Times New Roman"/>
          <w:color w:val="auto"/>
          <w:sz w:val="24"/>
          <w:szCs w:val="24"/>
          <w:highlight w:val="none"/>
        </w:rPr>
      </w:pPr>
    </w:p>
    <w:p>
      <w:pPr>
        <w:spacing w:line="360" w:lineRule="auto"/>
        <w:jc w:val="left"/>
        <w:rPr>
          <w:rFonts w:hint="default" w:ascii="Times New Roman" w:hAnsi="Times New Roman" w:eastAsia="宋体" w:cs="Times New Roman"/>
          <w:color w:val="auto"/>
          <w:sz w:val="24"/>
          <w:szCs w:val="24"/>
          <w:highlight w:val="none"/>
        </w:rPr>
      </w:pPr>
    </w:p>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光纤SAN交换机（2套）</w:t>
      </w:r>
    </w:p>
    <w:tbl>
      <w:tblPr>
        <w:tblStyle w:val="59"/>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shd w:val="clear" w:color="000000" w:fill="FFFFFF"/>
            <w:noWrap w:val="0"/>
            <w:vAlign w:val="center"/>
          </w:tcPr>
          <w:p>
            <w:pPr>
              <w:spacing w:line="360" w:lineRule="auto"/>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指标项</w:t>
            </w:r>
          </w:p>
        </w:tc>
        <w:tc>
          <w:tcPr>
            <w:tcW w:w="6879" w:type="dxa"/>
            <w:shd w:val="clear" w:color="000000" w:fill="FFFFFF"/>
            <w:noWrap w:val="0"/>
            <w:vAlign w:val="top"/>
          </w:tcPr>
          <w:p>
            <w:pPr>
              <w:spacing w:line="360" w:lineRule="auto"/>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vMerge w:val="restart"/>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端口</w:t>
            </w: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单台光纤交换机最大支持≥24个端口，最大可支持32G, 本次激活24端口，配置24个16Gb/s短波SFP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vMerge w:val="continue"/>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光纤交换机架构为无阻塞，全线速单个端口最大32Gbps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815"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带宽要求</w:t>
            </w: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整机吞吐容量不低于768Gbps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电源</w:t>
            </w: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配置单电源模块及本地标准电源线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可管理性</w:t>
            </w: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支持Web和Console方式的设备管理，提供集成化、图形化管理工具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15"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服务与授权</w:t>
            </w:r>
          </w:p>
        </w:tc>
        <w:tc>
          <w:tcPr>
            <w:tcW w:w="6879" w:type="dxa"/>
            <w:shd w:val="clear" w:color="000000" w:fill="FFFFFF"/>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3年7*24小时免费设备保修服务，包括硬件保修电话支持、现场支持、软件升级；提供原厂商设备安装以及维保期内每季度原厂商上门巡检服务；供货前提供所涉及产品原厂商针对本项目专项授权和原厂盖章的服务承诺函。</w:t>
            </w:r>
          </w:p>
        </w:tc>
      </w:tr>
    </w:tbl>
    <w:p>
      <w:pPr>
        <w:widowControl/>
        <w:spacing w:line="360" w:lineRule="auto"/>
        <w:jc w:val="left"/>
        <w:rPr>
          <w:rFonts w:hint="default" w:ascii="Times New Roman" w:hAnsi="Times New Roman" w:eastAsia="宋体" w:cs="Times New Roman"/>
          <w:color w:val="auto"/>
          <w:kern w:val="0"/>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全闪存储（1套）</w:t>
      </w:r>
    </w:p>
    <w:tbl>
      <w:tblPr>
        <w:tblStyle w:val="59"/>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color w:val="auto"/>
                <w:sz w:val="24"/>
                <w:szCs w:val="24"/>
                <w:highlight w:val="none"/>
              </w:rPr>
              <w:t>指标项</w:t>
            </w:r>
          </w:p>
        </w:tc>
        <w:tc>
          <w:tcPr>
            <w:tcW w:w="4248" w:type="pct"/>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color w:val="auto"/>
                <w:sz w:val="24"/>
                <w:szCs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体系结构</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全闪统一存储系统，同时支持NAS、IP SAN、FC SAN和vVol模式， SAN控制器和NAS控制器需采用统一硬件模块，并配置统一存储SAN和NAS软件许可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控制器</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本次配置≥2个控制器，配置系统一级缓存≥128GB（非闪存卡或SSD扩展方式）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pct"/>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最大支持存储主机端口数≥24个，支持主机接口类型：8Gb、16Gb FC主机接口、1Gb、10Gb网络主机接口；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1" w:type="pct"/>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4248" w:type="pct"/>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本次配置16Gb FC接口≥4个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51" w:type="pct"/>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硬盘支持与配置</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配置≥10块3.84T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单台磁盘阵列（不包括集群或存储虚拟化）最大可扩展到≥750块硬盘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后端磁盘接口</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配置后端SAS磁盘连接，接口速度12Gb/s，后端磁盘带宽≥192Gb/s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高可靠性</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磁盘阵列系统具有高可靠性，达到99.999%可用性；具有关键部件冗余配置，在线维护能力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RAID方式</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支持多种RAID存储方式，至少包括RAID10，RAID5，RAID6。支持不同RAID级别并存，支持动态RAID技术，可单盘扩充容量，无需专用热备盘，硬盘失效后剩余硬盘可同时参与数据重构速度快，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空间优化</w:t>
            </w:r>
          </w:p>
        </w:tc>
        <w:tc>
          <w:tcPr>
            <w:tcW w:w="4248" w:type="pct"/>
            <w:noWrap w:val="0"/>
            <w:vAlign w:val="top"/>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在全闪资源池下支持LUN级别的压缩功能、块级和文件级重复数据消除功能，可随时打开或关闭重删压缩功能， 供货时提供上述产品功能截图。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数据复制及迁移</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配置数据复制功能许可，支持同步和异步方式，支持基于阵列的数据级和文件级的复制功能，支持本地和远程数据复制功能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数据保护</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配置数据保护套件许可，支持本地自动快照、本地克隆技术，实现数据逻辑故障保护；磁盘阵列内置I/O数据拆分功能，结合连续数据保护装置支持连续数据保护功能，能实现IO级别恢复粒度，能够提供无限恢复点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虚拟化数据保护</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支持VMware虚拟机连续数据保护功能，内置VMware平台I/O数据拆分器，支持数据块级别以及Vmware虚拟机级别持续数据保护，可以轻松完成任意时间点的数据回滚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数据分层功能</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数据自动分层功能许可，可支持SSD、SAS、NL-SAS三层分层架构，根据数据的活动状况，自动将热点数据调整到高速磁盘上，将非热点数据调整到低速磁盘上；可设置迁移策略和迁移时间，迁移过程对主机透明，无需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兼容性</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本次投标存储需与学校存储资源池互联互通，可以实现底层存储资源自动调配。可通过存储网关或第三方软硬件产品实现该功能。投标时需提供技术方案。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文件系统功能</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配置NAS功能，支持≥1500文件系统，单个文件系统容量≥256TB，可动态收缩和扩展，支持IP多租户逻辑分割。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行为追溯功能</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存储客户端操作记录追溯功能许可20个，具有文本日志生成功能，针对所有操作形成文本日志，方便检索。包括:所使用的软件,远程系统,商务软件和没有内部日志记录功能的软件；支持用户特殊操作行为识别，能够记录用户是否进行了复制、删除、USB设备使用或打印机，并支持文本查询和视频回放，可使用第三方软硬件实现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多路径支持</w:t>
            </w:r>
          </w:p>
        </w:tc>
        <w:tc>
          <w:tcPr>
            <w:tcW w:w="4248"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支持设备原厂商多路径软件，实现对主机的多通道路径访问以及对应用透明的自动故障通道切换及负载均衡，具备在SAN环境中的负载均衡功能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云原生支持功能</w:t>
            </w:r>
          </w:p>
        </w:tc>
        <w:tc>
          <w:tcPr>
            <w:tcW w:w="4248" w:type="pct"/>
            <w:noWrap w:val="0"/>
            <w:vAlign w:val="top"/>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支持在存储中快速部署企业级容器集群功能，支持客户的云原生应用部署，提供容器平台的集中应用和平台日志管理和运维监控功能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1" w:type="pc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服务与授权</w:t>
            </w:r>
          </w:p>
        </w:tc>
        <w:tc>
          <w:tcPr>
            <w:tcW w:w="4248" w:type="pct"/>
            <w:noWrap w:val="0"/>
            <w:vAlign w:val="center"/>
          </w:tcPr>
          <w:p>
            <w:pPr>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3年7*24小时免费设备保修服务，包括硬件保修电话支持、现场支持、软件升级；提供原厂商设备安装以及维保期内每季度原厂商上门巡检服务；供货前提供所涉及产品原厂商针对本项目专项授权和原厂盖章的服务承诺函</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虚拟化服务器（17套）</w:t>
      </w:r>
    </w:p>
    <w:p>
      <w:pPr>
        <w:spacing w:line="360" w:lineRule="auto"/>
        <w:jc w:val="left"/>
        <w:rPr>
          <w:rFonts w:hint="default" w:ascii="Times New Roman" w:hAnsi="Times New Roman" w:eastAsia="宋体" w:cs="Times New Roman"/>
          <w:color w:val="auto"/>
          <w:sz w:val="24"/>
          <w:szCs w:val="24"/>
          <w:highlight w:val="none"/>
        </w:rPr>
      </w:pPr>
    </w:p>
    <w:tbl>
      <w:tblPr>
        <w:tblStyle w:val="59"/>
        <w:tblW w:w="83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shd w:val="clear" w:color="000000" w:fill="D8D8D8"/>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指标项</w:t>
            </w:r>
          </w:p>
        </w:tc>
        <w:tc>
          <w:tcPr>
            <w:tcW w:w="6804" w:type="dxa"/>
            <w:shd w:val="clear" w:color="000000" w:fill="D8D8D8"/>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详细功能要求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规格</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≥2U机架式，带滑动导轨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CPU</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CPU≥2*金牌 5318Y 2.1G, 24C/48T, 11.2GT/s, 36M 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内存</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6 个 DDR4 DIMM 插槽，支持最大 1 TB RDIMM，速率为3200 MT/s。本次配置≥8*64GB内存条。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硬盘</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本次配置：≥2块480G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RAID卡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配置独立RAID卡，支持raid 0、1、5、6、10；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万兆光口网卡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本次配置≥双口10GbE SFP+光口（含2个原厂万兆模块）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千兆电口网卡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本次配置≥四端口1GbE BASE-T网卡；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FC卡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本次配置≥双口端口16Gb光纤通道HBA；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PCIe扩展</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最大支持≥5个I/O插槽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安全性</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各级单位对学校服务器的相关网络安全要求，本服务器需具备主机安全防护功能:实现将主机客户端检测出来的恶意文件事件、暴力破解事件、微隔离事件的日志上报到网络态势感知安全平台进行分析和展示，同时管理员能够在数据安全平台管理界面下发一键隔离指令，对主机所有连接进行阻断，防止病毒进一步扩散，并查看任务处置状态、结果。可使用第三方软硬件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管理</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配有独立远程管理卡（支持远程监控图形界面,可实现与操作系统无关的远程对服务器的完全控制，包括远程的开关机、重启、更新Firmware,虚拟KVM,虚拟软驱,虚拟光驱等操作）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行为追溯功能</w:t>
            </w:r>
          </w:p>
        </w:tc>
        <w:tc>
          <w:tcPr>
            <w:tcW w:w="6804" w:type="dxa"/>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配置服务器客户端操作记录追溯功能许可，具有文本日志生成功能，针对所有操作形成文本日志，方便检索。包括:所使用的软件,远程系统,商务软件和没有内部日志记录功能的软件；支持用户特殊操作行为识别，能够记录用户是否进行了复制、删除、USB设备使用或打印机，并支持文本查询和视频回放，可使用第三方软硬件实现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电源</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配置热插拔电源,电源冗余 (1+1)电源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风扇</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配置热插拨冗余风扇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服务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Cs w:val="21"/>
                <w:highlight w:val="none"/>
              </w:rPr>
              <w:t>提供7年7*24小时免费设备保修服务，包括硬件保修电话支持、现场支持、软件升级；供货前提供所涉及产品原厂商针对本项目专项授权和原厂盖章的服务承诺函</w:t>
            </w:r>
          </w:p>
        </w:tc>
      </w:tr>
    </w:tbl>
    <w:p>
      <w:pPr>
        <w:spacing w:line="360" w:lineRule="auto"/>
        <w:jc w:val="left"/>
        <w:rPr>
          <w:rFonts w:hint="default" w:ascii="Times New Roman" w:hAnsi="Times New Roman" w:eastAsia="宋体" w:cs="Times New Roman"/>
          <w:color w:val="auto"/>
          <w:sz w:val="24"/>
          <w:szCs w:val="24"/>
          <w:highlight w:val="none"/>
        </w:rPr>
      </w:pPr>
    </w:p>
    <w:p>
      <w:pPr>
        <w:pStyle w:val="3"/>
        <w:numPr>
          <w:ilvl w:val="0"/>
          <w:numId w:val="32"/>
        </w:num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高性能计算服务器（6套）</w:t>
      </w:r>
    </w:p>
    <w:tbl>
      <w:tblPr>
        <w:tblStyle w:val="59"/>
        <w:tblW w:w="83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shd w:val="clear" w:color="000000" w:fill="D8D8D8"/>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指标项</w:t>
            </w:r>
          </w:p>
        </w:tc>
        <w:tc>
          <w:tcPr>
            <w:tcW w:w="6804" w:type="dxa"/>
            <w:shd w:val="clear" w:color="000000" w:fill="D8D8D8"/>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详细功能要求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规格</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≥2U机架式，带滑动导轨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CPU</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CPU≥2*英特尔至强 金牌 6330 2G, 28C/56T, 11.2GT/s, 42M 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内存</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32 个 DDR4 DIMM 插槽，支持最大 4TB RDIMM，速率为3200 MT/s。本次配置≥8*64GB内存条。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硬盘</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本次配置：≥3块2.4TB硬盘。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RAID卡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配置独立RAID卡，支持raid 0、1、5、6、10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万兆光口网卡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本次配置≥双口10GbE SFP+网口含2个原厂万兆模块）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千兆电口网卡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本次配置≥四端口1GbE BASE-T网卡；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50" w:type="dxa"/>
            <w:vMerge w:val="restart"/>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PCIe扩展</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支持≥8个PCIe 4.0插槽，最多支持≥6个x16 PCIe 4.0插槽，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vMerge w:val="continue"/>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本次至少配有2个x16 PCIe插槽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GPU配置</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配置≥1块NVIDIA A800显卡， 显存容量≥80GB HBM2e，NVLink bridge≥400 GB/s；配置相关GPU套件。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安全性</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各级单位对学校服务器的相关网络安全要求，本服务器需具备主机安全防护功能:实现将主机客户端检测出来的恶意文件事件、暴力破解事件、微隔离事件的日志上报到网络态势感知安全平台进行分析和展示，同时管理员能够在数据安全平台管理界面下发一键隔离指令，对主机所有连接进行阻断，防止病毒进一步扩散，并查看任务处置状态、结果。可使用第三方软硬件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管理</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配有独立远程管理卡（支持远程监控图形界面,可实现与操作系统无关的远程对服务器的完全控制，包括远程的开关机、重启、更新Firmware,虚拟KVM,虚拟软驱,虚拟光驱等操作）；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行为追溯功能</w:t>
            </w:r>
          </w:p>
        </w:tc>
        <w:tc>
          <w:tcPr>
            <w:tcW w:w="6804" w:type="dxa"/>
            <w:noWrap w:val="0"/>
            <w:vAlign w:val="center"/>
          </w:tcPr>
          <w:p>
            <w:pPr>
              <w:widowControl/>
              <w:spacing w:line="360" w:lineRule="auto"/>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配置服务器客户端操作记录追溯功能许可，具有文本日志生成功能，针对所有操作形成文本日志，方便检索。包括:所使用的软件,远程系统,商务软件和没有内部日志记录功能的软件；支持用户特殊操作行为识别，能够记录用户是否进行了复制、删除、USB设备使用或打印机，并支持文本查询和视频回放，可使用第三方软硬件实现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电源</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配置热插拔电源,电源冗余 (1+1)电源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风扇</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配置热插拨冗余风扇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50"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服务</w:t>
            </w:r>
          </w:p>
        </w:tc>
        <w:tc>
          <w:tcPr>
            <w:tcW w:w="6804" w:type="dxa"/>
            <w:noWrap w:val="0"/>
            <w:vAlign w:val="center"/>
          </w:tcPr>
          <w:p>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Cs w:val="21"/>
                <w:highlight w:val="none"/>
              </w:rPr>
              <w:t>提供3年7*24小时免费设备保修服务，包括硬件保修电话支持、现场支持、软件升级；供货前提供所涉及产品原厂商针对本项目专项授权和原厂盖章的服务承诺函</w:t>
            </w:r>
          </w:p>
        </w:tc>
      </w:tr>
    </w:tbl>
    <w:p>
      <w:pPr>
        <w:rPr>
          <w:rFonts w:hint="default" w:ascii="Times New Roman" w:hAnsi="Times New Roman" w:eastAsia="仿宋" w:cs="Times New Roman"/>
          <w:color w:val="auto"/>
          <w:sz w:val="24"/>
          <w:szCs w:val="24"/>
          <w:highlight w:val="none"/>
        </w:rPr>
      </w:pPr>
    </w:p>
    <w:p>
      <w:pPr>
        <w:rPr>
          <w:rFonts w:hint="default" w:ascii="Times New Roman" w:hAnsi="Times New Roman" w:eastAsia="仿宋" w:cs="Times New Roman"/>
          <w:color w:val="auto"/>
          <w:sz w:val="24"/>
          <w:szCs w:val="24"/>
          <w:highlight w:val="none"/>
        </w:rPr>
      </w:pPr>
    </w:p>
    <w:p>
      <w:pPr>
        <w:pStyle w:val="2"/>
        <w:rPr>
          <w:rFonts w:hint="default" w:ascii="Times New Roman" w:hAnsi="Times New Roman" w:eastAsia="仿宋" w:cs="Times New Roman"/>
          <w:color w:val="auto"/>
          <w:sz w:val="24"/>
          <w:szCs w:val="24"/>
          <w:highlight w:val="none"/>
        </w:rPr>
      </w:pPr>
    </w:p>
    <w:p>
      <w:pPr>
        <w:rPr>
          <w:rFonts w:hint="default" w:ascii="Times New Roman" w:hAnsi="Times New Roman" w:eastAsia="仿宋" w:cs="Times New Roman"/>
          <w:color w:val="auto"/>
          <w:sz w:val="24"/>
          <w:szCs w:val="24"/>
          <w:highlight w:val="none"/>
        </w:rPr>
      </w:pPr>
    </w:p>
    <w:p>
      <w:pPr>
        <w:rPr>
          <w:rFonts w:hint="default"/>
        </w:rPr>
      </w:pPr>
    </w:p>
    <w:p>
      <w:pPr>
        <w:spacing w:before="156" w:beforeLines="50"/>
        <w:rPr>
          <w:rFonts w:hint="default" w:ascii="Times New Roman" w:hAnsi="Times New Roman" w:eastAsia="仿宋" w:cs="Times New Roman"/>
          <w:b/>
          <w:bCs/>
          <w:color w:val="auto"/>
          <w:sz w:val="32"/>
          <w:szCs w:val="32"/>
          <w:highlight w:val="none"/>
        </w:rPr>
      </w:pPr>
    </w:p>
    <w:p>
      <w:pPr>
        <w:spacing w:before="156" w:beforeLines="5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2、商务要求表</w:t>
      </w:r>
    </w:p>
    <w:tbl>
      <w:tblPr>
        <w:tblStyle w:val="59"/>
        <w:tblW w:w="4954"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120"/>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0"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▲项目工期（交货期）及地点</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项目工期：</w:t>
            </w:r>
            <w:r>
              <w:rPr>
                <w:rFonts w:hint="default" w:ascii="Times New Roman" w:hAnsi="Times New Roman" w:eastAsia="仿宋" w:cs="Times New Roman"/>
                <w:color w:val="auto"/>
                <w:sz w:val="28"/>
                <w:szCs w:val="28"/>
                <w:highlight w:val="none"/>
              </w:rPr>
              <w:t>合同签订后10个工作日内完成安装、调试，用户指定地点。</w:t>
            </w:r>
          </w:p>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地点：用户指定地点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000"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▲付款条件（明确是否需要履约保证金）</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kern w:val="0"/>
                <w:sz w:val="28"/>
                <w:szCs w:val="28"/>
                <w:highlight w:val="none"/>
              </w:rPr>
              <w:t>履约保证金</w:t>
            </w:r>
            <w:r>
              <w:rPr>
                <w:rFonts w:hint="default" w:ascii="Times New Roman" w:hAnsi="Times New Roman" w:eastAsia="仿宋" w:cs="Times New Roman"/>
                <w:color w:val="auto"/>
                <w:kern w:val="0"/>
                <w:sz w:val="28"/>
                <w:szCs w:val="28"/>
                <w:highlight w:val="none"/>
              </w:rPr>
              <w:t xml:space="preserve">： </w:t>
            </w:r>
          </w:p>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合同签订后</w:t>
            </w:r>
            <w:r>
              <w:rPr>
                <w:rFonts w:hint="default" w:ascii="Times New Roman" w:hAnsi="Times New Roman" w:eastAsia="仿宋" w:cs="Times New Roman"/>
                <w:color w:val="auto"/>
                <w:sz w:val="28"/>
                <w:szCs w:val="28"/>
                <w:highlight w:val="none"/>
              </w:rPr>
              <w:t>7个工作日内，中标人（乙方）向采购人（甲方）交纳履约保证金（</w:t>
            </w:r>
            <w:r>
              <w:rPr>
                <w:rFonts w:hint="default" w:ascii="Times New Roman" w:hAnsi="Times New Roman" w:eastAsia="仿宋" w:cs="Times New Roman"/>
                <w:b/>
                <w:color w:val="auto"/>
                <w:sz w:val="28"/>
                <w:szCs w:val="28"/>
                <w:highlight w:val="none"/>
              </w:rPr>
              <w:t>合同金额的1.0%</w:t>
            </w:r>
            <w:r>
              <w:rPr>
                <w:rFonts w:hint="default" w:ascii="Times New Roman" w:hAnsi="Times New Roman" w:eastAsia="仿宋" w:cs="Times New Roman"/>
                <w:color w:val="auto"/>
                <w:sz w:val="28"/>
                <w:szCs w:val="28"/>
                <w:highlight w:val="none"/>
              </w:rPr>
              <w:t>）。（提交方式：支票、汇票、本票或者金融机构、担保机构出具的保函等非现金形式）在没有发生质量索赔的情况下，履约保证金在验收合格后及时无息退还。</w:t>
            </w:r>
          </w:p>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付款条件</w:t>
            </w:r>
            <w:r>
              <w:rPr>
                <w:rFonts w:hint="default" w:ascii="Times New Roman" w:hAnsi="Times New Roman" w:eastAsia="仿宋" w:cs="Times New Roman"/>
                <w:color w:val="auto"/>
                <w:sz w:val="28"/>
                <w:szCs w:val="28"/>
                <w:highlight w:val="none"/>
              </w:rPr>
              <w:t>：⑴供应商提交银行、保险公司等金融机构出具的预付款保函（保函数额与预付款金额相同）；支付时间和数额：合同生效并具备实施条件后7个工作日内，采购人向中标人支付合同金额50%的预付款。剩余合同款项在验收合格后，凭验收合格证明材料、发票、履约保证金凭证到采购人处结算。采购人在7个工作日内向成交供应商支付全部合同余款。</w:t>
            </w:r>
          </w:p>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⑵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00"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违约责任及争议解决方式</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无特别说明，按“第五章  浙江省政府采购合同主要条款指引”相关违约责任及争议解决方式内容。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00"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验收</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中标人应提供合同货物的有效检验文件，经采购方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pPr>
              <w:keepNext w:val="0"/>
              <w:keepLines w:val="0"/>
              <w:pageBreakBefore w:val="0"/>
              <w:widowControl/>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2.投标人应在投标文件中提供合同货物的验收标准和检测办法，并在验收中提供采购人认可的相应检测手段，验收标准应符合中国有关的国家、地方、行业的标准，如若中标，经采购人确认后作为验收的依据。</w:t>
            </w:r>
          </w:p>
          <w:p>
            <w:pPr>
              <w:keepNext w:val="0"/>
              <w:keepLines w:val="0"/>
              <w:pageBreakBefore w:val="0"/>
              <w:widowControl/>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3.软件产品验收时需由中标人提供原厂知识产权证书及授权书。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37" w:type="pct"/>
            <w:vMerge w:val="restar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售后服务</w:t>
            </w:r>
          </w:p>
        </w:tc>
        <w:tc>
          <w:tcPr>
            <w:tcW w:w="662"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质保期</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eastAsia="zh-CN"/>
              </w:rPr>
              <w:t>虚拟化服务器保修7年，</w:t>
            </w:r>
            <w:r>
              <w:rPr>
                <w:rFonts w:hint="default" w:ascii="Times New Roman" w:hAnsi="Times New Roman" w:eastAsia="仿宋" w:cs="Times New Roman"/>
                <w:color w:val="auto"/>
                <w:sz w:val="28"/>
                <w:szCs w:val="28"/>
                <w:highlight w:val="none"/>
                <w:lang w:val="en-US" w:eastAsia="zh-CN"/>
              </w:rPr>
              <w:t>其余设备</w:t>
            </w:r>
            <w:r>
              <w:rPr>
                <w:rFonts w:hint="default" w:ascii="Times New Roman" w:hAnsi="Times New Roman" w:eastAsia="仿宋" w:cs="Times New Roman"/>
                <w:color w:val="auto"/>
                <w:sz w:val="28"/>
                <w:szCs w:val="28"/>
                <w:highlight w:val="none"/>
                <w:lang w:eastAsia="zh-CN"/>
              </w:rPr>
              <w:t>质保</w:t>
            </w:r>
            <w:r>
              <w:rPr>
                <w:rFonts w:hint="default" w:ascii="Times New Roman" w:hAnsi="Times New Roman" w:eastAsia="仿宋" w:cs="Times New Roman"/>
                <w:color w:val="auto"/>
                <w:sz w:val="28"/>
                <w:szCs w:val="28"/>
                <w:highlight w:val="none"/>
                <w:lang w:val="en-US" w:eastAsia="zh-CN"/>
              </w:rPr>
              <w:t>3年，</w:t>
            </w:r>
            <w:r>
              <w:rPr>
                <w:rFonts w:hint="default" w:ascii="Times New Roman" w:hAnsi="Times New Roman" w:eastAsia="仿宋" w:cs="Times New Roman"/>
                <w:color w:val="auto"/>
                <w:sz w:val="28"/>
                <w:szCs w:val="28"/>
                <w:highlight w:val="none"/>
              </w:rPr>
              <w:t>（自项目验收合格交付使用之日起计），</w:t>
            </w:r>
            <w:r>
              <w:rPr>
                <w:rFonts w:hint="default" w:ascii="Times New Roman" w:hAnsi="Times New Roman" w:eastAsia="仿宋" w:cs="Times New Roman"/>
                <w:color w:val="auto"/>
                <w:sz w:val="28"/>
                <w:szCs w:val="28"/>
                <w:highlight w:val="none"/>
                <w:lang w:eastAsia="zh-CN"/>
              </w:rPr>
              <w:t>质保期内需</w:t>
            </w:r>
            <w:r>
              <w:rPr>
                <w:rFonts w:hint="default" w:ascii="Times New Roman" w:hAnsi="Times New Roman" w:eastAsia="仿宋" w:cs="Times New Roman"/>
                <w:color w:val="auto"/>
                <w:sz w:val="28"/>
                <w:szCs w:val="28"/>
                <w:highlight w:val="none"/>
              </w:rPr>
              <w:t>上门服务</w:t>
            </w:r>
            <w:r>
              <w:rPr>
                <w:rFonts w:hint="default" w:ascii="Times New Roman" w:hAnsi="Times New Roman" w:eastAsia="仿宋" w:cs="Times New Roman"/>
                <w:color w:val="auto"/>
                <w:sz w:val="28"/>
                <w:szCs w:val="28"/>
                <w:highlight w:val="none"/>
                <w:lang w:eastAsia="zh-CN"/>
              </w:rPr>
              <w:t>时不另行收费</w:t>
            </w:r>
            <w:r>
              <w:rPr>
                <w:rFonts w:hint="default" w:ascii="Times New Roman" w:hAnsi="Times New Roman" w:eastAsia="仿宋" w:cs="Times New Roman"/>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37" w:type="pct"/>
            <w:vMerge w:val="continue"/>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p>
        </w:tc>
        <w:tc>
          <w:tcPr>
            <w:tcW w:w="662"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项目维护计划</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1.在验收完成15天内产品存在任何质量问题，中标人负责更换。设施设备质保期满后提供上门服务，仅收取材料费，在质保期内，如设备存在质量问题的，中标人需进行备件或零部件更换；</w:t>
            </w:r>
          </w:p>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2．投标人应具有完善的售后服务体系，建有零配件仓库。投标人应提供质保期后的服务计划或建议，明确收费事项及标准；</w:t>
            </w:r>
          </w:p>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3．提供中标人售后服务部门及维修网点的联系电话；</w:t>
            </w:r>
          </w:p>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4．投标人的售后服务应以用户能够获得系统良好的使用效果和技术支持为目的，投标人应随投标文件提交一份售后服务和技术支持计划。应包括有：</w:t>
            </w:r>
          </w:p>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1）质保期内及质保期后系统故障多长时间内响应；</w:t>
            </w:r>
          </w:p>
          <w:p>
            <w:pPr>
              <w:keepNext w:val="0"/>
              <w:keepLines w:val="0"/>
              <w:pageBreakBefore w:val="0"/>
              <w:kinsoku/>
              <w:wordWrap/>
              <w:overflowPunct/>
              <w:topLinePunct w:val="0"/>
              <w:autoSpaceDE w:val="0"/>
              <w:autoSpaceDN w:val="0"/>
              <w:bidi w:val="0"/>
              <w:adjustRightInd w:val="0"/>
              <w:snapToGrid w:val="0"/>
              <w:spacing w:line="340" w:lineRule="exact"/>
              <w:textAlignment w:val="bottom"/>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2）质保期内常用零配件价格清单。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37"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auto"/>
                <w:sz w:val="28"/>
                <w:szCs w:val="28"/>
                <w:highlight w:val="none"/>
              </w:rPr>
            </w:pPr>
          </w:p>
        </w:tc>
        <w:tc>
          <w:tcPr>
            <w:tcW w:w="662"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售后服务响应情况</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投标人在保修期内，软硬件系统出现故障影响正常运行的，7×24小时响应，2小时必须响应到场。其它要求24小时现场响应，同时承诺向用户提供良好的长期保修、维护、服务和技术支持。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7"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auto"/>
                <w:sz w:val="28"/>
                <w:szCs w:val="28"/>
                <w:highlight w:val="none"/>
              </w:rPr>
            </w:pPr>
          </w:p>
        </w:tc>
        <w:tc>
          <w:tcPr>
            <w:tcW w:w="662"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技术培训</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交货后进行1次以上原厂现场培训(包括软件)，确保设备能正常使用和操作。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7" w:type="pct"/>
            <w:vMerge w:val="restart"/>
            <w:tcBorders>
              <w:top w:val="nil"/>
              <w:left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履约能力</w:t>
            </w:r>
          </w:p>
        </w:tc>
        <w:tc>
          <w:tcPr>
            <w:tcW w:w="662"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投标人技术力量情况</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具有ISO9001质量管理体系认证证书、</w:t>
            </w:r>
          </w:p>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ISO14001环境管理体系认证证书、</w:t>
            </w:r>
          </w:p>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ISO45001职业健康安全管理体系认证证书，</w:t>
            </w:r>
          </w:p>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提供一份证书得1分，最高得3分。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37" w:type="pct"/>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auto"/>
                <w:sz w:val="28"/>
                <w:szCs w:val="28"/>
                <w:highlight w:val="none"/>
              </w:rPr>
            </w:pPr>
          </w:p>
        </w:tc>
        <w:tc>
          <w:tcPr>
            <w:tcW w:w="662"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经验或业绩要求</w:t>
            </w:r>
          </w:p>
        </w:tc>
        <w:tc>
          <w:tcPr>
            <w:tcW w:w="4000"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4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投标人提供自2020年1月1日（以合同签订日期为准）至今，具备同类项目的案例，每提供一份合同得0.5分，最高得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分，须提供完整清晰的合同扫描件，不提供不得分。</w:t>
            </w:r>
          </w:p>
        </w:tc>
      </w:tr>
    </w:tbl>
    <w:p>
      <w:pPr>
        <w:rPr>
          <w:rFonts w:hint="default" w:ascii="Times New Roman" w:hAnsi="Times New Roman" w:eastAsia="仿宋" w:cs="Times New Roman"/>
          <w:b/>
          <w:color w:val="C00000"/>
          <w:sz w:val="28"/>
          <w:szCs w:val="28"/>
          <w:highlight w:val="none"/>
        </w:rPr>
      </w:pPr>
    </w:p>
    <w:bookmarkEnd w:id="32"/>
    <w:p>
      <w:pPr>
        <w:widowControl/>
        <w:jc w:val="left"/>
        <w:rPr>
          <w:rFonts w:ascii="仿宋" w:hAnsi="仿宋" w:eastAsia="仿宋" w:cs="仿宋"/>
          <w:b/>
          <w:bCs/>
          <w:color w:val="000000"/>
          <w:spacing w:val="30"/>
          <w:sz w:val="28"/>
          <w:szCs w:val="28"/>
        </w:rPr>
      </w:pPr>
    </w:p>
    <w:p>
      <w:pPr>
        <w:pStyle w:val="2"/>
      </w:pPr>
    </w:p>
    <w:p/>
    <w:p>
      <w:pPr>
        <w:pStyle w:val="31"/>
        <w:spacing w:before="156" w:after="156" w:line="360" w:lineRule="auto"/>
        <w:jc w:val="both"/>
        <w:outlineLvl w:val="0"/>
        <w:rPr>
          <w:rFonts w:hint="eastAsia" w:hAnsi="宋体"/>
          <w:b/>
          <w:color w:val="000000"/>
          <w:sz w:val="36"/>
          <w:szCs w:val="36"/>
        </w:rPr>
      </w:pPr>
      <w:bookmarkStart w:id="33" w:name="_Toc26308"/>
    </w:p>
    <w:p>
      <w:pPr>
        <w:pStyle w:val="31"/>
        <w:spacing w:before="156" w:after="156" w:line="360" w:lineRule="auto"/>
        <w:ind w:firstLine="723" w:firstLineChars="200"/>
        <w:jc w:val="both"/>
        <w:outlineLvl w:val="0"/>
        <w:rPr>
          <w:rFonts w:hAnsi="宋体"/>
          <w:b/>
          <w:color w:val="000000"/>
          <w:sz w:val="36"/>
          <w:szCs w:val="36"/>
        </w:rPr>
      </w:pPr>
      <w:r>
        <w:rPr>
          <w:rFonts w:hint="eastAsia" w:hAnsi="宋体"/>
          <w:b/>
          <w:color w:val="000000"/>
          <w:sz w:val="36"/>
          <w:szCs w:val="36"/>
        </w:rPr>
        <w:t>第五章</w:t>
      </w:r>
      <w:r>
        <w:rPr>
          <w:rFonts w:hint="eastAsia" w:hAnsi="宋体"/>
          <w:b/>
          <w:color w:val="000000"/>
          <w:sz w:val="36"/>
          <w:szCs w:val="36"/>
          <w:lang w:val="en-US" w:eastAsia="zh-CN"/>
        </w:rPr>
        <w:t xml:space="preserve">  </w:t>
      </w:r>
      <w:r>
        <w:rPr>
          <w:rFonts w:hint="eastAsia" w:hAnsi="宋体"/>
          <w:b/>
          <w:color w:val="000000"/>
          <w:sz w:val="36"/>
          <w:szCs w:val="36"/>
        </w:rPr>
        <w:t>浙江省政府采购合同主要条款指引</w:t>
      </w:r>
      <w:bookmarkEnd w:id="31"/>
      <w:bookmarkEnd w:id="33"/>
    </w:p>
    <w:p>
      <w:pPr>
        <w:rPr>
          <w:color w:val="000000"/>
        </w:rPr>
      </w:pPr>
    </w:p>
    <w:p>
      <w:pPr>
        <w:pStyle w:val="31"/>
        <w:snapToGrid w:val="0"/>
        <w:spacing w:before="156" w:after="156" w:line="360" w:lineRule="auto"/>
        <w:jc w:val="center"/>
        <w:rPr>
          <w:rFonts w:ascii="仿宋" w:hAnsi="仿宋" w:eastAsia="仿宋"/>
          <w:color w:val="000000"/>
          <w:sz w:val="30"/>
          <w:szCs w:val="30"/>
        </w:rPr>
      </w:pPr>
      <w:r>
        <w:rPr>
          <w:rFonts w:hint="eastAsia" w:ascii="仿宋" w:hAnsi="仿宋" w:eastAsia="仿宋"/>
          <w:color w:val="000000"/>
          <w:sz w:val="30"/>
          <w:szCs w:val="30"/>
        </w:rPr>
        <w:t xml:space="preserve">                       合同编号：        </w:t>
      </w:r>
    </w:p>
    <w:p>
      <w:pPr>
        <w:pStyle w:val="31"/>
        <w:snapToGrid w:val="0"/>
        <w:spacing w:before="156" w:after="156"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确认书号：</w:t>
      </w:r>
    </w:p>
    <w:p>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pPr>
        <w:pStyle w:val="31"/>
        <w:adjustRightInd w:val="0"/>
        <w:snapToGrid w:val="0"/>
        <w:spacing w:before="156" w:after="156" w:line="460" w:lineRule="exact"/>
        <w:ind w:firstLine="594" w:firstLineChars="198"/>
        <w:rPr>
          <w:rFonts w:ascii="仿宋" w:hAnsi="仿宋" w:eastAsia="仿宋"/>
          <w:b/>
          <w:snapToGrid w:val="0"/>
          <w:color w:val="000000"/>
          <w:sz w:val="30"/>
          <w:szCs w:val="30"/>
        </w:rPr>
      </w:pPr>
      <w:r>
        <w:rPr>
          <w:rFonts w:hint="eastAsia" w:ascii="仿宋" w:hAnsi="仿宋" w:eastAsia="仿宋"/>
          <w:snapToGrid w:val="0"/>
          <w:color w:val="000000"/>
          <w:sz w:val="30"/>
          <w:szCs w:val="30"/>
        </w:rPr>
        <w:t>甲、乙双方根据浙江省政府采购中心关于</w:t>
      </w:r>
      <w:r>
        <w:rPr>
          <w:rFonts w:hint="eastAsia" w:ascii="仿宋" w:hAnsi="仿宋" w:eastAsia="仿宋"/>
          <w:color w:val="000000"/>
          <w:sz w:val="30"/>
          <w:szCs w:val="30"/>
        </w:rPr>
        <w:t>项目编号为      的</w:t>
      </w:r>
      <w:r>
        <w:rPr>
          <w:rFonts w:hint="eastAsia" w:ascii="仿宋" w:hAnsi="仿宋" w:eastAsia="仿宋"/>
          <w:snapToGrid w:val="0"/>
          <w:color w:val="000000"/>
          <w:sz w:val="30"/>
          <w:szCs w:val="30"/>
        </w:rPr>
        <w:t>（标项及名称）项目公开招标的结果，签署本合同。</w:t>
      </w:r>
    </w:p>
    <w:p>
      <w:pPr>
        <w:pStyle w:val="31"/>
        <w:adjustRightInd w:val="0"/>
        <w:snapToGrid w:val="0"/>
        <w:spacing w:before="156" w:after="156" w:line="460" w:lineRule="exact"/>
        <w:ind w:firstLine="641" w:firstLineChars="213"/>
        <w:rPr>
          <w:rFonts w:ascii="仿宋" w:hAnsi="仿宋" w:eastAsia="仿宋"/>
          <w:b/>
          <w:color w:val="000000"/>
          <w:sz w:val="30"/>
          <w:szCs w:val="30"/>
        </w:rPr>
      </w:pPr>
      <w:r>
        <w:rPr>
          <w:rFonts w:hint="eastAsia" w:ascii="仿宋" w:hAnsi="仿宋" w:eastAsia="仿宋"/>
          <w:b/>
          <w:snapToGrid w:val="0"/>
          <w:color w:val="000000"/>
          <w:sz w:val="30"/>
          <w:szCs w:val="30"/>
        </w:rPr>
        <w:t>一、项目内容</w:t>
      </w:r>
      <w:r>
        <w:rPr>
          <w:rFonts w:hint="eastAsia" w:ascii="仿宋" w:hAnsi="仿宋" w:eastAsia="仿宋"/>
          <w:b/>
          <w:color w:val="000000"/>
          <w:sz w:val="30"/>
          <w:szCs w:val="30"/>
        </w:rPr>
        <w:t>及合同价格</w:t>
      </w:r>
    </w:p>
    <w:p>
      <w:pPr>
        <w:pStyle w:val="31"/>
        <w:adjustRightInd w:val="0"/>
        <w:snapToGrid w:val="0"/>
        <w:spacing w:before="156" w:after="156" w:line="460" w:lineRule="exact"/>
        <w:ind w:firstLine="639" w:firstLineChars="213"/>
        <w:jc w:val="right"/>
        <w:rPr>
          <w:rFonts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项目名称</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56" w:after="156"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56" w:after="156"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639" w:firstLineChars="213"/>
              <w:rPr>
                <w:rFonts w:ascii="仿宋" w:hAnsi="仿宋" w:eastAsia="仿宋"/>
                <w:color w:val="000000"/>
                <w:sz w:val="30"/>
                <w:szCs w:val="30"/>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639" w:firstLineChars="213"/>
              <w:rPr>
                <w:rFonts w:ascii="仿宋" w:hAnsi="仿宋" w:eastAsia="仿宋"/>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432"/>
              <w:spacing w:after="120" w:line="460" w:lineRule="exact"/>
              <w:ind w:firstLine="639" w:firstLineChars="213"/>
              <w:rPr>
                <w:rFonts w:ascii="仿宋" w:hAnsi="仿宋" w:eastAsia="仿宋"/>
                <w:color w:val="000000"/>
                <w:kern w:val="2"/>
                <w:sz w:val="30"/>
                <w:szCs w:val="30"/>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432"/>
              <w:spacing w:after="120" w:line="460" w:lineRule="exact"/>
              <w:ind w:left="1890"/>
              <w:rPr>
                <w:rFonts w:ascii="仿宋" w:hAnsi="仿宋" w:eastAsia="仿宋"/>
                <w:color w:val="000000"/>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56" w:after="156" w:line="460" w:lineRule="exact"/>
              <w:ind w:firstLine="639" w:firstLineChars="213"/>
              <w:jc w:val="center"/>
              <w:rPr>
                <w:rFonts w:ascii="仿宋" w:hAnsi="仿宋" w:eastAsia="仿宋"/>
                <w:color w:val="000000"/>
                <w:sz w:val="30"/>
                <w:szCs w:val="30"/>
              </w:rPr>
            </w:pPr>
            <w:r>
              <w:rPr>
                <w:rFonts w:hint="eastAsia" w:ascii="仿宋" w:hAnsi="仿宋" w:eastAsia="仿宋"/>
                <w:color w:val="000000"/>
                <w:sz w:val="30"/>
                <w:szCs w:val="30"/>
              </w:rPr>
              <w:t>合            计</w:t>
            </w: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56" w:after="156" w:line="460" w:lineRule="exact"/>
              <w:ind w:firstLine="639" w:firstLineChars="213"/>
              <w:jc w:val="center"/>
              <w:rPr>
                <w:rFonts w:ascii="仿宋" w:hAnsi="仿宋" w:eastAsia="仿宋"/>
                <w:color w:val="000000"/>
                <w:sz w:val="30"/>
                <w:szCs w:val="30"/>
              </w:rPr>
            </w:pPr>
          </w:p>
        </w:tc>
        <w:tc>
          <w:tcPr>
            <w:tcW w:w="2472" w:type="dxa"/>
            <w:gridSpan w:val="2"/>
            <w:tcBorders>
              <w:top w:val="single" w:color="auto" w:sz="4" w:space="0"/>
              <w:left w:val="single" w:color="auto" w:sz="4" w:space="0"/>
              <w:bottom w:val="single" w:color="auto" w:sz="4" w:space="0"/>
              <w:right w:val="single" w:color="auto" w:sz="4" w:space="0"/>
            </w:tcBorders>
            <w:noWrap w:val="0"/>
            <w:vAlign w:val="top"/>
          </w:tcPr>
          <w:p>
            <w:pPr>
              <w:pStyle w:val="432"/>
              <w:spacing w:after="120" w:line="460" w:lineRule="exact"/>
              <w:ind w:firstLine="639" w:firstLineChars="213"/>
              <w:rPr>
                <w:rFonts w:ascii="仿宋" w:hAnsi="仿宋" w:eastAsia="仿宋"/>
                <w:color w:val="000000"/>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56" w:after="156" w:line="460" w:lineRule="exact"/>
              <w:rPr>
                <w:rFonts w:ascii="仿宋" w:hAnsi="仿宋" w:eastAsia="仿宋"/>
                <w:color w:val="000000"/>
                <w:sz w:val="30"/>
                <w:szCs w:val="30"/>
              </w:rPr>
            </w:pPr>
            <w:r>
              <w:rPr>
                <w:rFonts w:hint="eastAsia" w:ascii="仿宋" w:hAnsi="仿宋" w:eastAsia="仿宋"/>
                <w:color w:val="000000"/>
                <w:sz w:val="30"/>
                <w:szCs w:val="30"/>
              </w:rPr>
              <w:t>合同总价大写：                              小写：￥</w:t>
            </w:r>
          </w:p>
        </w:tc>
      </w:tr>
    </w:tbl>
    <w:p>
      <w:pPr>
        <w:pStyle w:val="31"/>
        <w:snapToGrid w:val="0"/>
        <w:spacing w:before="120" w:beforeLines="0" w:after="156" w:line="460" w:lineRule="exact"/>
        <w:ind w:left="-178" w:leftChars="-85" w:firstLine="639" w:firstLineChars="213"/>
        <w:rPr>
          <w:rFonts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w:t>
      </w:r>
    </w:p>
    <w:p>
      <w:pPr>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2.以上合同总价包含项目达到预期使用效果所需的一切费用。</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二、技术资料</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1.乙方应按招标文件规定的时间向甲方提供使用项目的有关技术资料。</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1"/>
        <w:adjustRightInd w:val="0"/>
        <w:snapToGrid w:val="0"/>
        <w:spacing w:before="156" w:after="156" w:line="460" w:lineRule="exact"/>
        <w:ind w:firstLine="596" w:firstLineChars="198"/>
        <w:rPr>
          <w:rFonts w:ascii="仿宋" w:hAnsi="仿宋" w:eastAsia="仿宋"/>
          <w:b/>
          <w:snapToGrid w:val="0"/>
          <w:color w:val="000000"/>
          <w:sz w:val="30"/>
          <w:szCs w:val="30"/>
        </w:rPr>
      </w:pPr>
      <w:r>
        <w:rPr>
          <w:rFonts w:hint="eastAsia" w:ascii="仿宋" w:hAnsi="仿宋" w:eastAsia="仿宋"/>
          <w:b/>
          <w:snapToGrid w:val="0"/>
          <w:color w:val="000000"/>
          <w:sz w:val="30"/>
          <w:szCs w:val="30"/>
        </w:rPr>
        <w:t>三、知识产权</w:t>
      </w:r>
    </w:p>
    <w:p>
      <w:pPr>
        <w:pStyle w:val="31"/>
        <w:adjustRightInd w:val="0"/>
        <w:snapToGrid w:val="0"/>
        <w:spacing w:before="156" w:after="156" w:line="460" w:lineRule="exact"/>
        <w:ind w:firstLine="639" w:firstLineChars="213"/>
        <w:rPr>
          <w:rFonts w:ascii="仿宋" w:hAnsi="仿宋" w:eastAsia="仿宋"/>
          <w:bCs/>
          <w:snapToGrid w:val="0"/>
          <w:color w:val="000000"/>
          <w:sz w:val="30"/>
          <w:szCs w:val="30"/>
        </w:rPr>
      </w:pPr>
      <w:r>
        <w:rPr>
          <w:rFonts w:hint="eastAsia" w:ascii="仿宋" w:hAnsi="仿宋" w:eastAsia="仿宋"/>
          <w:snapToGrid w:val="0"/>
          <w:color w:val="000000"/>
          <w:sz w:val="30"/>
          <w:szCs w:val="30"/>
        </w:rPr>
        <w:t>乙方应保证所提供的货物或其任何一部分均不会侵犯任何第三方的知识产权</w:t>
      </w:r>
      <w:r>
        <w:rPr>
          <w:rFonts w:hint="eastAsia" w:ascii="仿宋" w:hAnsi="仿宋" w:eastAsia="仿宋"/>
          <w:bCs/>
          <w:snapToGrid w:val="0"/>
          <w:color w:val="000000"/>
          <w:sz w:val="30"/>
          <w:szCs w:val="30"/>
        </w:rPr>
        <w:t>。</w:t>
      </w:r>
    </w:p>
    <w:p>
      <w:pPr>
        <w:pStyle w:val="31"/>
        <w:adjustRightInd w:val="0"/>
        <w:snapToGrid w:val="0"/>
        <w:spacing w:before="156" w:after="156" w:line="460" w:lineRule="exact"/>
        <w:ind w:firstLine="596" w:firstLineChars="198"/>
        <w:rPr>
          <w:rFonts w:ascii="仿宋" w:hAnsi="仿宋" w:eastAsia="仿宋"/>
          <w:snapToGrid w:val="0"/>
          <w:color w:val="000000"/>
          <w:sz w:val="30"/>
          <w:szCs w:val="30"/>
          <w:u w:val="single"/>
        </w:rPr>
      </w:pPr>
      <w:r>
        <w:rPr>
          <w:rFonts w:hint="eastAsia" w:ascii="仿宋" w:hAnsi="仿宋" w:eastAsia="仿宋"/>
          <w:b/>
          <w:snapToGrid w:val="0"/>
          <w:color w:val="000000"/>
          <w:sz w:val="30"/>
          <w:szCs w:val="30"/>
        </w:rPr>
        <w:t>四、产权担保</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u w:val="single"/>
        </w:rPr>
      </w:pPr>
      <w:r>
        <w:rPr>
          <w:rFonts w:hint="eastAsia" w:ascii="仿宋" w:hAnsi="仿宋" w:eastAsia="仿宋"/>
          <w:snapToGrid w:val="0"/>
          <w:color w:val="000000"/>
          <w:sz w:val="30"/>
          <w:szCs w:val="30"/>
        </w:rPr>
        <w:t>乙方保证所交付的货物的所有权完全属于乙方且无任何抵押、查封等产权瑕疵。</w:t>
      </w:r>
    </w:p>
    <w:p>
      <w:pPr>
        <w:pStyle w:val="31"/>
        <w:adjustRightInd w:val="0"/>
        <w:snapToGrid w:val="0"/>
        <w:spacing w:before="156" w:after="156" w:line="460" w:lineRule="exact"/>
        <w:ind w:firstLine="596" w:firstLineChars="198"/>
        <w:rPr>
          <w:rFonts w:ascii="仿宋" w:hAnsi="仿宋" w:eastAsia="仿宋"/>
          <w:b/>
          <w:snapToGrid w:val="0"/>
          <w:color w:val="000000"/>
          <w:sz w:val="30"/>
          <w:szCs w:val="30"/>
        </w:rPr>
      </w:pPr>
      <w:r>
        <w:rPr>
          <w:rFonts w:hint="eastAsia" w:ascii="仿宋" w:hAnsi="仿宋" w:eastAsia="仿宋"/>
          <w:b/>
          <w:snapToGrid w:val="0"/>
          <w:color w:val="000000"/>
          <w:sz w:val="30"/>
          <w:szCs w:val="30"/>
        </w:rPr>
        <w:t>五、转包或分包</w:t>
      </w:r>
    </w:p>
    <w:p>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不允许转包。</w:t>
      </w:r>
    </w:p>
    <w:p>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u w:val="single"/>
        </w:rPr>
      </w:pPr>
      <w:r>
        <w:rPr>
          <w:rFonts w:hint="eastAsia" w:ascii="仿宋" w:hAnsi="仿宋" w:eastAsia="仿宋"/>
          <w:snapToGrid w:val="0"/>
          <w:color w:val="000000"/>
          <w:kern w:val="0"/>
          <w:sz w:val="30"/>
          <w:szCs w:val="30"/>
        </w:rPr>
        <w:t>允许分包部分</w:t>
      </w:r>
      <w:r>
        <w:rPr>
          <w:rFonts w:hint="eastAsia" w:ascii="仿宋" w:hAnsi="仿宋" w:eastAsia="仿宋"/>
          <w:snapToGrid w:val="0"/>
          <w:color w:val="000000"/>
          <w:kern w:val="0"/>
          <w:sz w:val="30"/>
          <w:szCs w:val="30"/>
          <w:u w:val="single"/>
        </w:rPr>
        <w:t xml:space="preserve">               。</w:t>
      </w:r>
    </w:p>
    <w:p>
      <w:pPr>
        <w:adjustRightInd w:val="0"/>
        <w:snapToGrid w:val="0"/>
        <w:spacing w:before="156" w:beforeLines="50" w:after="156" w:afterLines="50" w:line="460" w:lineRule="exact"/>
        <w:ind w:firstLine="600" w:firstLineChars="200"/>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如乙方将项目转包或将不允许分包部分就行了分包，甲方有权解除合同，没收履约保证金并追究乙方的违约责任。</w:t>
      </w:r>
    </w:p>
    <w:p>
      <w:pPr>
        <w:pStyle w:val="31"/>
        <w:adjustRightInd w:val="0"/>
        <w:snapToGrid w:val="0"/>
        <w:spacing w:before="156" w:after="156" w:line="460" w:lineRule="exact"/>
        <w:ind w:firstLine="641" w:firstLineChars="213"/>
        <w:rPr>
          <w:rFonts w:ascii="仿宋" w:hAnsi="仿宋" w:eastAsia="仿宋"/>
          <w:snapToGrid w:val="0"/>
          <w:color w:val="000000"/>
          <w:kern w:val="0"/>
          <w:sz w:val="30"/>
          <w:szCs w:val="30"/>
        </w:rPr>
      </w:pPr>
      <w:r>
        <w:rPr>
          <w:rFonts w:hint="eastAsia" w:ascii="仿宋" w:hAnsi="仿宋" w:eastAsia="仿宋"/>
          <w:b/>
          <w:snapToGrid w:val="0"/>
          <w:color w:val="000000"/>
          <w:sz w:val="30"/>
          <w:szCs w:val="30"/>
        </w:rPr>
        <w:t>六、质保期和履约保证金</w:t>
      </w:r>
    </w:p>
    <w:p>
      <w:pPr>
        <w:pStyle w:val="31"/>
        <w:adjustRightInd w:val="0"/>
        <w:snapToGrid w:val="0"/>
        <w:spacing w:before="156" w:after="156" w:line="460" w:lineRule="exact"/>
        <w:ind w:firstLine="600" w:firstLineChars="200"/>
        <w:jc w:val="left"/>
        <w:rPr>
          <w:rFonts w:ascii="仿宋" w:hAnsi="仿宋" w:eastAsia="仿宋"/>
          <w:snapToGrid w:val="0"/>
          <w:color w:val="000000"/>
          <w:sz w:val="30"/>
          <w:szCs w:val="30"/>
        </w:rPr>
      </w:pPr>
      <w:r>
        <w:rPr>
          <w:rFonts w:hint="eastAsia" w:ascii="仿宋" w:hAnsi="仿宋" w:eastAsia="仿宋"/>
          <w:snapToGrid w:val="0"/>
          <w:color w:val="000000"/>
          <w:sz w:val="30"/>
          <w:szCs w:val="30"/>
        </w:rPr>
        <w:t>1.质保期年。（自项目验收合格交付使用之日起计）</w:t>
      </w:r>
    </w:p>
    <w:p>
      <w:pPr>
        <w:pStyle w:val="31"/>
        <w:adjustRightInd w:val="0"/>
        <w:snapToGrid w:val="0"/>
        <w:spacing w:before="156" w:after="156" w:line="460" w:lineRule="exact"/>
        <w:ind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2.履约保证金元。[履约保证金交至采购人处，在合同约定交货验收合格满（   ）个月之日起5个工作日内无息退还]</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七、项目工期及实施地点</w:t>
      </w:r>
    </w:p>
    <w:p>
      <w:pPr>
        <w:pStyle w:val="31"/>
        <w:adjustRightInd w:val="0"/>
        <w:snapToGrid w:val="0"/>
        <w:spacing w:before="156" w:after="156" w:line="460" w:lineRule="exact"/>
        <w:ind w:firstLine="639" w:firstLineChars="213"/>
        <w:rPr>
          <w:rFonts w:ascii="仿宋" w:hAnsi="仿宋" w:eastAsia="仿宋"/>
          <w:bCs/>
          <w:snapToGrid w:val="0"/>
          <w:color w:val="000000"/>
          <w:sz w:val="30"/>
          <w:szCs w:val="30"/>
        </w:rPr>
      </w:pPr>
      <w:r>
        <w:rPr>
          <w:rFonts w:hint="eastAsia" w:ascii="仿宋" w:hAnsi="仿宋" w:eastAsia="仿宋"/>
          <w:bCs/>
          <w:snapToGrid w:val="0"/>
          <w:color w:val="000000"/>
          <w:sz w:val="30"/>
          <w:szCs w:val="30"/>
        </w:rPr>
        <w:t>1.交货期：</w:t>
      </w:r>
    </w:p>
    <w:p>
      <w:pPr>
        <w:pStyle w:val="31"/>
        <w:adjustRightInd w:val="0"/>
        <w:snapToGrid w:val="0"/>
        <w:spacing w:before="156" w:after="156" w:line="460" w:lineRule="exact"/>
        <w:ind w:firstLine="639" w:firstLineChars="213"/>
        <w:rPr>
          <w:rFonts w:ascii="仿宋" w:hAnsi="仿宋" w:eastAsia="仿宋"/>
          <w:b/>
          <w:snapToGrid w:val="0"/>
          <w:color w:val="000000"/>
          <w:sz w:val="30"/>
          <w:szCs w:val="30"/>
        </w:rPr>
      </w:pPr>
      <w:r>
        <w:rPr>
          <w:rFonts w:hint="eastAsia" w:ascii="仿宋" w:hAnsi="仿宋" w:eastAsia="仿宋"/>
          <w:bCs/>
          <w:snapToGrid w:val="0"/>
          <w:color w:val="000000"/>
          <w:sz w:val="30"/>
          <w:szCs w:val="30"/>
        </w:rPr>
        <w:t>2.实施地点：</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八、货款支付</w:t>
      </w:r>
    </w:p>
    <w:p>
      <w:pPr>
        <w:spacing w:line="360" w:lineRule="auto"/>
        <w:rPr>
          <w:rFonts w:ascii="仿宋" w:hAnsi="仿宋" w:eastAsia="仿宋"/>
          <w:bCs/>
          <w:snapToGrid w:val="0"/>
          <w:color w:val="000000"/>
          <w:sz w:val="30"/>
          <w:szCs w:val="30"/>
        </w:rPr>
      </w:pPr>
      <w:r>
        <w:rPr>
          <w:rFonts w:hint="eastAsia" w:ascii="仿宋" w:hAnsi="仿宋" w:eastAsia="仿宋"/>
          <w:bCs/>
          <w:snapToGrid w:val="0"/>
          <w:color w:val="000000"/>
          <w:sz w:val="30"/>
          <w:szCs w:val="30"/>
        </w:rPr>
        <w:t xml:space="preserve"> 付款方式：（根据采购文件“第四部分商务要求表付款条件”内容填写）</w:t>
      </w:r>
    </w:p>
    <w:p>
      <w:pPr>
        <w:adjustRightInd w:val="0"/>
        <w:snapToGrid w:val="0"/>
        <w:spacing w:before="156" w:beforeLines="50" w:after="156" w:afterLines="50" w:line="460" w:lineRule="exact"/>
        <w:ind w:firstLine="641" w:firstLineChars="213"/>
        <w:rPr>
          <w:rFonts w:ascii="仿宋" w:hAnsi="仿宋" w:eastAsia="仿宋"/>
          <w:b/>
          <w:snapToGrid w:val="0"/>
          <w:color w:val="000000"/>
          <w:kern w:val="0"/>
          <w:sz w:val="30"/>
          <w:szCs w:val="30"/>
        </w:rPr>
      </w:pPr>
      <w:r>
        <w:rPr>
          <w:rFonts w:hint="eastAsia" w:ascii="仿宋" w:hAnsi="仿宋" w:eastAsia="仿宋"/>
          <w:b/>
          <w:snapToGrid w:val="0"/>
          <w:color w:val="000000"/>
          <w:kern w:val="0"/>
          <w:sz w:val="30"/>
          <w:szCs w:val="30"/>
        </w:rPr>
        <w:t>九、税费</w:t>
      </w:r>
    </w:p>
    <w:p>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本合同执行中相关的一切税费均由乙方负担。</w:t>
      </w:r>
    </w:p>
    <w:p>
      <w:pPr>
        <w:pStyle w:val="31"/>
        <w:adjustRightInd w:val="0"/>
        <w:snapToGrid w:val="0"/>
        <w:spacing w:before="156" w:after="156" w:line="460" w:lineRule="exact"/>
        <w:ind w:firstLine="596" w:firstLineChars="198"/>
        <w:rPr>
          <w:rFonts w:ascii="仿宋" w:hAnsi="仿宋" w:eastAsia="仿宋"/>
          <w:snapToGrid w:val="0"/>
          <w:color w:val="000000"/>
          <w:kern w:val="0"/>
          <w:sz w:val="30"/>
          <w:szCs w:val="30"/>
        </w:rPr>
      </w:pPr>
      <w:r>
        <w:rPr>
          <w:rFonts w:hint="eastAsia" w:ascii="仿宋" w:hAnsi="仿宋" w:eastAsia="仿宋"/>
          <w:b/>
          <w:snapToGrid w:val="0"/>
          <w:color w:val="000000"/>
          <w:sz w:val="30"/>
          <w:szCs w:val="30"/>
        </w:rPr>
        <w:t>十、质量保证及售后服务</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十一、调试和验收</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十二、货物包装</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十三、违约责任</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1.甲方无正当理由拒收验收项目的，甲方向乙方偿付拒收合同总价的百分之五违约金。</w:t>
      </w:r>
    </w:p>
    <w:p>
      <w:pPr>
        <w:pStyle w:val="31"/>
        <w:adjustRightInd w:val="0"/>
        <w:snapToGrid w:val="0"/>
        <w:spacing w:before="156" w:after="156" w:line="460" w:lineRule="exact"/>
        <w:ind w:left="1"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2. 甲方收到乙方提供的发票，结合验收情况，验收合格的，在15日内将采购资金支付到乙方约定账户。</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甲方无故逾期验收和办理合同款项支付手续的,甲方应按逾期付款总额每日万分之五向乙方支付违约金。</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5.解除合同应按《浙江省政府采购合同暂行办法》向财政备案。</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十四、不可抗力事件处理</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1.在合同有效期内，任何一方因不可抗力事件导致不能履行合同，则合同履行期可延长，其延长期与不可抗力影响期相同。</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2.不可抗力事件发生后，应立即通知对方，并寄送有关权威机构出具的证明。</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3.不可抗力事件延续120天以上，双方应通过友好协商，确定是否继续履行合同。</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十五、诉讼</w:t>
      </w:r>
    </w:p>
    <w:p>
      <w:pPr>
        <w:pStyle w:val="31"/>
        <w:adjustRightInd w:val="0"/>
        <w:snapToGrid w:val="0"/>
        <w:spacing w:before="156" w:after="156" w:line="460" w:lineRule="exact"/>
        <w:ind w:left="2"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双方在执行合同中所发生的一切争议，应通过协商解决。如协商不成，可向甲方所在地法院起诉。</w:t>
      </w:r>
    </w:p>
    <w:p>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十六、合同生效及其它</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1.合同经甲、乙两方签名并加盖单位公章后生效。</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2.合同执行中涉及采购资金和采购内容修改或补充的，须双方经财政部门审批，并签书面补充协议，经报政府采购监督管理部门备案后，方可作为主合同不可分割的一部分。</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3.招标文件、投标文件与本合同具有同等法律效力。</w:t>
      </w:r>
    </w:p>
    <w:p>
      <w:pPr>
        <w:pStyle w:val="31"/>
        <w:adjustRightInd w:val="0"/>
        <w:snapToGrid w:val="0"/>
        <w:spacing w:before="156" w:after="156" w:line="460" w:lineRule="exact"/>
        <w:ind w:firstLine="599" w:firstLineChars="213"/>
        <w:rPr>
          <w:rFonts w:ascii="仿宋" w:hAnsi="仿宋" w:eastAsia="仿宋"/>
          <w:snapToGrid w:val="0"/>
          <w:color w:val="000000"/>
          <w:sz w:val="30"/>
          <w:szCs w:val="30"/>
        </w:rPr>
      </w:pPr>
      <w:r>
        <w:rPr>
          <w:rFonts w:hint="eastAsia" w:ascii="仿宋" w:hAnsi="仿宋" w:eastAsia="仿宋"/>
          <w:b/>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1"/>
        <w:adjustRightInd w:val="0"/>
        <w:snapToGrid w:val="0"/>
        <w:spacing w:before="156" w:after="156" w:line="460" w:lineRule="exact"/>
        <w:ind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5.本合同未尽事宜，遵照《中华人民共和国民法典》有关条文执行。</w:t>
      </w:r>
    </w:p>
    <w:p>
      <w:pPr>
        <w:pStyle w:val="31"/>
        <w:adjustRightInd w:val="0"/>
        <w:snapToGrid w:val="0"/>
        <w:spacing w:before="120" w:beforeLines="0" w:after="156" w:line="460" w:lineRule="exact"/>
        <w:ind w:left="2" w:leftChars="1"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6.本合同一式四份，具有同等法律效力，甲、乙两方各执二份。</w:t>
      </w: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p>
    <w:p>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甲方（盖章）：                                   </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法定（授权）代表人：                   </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签名日期：     年   月   日           </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乙方（盖章）：</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开户行：</w:t>
      </w:r>
    </w:p>
    <w:p>
      <w:pPr>
        <w:pStyle w:val="31"/>
        <w:adjustRightInd w:val="0"/>
        <w:snapToGrid w:val="0"/>
        <w:spacing w:before="156" w:after="156"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开户帐号：</w:t>
      </w:r>
    </w:p>
    <w:p>
      <w:pPr>
        <w:pStyle w:val="31"/>
        <w:adjustRightInd w:val="0"/>
        <w:snapToGrid w:val="0"/>
        <w:spacing w:before="156" w:after="156" w:line="460" w:lineRule="exact"/>
        <w:ind w:firstLine="639" w:firstLineChars="213"/>
        <w:rPr>
          <w:rFonts w:hint="eastAsia" w:ascii="仿宋" w:hAnsi="仿宋" w:eastAsia="仿宋"/>
          <w:snapToGrid w:val="0"/>
          <w:color w:val="000000"/>
          <w:sz w:val="30"/>
          <w:szCs w:val="30"/>
        </w:rPr>
      </w:pPr>
      <w:r>
        <w:rPr>
          <w:rFonts w:hint="default" w:ascii="仿宋" w:hAnsi="仿宋" w:eastAsia="仿宋" w:cs="Times New Roman"/>
          <w:snapToGrid w:val="0"/>
          <w:color w:val="000000"/>
          <w:sz w:val="30"/>
          <w:szCs w:val="30"/>
          <w:highlight w:val="none"/>
        </w:rPr>
        <w:t>统一社会信用代码：</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法定（授权）代表人：</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签名日期：      年   月   日</w:t>
      </w:r>
    </w:p>
    <w:p>
      <w:pPr>
        <w:pStyle w:val="31"/>
        <w:adjustRightInd w:val="0"/>
        <w:snapToGrid w:val="0"/>
        <w:spacing w:before="156" w:after="156" w:line="460" w:lineRule="exact"/>
        <w:ind w:firstLine="639" w:firstLineChars="213"/>
        <w:rPr>
          <w:rFonts w:ascii="仿宋" w:hAnsi="仿宋" w:eastAsia="仿宋"/>
          <w:snapToGrid w:val="0"/>
          <w:color w:val="000000"/>
          <w:sz w:val="30"/>
          <w:szCs w:val="30"/>
        </w:rPr>
      </w:pPr>
    </w:p>
    <w:p>
      <w:pPr>
        <w:rPr>
          <w:color w:val="000000"/>
          <w:szCs w:val="30"/>
        </w:rPr>
      </w:pPr>
    </w:p>
    <w:p>
      <w:pPr>
        <w:pStyle w:val="31"/>
        <w:spacing w:before="156" w:after="156" w:line="360" w:lineRule="auto"/>
        <w:jc w:val="center"/>
        <w:outlineLvl w:val="0"/>
        <w:rPr>
          <w:rFonts w:hAnsi="宋体"/>
          <w:b/>
          <w:color w:val="000000"/>
          <w:sz w:val="36"/>
          <w:szCs w:val="36"/>
        </w:rPr>
      </w:pPr>
      <w:r>
        <w:rPr>
          <w:rFonts w:hint="eastAsia" w:ascii="仿宋_GB2312" w:eastAsia="仿宋_GB2312"/>
          <w:snapToGrid w:val="0"/>
          <w:color w:val="000000"/>
          <w:kern w:val="0"/>
          <w:sz w:val="30"/>
          <w:szCs w:val="30"/>
        </w:rPr>
        <w:br w:type="page"/>
      </w:r>
      <w:bookmarkStart w:id="34" w:name="_Toc22013"/>
      <w:r>
        <w:rPr>
          <w:rFonts w:hint="eastAsia" w:hAnsi="宋体"/>
          <w:b/>
          <w:color w:val="000000"/>
          <w:sz w:val="36"/>
          <w:szCs w:val="36"/>
        </w:rPr>
        <w:t>第六章</w:t>
      </w:r>
      <w:r>
        <w:rPr>
          <w:rFonts w:hint="eastAsia" w:hAnsi="宋体"/>
          <w:b/>
          <w:color w:val="000000"/>
          <w:sz w:val="36"/>
          <w:szCs w:val="36"/>
          <w:lang w:val="en-US" w:eastAsia="zh-CN"/>
        </w:rPr>
        <w:t xml:space="preserve">  </w:t>
      </w:r>
      <w:r>
        <w:rPr>
          <w:rFonts w:hint="eastAsia" w:hAnsi="宋体"/>
          <w:b/>
          <w:color w:val="000000"/>
          <w:sz w:val="36"/>
          <w:szCs w:val="36"/>
        </w:rPr>
        <w:t>投标文件格式附件</w:t>
      </w:r>
      <w:bookmarkEnd w:id="34"/>
      <w:bookmarkStart w:id="46" w:name="_GoBack"/>
      <w:bookmarkEnd w:id="46"/>
    </w:p>
    <w:p>
      <w:pPr>
        <w:pStyle w:val="31"/>
        <w:spacing w:before="156" w:after="156" w:line="360" w:lineRule="auto"/>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pPr>
        <w:pStyle w:val="31"/>
        <w:adjustRightInd w:val="0"/>
        <w:snapToGrid w:val="0"/>
        <w:spacing w:before="156" w:after="156" w:line="460" w:lineRule="exact"/>
        <w:jc w:val="both"/>
        <w:rPr>
          <w:rFonts w:hAnsi="宋体" w:eastAsia="仿宋_GB2312"/>
          <w:b/>
          <w:color w:val="000000"/>
          <w:sz w:val="36"/>
          <w:szCs w:val="36"/>
        </w:rPr>
      </w:pPr>
    </w:p>
    <w:p>
      <w:pPr>
        <w:snapToGrid w:val="0"/>
        <w:spacing w:before="156" w:beforeLines="50" w:after="50"/>
        <w:rPr>
          <w:rFonts w:ascii="仿宋" w:hAnsi="仿宋" w:eastAsia="仿宋"/>
          <w:bCs/>
          <w:color w:val="000000"/>
          <w:sz w:val="30"/>
          <w:szCs w:val="30"/>
        </w:rPr>
      </w:pPr>
      <w:r>
        <w:rPr>
          <w:rFonts w:hint="eastAsia" w:ascii="仿宋" w:hAnsi="仿宋" w:eastAsia="仿宋"/>
          <w:color w:val="000000"/>
          <w:sz w:val="30"/>
          <w:szCs w:val="30"/>
        </w:rPr>
        <w:t>附件1</w:t>
      </w:r>
      <w:r>
        <w:rPr>
          <w:rFonts w:hint="eastAsia" w:ascii="仿宋" w:hAnsi="仿宋" w:eastAsia="仿宋"/>
          <w:b/>
          <w:color w:val="000000"/>
          <w:sz w:val="30"/>
          <w:szCs w:val="30"/>
        </w:rPr>
        <w:t xml:space="preserve">：                                          </w:t>
      </w:r>
    </w:p>
    <w:p>
      <w:pPr>
        <w:spacing w:before="312" w:beforeLines="100" w:line="240" w:lineRule="atLeast"/>
        <w:jc w:val="center"/>
        <w:rPr>
          <w:rFonts w:hint="eastAsia" w:ascii="仿宋" w:hAnsi="仿宋" w:eastAsia="仿宋"/>
          <w:color w:val="000000"/>
          <w:sz w:val="48"/>
          <w:szCs w:val="48"/>
          <w:lang w:eastAsia="zh-CN"/>
        </w:rPr>
      </w:pPr>
      <w:bookmarkStart w:id="35" w:name="PO_1000000445_PM002_2"/>
      <w:r>
        <w:rPr>
          <w:rFonts w:hint="eastAsia" w:ascii="仿宋" w:hAnsi="仿宋" w:eastAsia="仿宋"/>
          <w:b/>
          <w:color w:val="000000"/>
          <w:spacing w:val="40"/>
          <w:sz w:val="48"/>
          <w:szCs w:val="48"/>
          <w:lang w:eastAsia="zh-CN"/>
        </w:rPr>
        <w:t>浙江工商大学科创大楼信息系统基础设施建设项目-交换机等设备采购项目</w:t>
      </w:r>
      <w:bookmarkEnd w:id="35"/>
    </w:p>
    <w:p>
      <w:pPr>
        <w:spacing w:before="312"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36" w:name="PO_15528_PM001_2"/>
      <w:r>
        <w:rPr>
          <w:rFonts w:hint="eastAsia" w:ascii="仿宋" w:hAnsi="仿宋" w:eastAsia="仿宋"/>
          <w:color w:val="000000"/>
          <w:sz w:val="36"/>
          <w:szCs w:val="36"/>
          <w:lang w:eastAsia="zh-CN"/>
        </w:rPr>
        <w:t>ZZCG2023Z-GK-115</w:t>
      </w:r>
      <w:bookmarkEnd w:id="36"/>
      <w:r>
        <w:rPr>
          <w:rFonts w:hint="eastAsia" w:ascii="仿宋" w:hAnsi="仿宋" w:eastAsia="仿宋"/>
          <w:color w:val="000000"/>
          <w:sz w:val="36"/>
          <w:szCs w:val="36"/>
        </w:rPr>
        <w:t>（标项  ）</w:t>
      </w:r>
    </w:p>
    <w:p>
      <w:pPr>
        <w:spacing w:after="100" w:afterAutospacing="1" w:line="800" w:lineRule="exact"/>
        <w:ind w:right="-108"/>
        <w:jc w:val="center"/>
        <w:rPr>
          <w:rFonts w:ascii="仿宋" w:hAnsi="仿宋" w:eastAsia="仿宋"/>
          <w:b/>
          <w:color w:val="000000"/>
          <w:spacing w:val="40"/>
          <w:sz w:val="84"/>
          <w:szCs w:val="84"/>
        </w:rPr>
      </w:pPr>
    </w:p>
    <w:p>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资</w:t>
      </w:r>
    </w:p>
    <w:p>
      <w:pPr>
        <w:spacing w:after="100" w:afterAutospacing="1" w:line="800" w:lineRule="exact"/>
        <w:ind w:right="-108"/>
        <w:jc w:val="center"/>
        <w:rPr>
          <w:rFonts w:ascii="仿宋" w:hAnsi="仿宋" w:eastAsia="仿宋"/>
          <w:b/>
          <w:color w:val="000000"/>
          <w:spacing w:val="40"/>
          <w:sz w:val="84"/>
          <w:szCs w:val="84"/>
        </w:rPr>
      </w:pPr>
    </w:p>
    <w:p>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格</w:t>
      </w:r>
    </w:p>
    <w:p>
      <w:pPr>
        <w:spacing w:after="100" w:afterAutospacing="1" w:line="800" w:lineRule="exact"/>
        <w:ind w:right="-108"/>
        <w:jc w:val="center"/>
        <w:rPr>
          <w:rFonts w:ascii="仿宋" w:hAnsi="仿宋" w:eastAsia="仿宋"/>
          <w:b/>
          <w:color w:val="000000"/>
          <w:spacing w:val="40"/>
          <w:sz w:val="84"/>
          <w:szCs w:val="84"/>
        </w:rPr>
      </w:pPr>
    </w:p>
    <w:p>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pPr>
        <w:spacing w:after="100" w:afterAutospacing="1" w:line="800" w:lineRule="exact"/>
        <w:ind w:right="-108"/>
        <w:jc w:val="center"/>
        <w:rPr>
          <w:rFonts w:ascii="仿宋" w:hAnsi="仿宋" w:eastAsia="仿宋"/>
          <w:b/>
          <w:color w:val="000000"/>
          <w:spacing w:val="40"/>
          <w:sz w:val="84"/>
          <w:szCs w:val="84"/>
        </w:rPr>
      </w:pPr>
    </w:p>
    <w:p>
      <w:pPr>
        <w:spacing w:after="100" w:afterAutospacing="1" w:line="800" w:lineRule="exact"/>
        <w:ind w:right="-108"/>
        <w:jc w:val="center"/>
        <w:rPr>
          <w:rFonts w:ascii="仿宋" w:hAnsi="仿宋" w:eastAsia="仿宋"/>
          <w:color w:val="000000"/>
          <w:sz w:val="36"/>
          <w:szCs w:val="36"/>
        </w:rPr>
      </w:pPr>
      <w:r>
        <w:rPr>
          <w:rFonts w:hint="eastAsia" w:ascii="仿宋" w:hAnsi="仿宋" w:eastAsia="仿宋"/>
          <w:b/>
          <w:color w:val="000000"/>
          <w:spacing w:val="40"/>
          <w:sz w:val="84"/>
          <w:szCs w:val="84"/>
        </w:rPr>
        <w:t>件</w:t>
      </w:r>
    </w:p>
    <w:p>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pPr>
        <w:snapToGrid w:val="0"/>
        <w:spacing w:before="50" w:after="50"/>
        <w:rPr>
          <w:rFonts w:ascii="仿宋" w:hAnsi="仿宋" w:eastAsia="仿宋"/>
          <w:b/>
          <w:bCs/>
          <w:sz w:val="36"/>
          <w:szCs w:val="36"/>
        </w:rPr>
      </w:pPr>
      <w:r>
        <w:rPr>
          <w:rFonts w:hint="eastAsia" w:ascii="仿宋" w:hAnsi="仿宋" w:eastAsia="仿宋"/>
          <w:b/>
          <w:color w:val="000000"/>
          <w:kern w:val="0"/>
          <w:sz w:val="36"/>
          <w:szCs w:val="36"/>
        </w:rPr>
        <w:br w:type="page"/>
      </w:r>
      <w:r>
        <w:rPr>
          <w:rFonts w:hint="eastAsia" w:ascii="仿宋" w:hAnsi="仿宋" w:eastAsia="仿宋"/>
          <w:b/>
          <w:sz w:val="36"/>
          <w:szCs w:val="36"/>
        </w:rPr>
        <w:t>1、</w:t>
      </w:r>
      <w:r>
        <w:rPr>
          <w:rFonts w:hint="eastAsia" w:ascii="仿宋" w:hAnsi="仿宋" w:eastAsia="仿宋"/>
          <w:b/>
          <w:bCs/>
          <w:sz w:val="36"/>
          <w:szCs w:val="36"/>
        </w:rPr>
        <w:t>资格文件目录</w:t>
      </w:r>
    </w:p>
    <w:p>
      <w:pPr>
        <w:snapToGrid w:val="0"/>
        <w:spacing w:before="50" w:after="50"/>
        <w:rPr>
          <w:rFonts w:ascii="仿宋" w:hAnsi="仿宋" w:eastAsia="仿宋"/>
          <w:sz w:val="30"/>
          <w:szCs w:val="30"/>
        </w:rPr>
      </w:pP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pPr>
        <w:pStyle w:val="34"/>
        <w:snapToGrid w:val="0"/>
        <w:spacing w:after="120" w:line="460" w:lineRule="exact"/>
        <w:ind w:left="5250" w:firstLine="600" w:firstLineChars="200"/>
        <w:rPr>
          <w:rFonts w:ascii="仿宋" w:hAnsi="仿宋" w:eastAsia="仿宋"/>
          <w:sz w:val="30"/>
          <w:szCs w:val="30"/>
        </w:rPr>
      </w:pPr>
    </w:p>
    <w:p>
      <w:pPr>
        <w:snapToGrid w:val="0"/>
        <w:spacing w:line="460" w:lineRule="exact"/>
        <w:ind w:firstLine="588" w:firstLineChars="196"/>
        <w:jc w:val="left"/>
        <w:rPr>
          <w:rFonts w:ascii="仿宋" w:hAnsi="仿宋" w:eastAsia="仿宋"/>
          <w:sz w:val="30"/>
          <w:szCs w:val="30"/>
        </w:rPr>
      </w:pPr>
    </w:p>
    <w:p>
      <w:pPr>
        <w:widowControl/>
        <w:jc w:val="left"/>
        <w:rPr>
          <w:rFonts w:ascii="仿宋" w:hAnsi="仿宋" w:eastAsia="仿宋"/>
          <w:bCs/>
          <w:sz w:val="28"/>
          <w:szCs w:val="28"/>
        </w:rPr>
      </w:pPr>
      <w:r>
        <w:rPr>
          <w:rFonts w:ascii="仿宋" w:hAnsi="仿宋" w:eastAsia="仿宋"/>
          <w:bCs/>
          <w:sz w:val="28"/>
          <w:szCs w:val="28"/>
        </w:rPr>
        <w:br w:type="page"/>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pPr>
        <w:pStyle w:val="31"/>
        <w:snapToGrid w:val="0"/>
        <w:spacing w:before="156" w:after="156" w:line="240" w:lineRule="auto"/>
        <w:rPr>
          <w:rFonts w:ascii="仿宋" w:hAnsi="仿宋" w:eastAsia="仿宋"/>
          <w:sz w:val="30"/>
          <w:szCs w:val="30"/>
        </w:rPr>
      </w:pPr>
    </w:p>
    <w:p>
      <w:pPr>
        <w:pStyle w:val="31"/>
        <w:snapToGrid w:val="0"/>
        <w:spacing w:before="156" w:after="156" w:line="240" w:lineRule="auto"/>
        <w:rPr>
          <w:rFonts w:ascii="仿宋" w:hAnsi="仿宋" w:eastAsia="仿宋"/>
          <w:sz w:val="30"/>
          <w:szCs w:val="30"/>
        </w:rPr>
      </w:pPr>
    </w:p>
    <w:p>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7" w:name="PO_3000002632_PM002"/>
      <w:r>
        <w:rPr>
          <w:rFonts w:hint="eastAsia" w:ascii="仿宋" w:hAnsi="仿宋" w:eastAsia="仿宋"/>
          <w:b/>
          <w:sz w:val="30"/>
          <w:szCs w:val="30"/>
          <w:u w:val="single"/>
          <w:lang w:eastAsia="zh-CN"/>
        </w:rPr>
        <w:t>浙江工商大学科创大楼信息系统基础设施建设项目-交换机等设备采购项目</w:t>
      </w:r>
      <w:bookmarkEnd w:id="37"/>
      <w:r>
        <w:rPr>
          <w:rFonts w:hint="eastAsia" w:ascii="仿宋" w:hAnsi="仿宋" w:eastAsia="仿宋"/>
          <w:sz w:val="30"/>
          <w:szCs w:val="30"/>
          <w:u w:val="single"/>
        </w:rPr>
        <w:t>（编号为</w:t>
      </w:r>
      <w:bookmarkStart w:id="38" w:name="PO_15528_PM001_3"/>
      <w:r>
        <w:rPr>
          <w:rFonts w:hint="eastAsia" w:ascii="仿宋" w:hAnsi="仿宋" w:eastAsia="仿宋"/>
          <w:sz w:val="30"/>
          <w:szCs w:val="30"/>
          <w:u w:val="single"/>
          <w:lang w:eastAsia="zh-CN"/>
        </w:rPr>
        <w:t>ZZCG2023Z-GK-115</w:t>
      </w:r>
      <w:bookmarkEnd w:id="38"/>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pPr>
        <w:snapToGrid w:val="0"/>
        <w:spacing w:before="156" w:beforeLines="50" w:after="50" w:line="460" w:lineRule="exact"/>
        <w:ind w:right="600" w:firstLine="150" w:firstLineChars="50"/>
        <w:rPr>
          <w:rFonts w:ascii="仿宋" w:hAnsi="仿宋" w:eastAsia="仿宋"/>
          <w:sz w:val="30"/>
          <w:szCs w:val="30"/>
        </w:rPr>
      </w:pPr>
    </w:p>
    <w:p>
      <w:pPr>
        <w:snapToGrid w:val="0"/>
        <w:spacing w:before="156" w:beforeLines="50" w:after="50" w:line="460" w:lineRule="exact"/>
        <w:ind w:right="600" w:firstLine="150" w:firstLineChars="50"/>
        <w:rPr>
          <w:rFonts w:ascii="仿宋" w:hAnsi="仿宋" w:eastAsia="仿宋"/>
          <w:sz w:val="30"/>
          <w:szCs w:val="30"/>
        </w:rPr>
      </w:pPr>
    </w:p>
    <w:p>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pPr>
        <w:snapToGrid w:val="0"/>
        <w:spacing w:before="156" w:beforeLines="50" w:after="50"/>
        <w:jc w:val="center"/>
        <w:rPr>
          <w:rFonts w:ascii="仿宋" w:hAnsi="仿宋" w:eastAsia="仿宋"/>
          <w:b/>
          <w:sz w:val="30"/>
          <w:szCs w:val="30"/>
        </w:rPr>
      </w:pPr>
    </w:p>
    <w:p>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39" w:name="PO_3000002632_PM002_1"/>
      <w:r>
        <w:rPr>
          <w:rFonts w:hint="eastAsia" w:ascii="仿宋" w:hAnsi="仿宋" w:eastAsia="仿宋"/>
          <w:b/>
          <w:sz w:val="30"/>
          <w:szCs w:val="30"/>
          <w:u w:val="single"/>
          <w:lang w:eastAsia="zh-CN"/>
        </w:rPr>
        <w:t>浙江工商大学科创大楼信息系统基础设施建设项目-交换机等设备采购项目</w:t>
      </w:r>
      <w:bookmarkEnd w:id="39"/>
      <w:r>
        <w:rPr>
          <w:rFonts w:hint="eastAsia" w:ascii="仿宋" w:hAnsi="仿宋" w:eastAsia="仿宋"/>
          <w:sz w:val="30"/>
          <w:szCs w:val="30"/>
        </w:rPr>
        <w:t xml:space="preserve"> 项目编号：</w:t>
      </w:r>
      <w:bookmarkStart w:id="40" w:name="PO_3000002632_PM001"/>
      <w:r>
        <w:rPr>
          <w:rFonts w:hint="eastAsia" w:ascii="仿宋" w:hAnsi="仿宋" w:eastAsia="仿宋"/>
          <w:b/>
          <w:sz w:val="30"/>
          <w:szCs w:val="30"/>
          <w:u w:val="single"/>
          <w:lang w:eastAsia="zh-CN"/>
        </w:rPr>
        <w:t>ZZCG2023Z-GK-115</w:t>
      </w:r>
      <w:bookmarkEnd w:id="40"/>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pPr>
        <w:snapToGrid w:val="0"/>
        <w:spacing w:before="156" w:beforeLines="50" w:after="50" w:line="460" w:lineRule="exact"/>
        <w:ind w:firstLine="480"/>
        <w:rPr>
          <w:rFonts w:ascii="仿宋" w:hAnsi="仿宋" w:eastAsia="仿宋"/>
          <w:sz w:val="30"/>
          <w:szCs w:val="30"/>
        </w:rPr>
      </w:pP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pPr>
        <w:snapToGrid w:val="0"/>
        <w:spacing w:before="156" w:beforeLines="50" w:after="50" w:line="460" w:lineRule="exact"/>
        <w:ind w:firstLine="6150" w:firstLineChars="2050"/>
        <w:rPr>
          <w:rFonts w:ascii="仿宋" w:hAnsi="仿宋" w:eastAsia="仿宋"/>
          <w:sz w:val="30"/>
          <w:szCs w:val="30"/>
        </w:rPr>
      </w:pP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widowControl/>
        <w:jc w:val="left"/>
        <w:rPr>
          <w:rFonts w:ascii="仿宋" w:hAnsi="仿宋" w:eastAsia="仿宋"/>
          <w:sz w:val="30"/>
          <w:szCs w:val="30"/>
        </w:rPr>
      </w:pPr>
    </w:p>
    <w:p>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snapToGrid w:val="0"/>
        <w:spacing w:before="156" w:beforeLines="50" w:after="50"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rPr>
      </w:pP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pPr>
        <w:snapToGrid w:val="0"/>
        <w:spacing w:before="156" w:beforeLines="50" w:after="50" w:line="460" w:lineRule="exact"/>
        <w:rPr>
          <w:rFonts w:hAnsi="宋体" w:cs="宋体"/>
          <w:bCs/>
          <w:sz w:val="24"/>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napToGrid w:val="0"/>
        <w:spacing w:before="156" w:beforeLines="50" w:after="50" w:line="460" w:lineRule="exact"/>
        <w:rPr>
          <w:rFonts w:hint="eastAsia"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1" w:name="PO_3000002632_PM001_1"/>
      <w:r>
        <w:rPr>
          <w:rFonts w:hint="eastAsia" w:ascii="仿宋" w:hAnsi="仿宋" w:eastAsia="仿宋"/>
          <w:b/>
          <w:sz w:val="30"/>
          <w:szCs w:val="30"/>
          <w:u w:val="single"/>
          <w:lang w:eastAsia="zh-CN"/>
        </w:rPr>
        <w:t>ZZCG2023Z-GK-115</w:t>
      </w:r>
      <w:bookmarkEnd w:id="41"/>
      <w:r>
        <w:rPr>
          <w:rFonts w:hint="eastAsia" w:ascii="仿宋" w:hAnsi="仿宋" w:eastAsia="仿宋"/>
          <w:sz w:val="30"/>
          <w:szCs w:val="30"/>
        </w:rPr>
        <w:t>的招标活动联合进行投标之事宜，达成如下协议：</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tblPrEx>
          <w:tblCellMar>
            <w:top w:w="0" w:type="dxa"/>
            <w:left w:w="108" w:type="dxa"/>
            <w:bottom w:w="0" w:type="dxa"/>
            <w:right w:w="108" w:type="dxa"/>
          </w:tblCellMar>
        </w:tblPrEx>
        <w:trPr>
          <w:jc w:val="center"/>
        </w:trPr>
        <w:tc>
          <w:tcPr>
            <w:tcW w:w="4264" w:type="dxa"/>
            <w:noWrap w:val="0"/>
            <w:vAlign w:val="top"/>
          </w:tcPr>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noWrap w:val="0"/>
            <w:vAlign w:val="top"/>
          </w:tcPr>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pPr>
        <w:pStyle w:val="17"/>
        <w:overflowPunct w:val="0"/>
        <w:spacing w:line="460" w:lineRule="exact"/>
        <w:rPr>
          <w:rFonts w:ascii="仿宋" w:hAnsi="仿宋" w:eastAsia="仿宋"/>
          <w:sz w:val="30"/>
          <w:szCs w:val="30"/>
        </w:rPr>
      </w:pPr>
    </w:p>
    <w:p>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pPr>
        <w:pStyle w:val="17"/>
        <w:overflowPunct w:val="0"/>
        <w:spacing w:line="460" w:lineRule="exact"/>
        <w:rPr>
          <w:rFonts w:ascii="仿宋" w:hAnsi="仿宋" w:eastAsia="仿宋"/>
          <w:sz w:val="30"/>
          <w:szCs w:val="30"/>
        </w:rPr>
      </w:pP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pPr>
        <w:tabs>
          <w:tab w:val="left" w:pos="606"/>
        </w:tabs>
        <w:spacing w:line="460" w:lineRule="exact"/>
        <w:rPr>
          <w:rFonts w:ascii="仿宋" w:hAnsi="仿宋" w:eastAsia="仿宋"/>
          <w:spacing w:val="20"/>
          <w:sz w:val="30"/>
          <w:szCs w:val="30"/>
        </w:rPr>
      </w:pPr>
    </w:p>
    <w:p>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tblPrEx>
          <w:tblCellMar>
            <w:top w:w="0" w:type="dxa"/>
            <w:left w:w="108" w:type="dxa"/>
            <w:bottom w:w="0" w:type="dxa"/>
            <w:right w:w="108" w:type="dxa"/>
          </w:tblCellMar>
        </w:tblPrEx>
        <w:trPr>
          <w:jc w:val="center"/>
        </w:trPr>
        <w:tc>
          <w:tcPr>
            <w:tcW w:w="4264" w:type="dxa"/>
            <w:noWrap w:val="0"/>
            <w:vAlign w:val="top"/>
          </w:tcPr>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noWrap w:val="0"/>
            <w:vAlign w:val="top"/>
          </w:tcPr>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p>
          <w:p>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pPr>
        <w:pStyle w:val="58"/>
        <w:spacing w:before="156" w:after="156" w:line="400" w:lineRule="exact"/>
      </w:pP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pPr>
        <w:snapToGrid w:val="0"/>
        <w:spacing w:before="50" w:after="50"/>
        <w:jc w:val="left"/>
        <w:rPr>
          <w:rFonts w:ascii="仿宋" w:hAnsi="仿宋" w:eastAsia="仿宋"/>
          <w:sz w:val="30"/>
          <w:szCs w:val="30"/>
        </w:rPr>
      </w:pPr>
      <w:r>
        <w:rPr>
          <w:rFonts w:hint="eastAsia" w:ascii="仿宋" w:hAnsi="仿宋" w:eastAsia="仿宋"/>
          <w:sz w:val="30"/>
          <w:szCs w:val="30"/>
        </w:rPr>
        <w:t>附件7：</w:t>
      </w:r>
    </w:p>
    <w:p>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pPr>
        <w:snapToGrid w:val="0"/>
        <w:spacing w:line="360" w:lineRule="auto"/>
        <w:rPr>
          <w:rFonts w:ascii="仿宋" w:hAnsi="仿宋" w:eastAsia="仿宋"/>
          <w:sz w:val="28"/>
          <w:szCs w:val="28"/>
        </w:rPr>
      </w:pP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pPr>
        <w:snapToGrid w:val="0"/>
        <w:spacing w:line="360" w:lineRule="auto"/>
        <w:jc w:val="right"/>
        <w:rPr>
          <w:rFonts w:ascii="仿宋" w:hAnsi="仿宋" w:eastAsia="仿宋"/>
          <w:sz w:val="28"/>
          <w:szCs w:val="28"/>
        </w:rPr>
      </w:pPr>
    </w:p>
    <w:p>
      <w:pPr>
        <w:widowControl/>
        <w:jc w:val="left"/>
        <w:rPr>
          <w:rFonts w:ascii="仿宋" w:hAnsi="仿宋" w:eastAsia="仿宋"/>
          <w:b/>
          <w:sz w:val="36"/>
          <w:szCs w:val="36"/>
        </w:rPr>
      </w:pPr>
      <w:r>
        <w:rPr>
          <w:rFonts w:hint="eastAsia" w:ascii="仿宋" w:hAnsi="仿宋" w:eastAsia="仿宋"/>
          <w:b/>
          <w:kern w:val="0"/>
          <w:sz w:val="36"/>
          <w:szCs w:val="36"/>
        </w:rPr>
        <w:br w:type="page"/>
      </w:r>
    </w:p>
    <w:p>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pPr>
        <w:snapToGrid w:val="0"/>
        <w:spacing w:line="312" w:lineRule="auto"/>
        <w:ind w:firstLine="560" w:firstLineChars="200"/>
        <w:rPr>
          <w:rFonts w:ascii="仿宋" w:hAnsi="仿宋" w:eastAsia="仿宋"/>
          <w:sz w:val="28"/>
          <w:szCs w:val="28"/>
        </w:rPr>
      </w:pP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pPr>
        <w:widowControl/>
        <w:jc w:val="left"/>
        <w:rPr>
          <w:rFonts w:ascii="仿宋" w:hAnsi="仿宋" w:eastAsia="仿宋"/>
          <w:sz w:val="28"/>
          <w:szCs w:val="28"/>
        </w:rPr>
        <w:sectPr>
          <w:footerReference r:id="rId3" w:type="default"/>
          <w:pgSz w:w="11906" w:h="16838"/>
          <w:pgMar w:top="1440" w:right="1800" w:bottom="1440" w:left="1800" w:header="851" w:footer="992" w:gutter="0"/>
          <w:cols w:space="720" w:num="1"/>
          <w:docGrid w:type="lines" w:linePitch="312" w:charSpace="0"/>
        </w:sectPr>
      </w:pPr>
    </w:p>
    <w:p>
      <w:pPr>
        <w:jc w:val="left"/>
        <w:rPr>
          <w:rFonts w:ascii="仿宋" w:hAnsi="仿宋" w:eastAsia="仿宋"/>
        </w:rPr>
      </w:pPr>
      <w:r>
        <w:rPr>
          <w:rFonts w:hint="eastAsia" w:ascii="仿宋" w:hAnsi="仿宋" w:eastAsia="仿宋"/>
          <w:sz w:val="30"/>
          <w:szCs w:val="30"/>
        </w:rPr>
        <w:t>附件8：</w:t>
      </w:r>
    </w:p>
    <w:p>
      <w:pPr>
        <w:rPr>
          <w:rFonts w:ascii="仿宋" w:hAnsi="仿宋" w:eastAsia="仿宋"/>
        </w:rPr>
      </w:pP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pPr>
        <w:spacing w:line="588" w:lineRule="exact"/>
        <w:rPr>
          <w:rFonts w:ascii="仿宋_GB2312" w:eastAsia="仿宋_GB2312"/>
          <w:b/>
          <w:spacing w:val="6"/>
          <w:sz w:val="30"/>
          <w:szCs w:val="30"/>
        </w:rPr>
      </w:pPr>
    </w:p>
    <w:p>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pPr>
        <w:snapToGrid w:val="0"/>
        <w:spacing w:line="360" w:lineRule="auto"/>
        <w:ind w:firstLine="560" w:firstLineChars="200"/>
        <w:rPr>
          <w:rFonts w:ascii="仿宋" w:hAnsi="仿宋" w:eastAsia="仿宋"/>
          <w:sz w:val="28"/>
          <w:szCs w:val="28"/>
        </w:rPr>
      </w:pPr>
    </w:p>
    <w:p>
      <w:pPr>
        <w:spacing w:line="588" w:lineRule="exact"/>
        <w:ind w:firstLine="624" w:firstLineChars="200"/>
        <w:rPr>
          <w:rFonts w:ascii="仿宋_GB2312" w:eastAsia="仿宋_GB2312"/>
          <w:spacing w:val="6"/>
          <w:sz w:val="30"/>
          <w:szCs w:val="30"/>
        </w:rPr>
      </w:pPr>
    </w:p>
    <w:p>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wordWrap w:val="0"/>
        <w:snapToGrid w:val="0"/>
        <w:spacing w:line="360" w:lineRule="auto"/>
        <w:ind w:firstLine="560" w:firstLineChars="200"/>
        <w:jc w:val="right"/>
        <w:rPr>
          <w:rFonts w:ascii="仿宋" w:hAnsi="仿宋" w:eastAsia="仿宋"/>
          <w:color w:val="000000"/>
          <w:sz w:val="28"/>
          <w:szCs w:val="28"/>
          <w:u w:val="single"/>
        </w:rPr>
      </w:pPr>
    </w:p>
    <w:p>
      <w:pPr>
        <w:rPr>
          <w:color w:val="000000"/>
        </w:rPr>
      </w:pPr>
    </w:p>
    <w:p>
      <w:pPr>
        <w:rPr>
          <w:color w:val="000000"/>
        </w:rPr>
      </w:pPr>
    </w:p>
    <w:p>
      <w:pPr>
        <w:widowControl/>
        <w:jc w:val="left"/>
        <w:rPr>
          <w:rFonts w:ascii="仿宋" w:hAnsi="仿宋" w:eastAsia="仿宋"/>
          <w:color w:val="000000"/>
          <w:sz w:val="30"/>
          <w:szCs w:val="30"/>
        </w:rPr>
      </w:pPr>
    </w:p>
    <w:p>
      <w:pPr>
        <w:widowControl/>
        <w:jc w:val="left"/>
        <w:rPr>
          <w:rFonts w:ascii="仿宋" w:hAnsi="仿宋" w:eastAsia="仿宋"/>
          <w:color w:val="000000"/>
          <w:sz w:val="30"/>
          <w:szCs w:val="30"/>
        </w:rPr>
      </w:pPr>
      <w:r>
        <w:rPr>
          <w:rFonts w:hint="eastAsia" w:ascii="仿宋" w:hAnsi="仿宋" w:eastAsia="仿宋"/>
          <w:color w:val="000000"/>
          <w:kern w:val="0"/>
          <w:sz w:val="30"/>
          <w:szCs w:val="30"/>
        </w:rPr>
        <w:br w:type="page"/>
      </w:r>
    </w:p>
    <w:p>
      <w:pPr>
        <w:snapToGrid w:val="0"/>
        <w:spacing w:before="120" w:beforeLines="50" w:after="50"/>
        <w:rPr>
          <w:rFonts w:ascii="仿宋" w:hAnsi="仿宋" w:eastAsia="仿宋"/>
          <w:b/>
          <w:color w:val="000000"/>
          <w:sz w:val="30"/>
          <w:szCs w:val="30"/>
        </w:rPr>
      </w:pPr>
      <w:r>
        <w:rPr>
          <w:rFonts w:hint="eastAsia" w:ascii="仿宋" w:hAnsi="仿宋" w:eastAsia="仿宋"/>
          <w:color w:val="000000"/>
          <w:sz w:val="30"/>
          <w:szCs w:val="30"/>
        </w:rPr>
        <w:t>附件9</w:t>
      </w:r>
      <w:r>
        <w:rPr>
          <w:rFonts w:hint="eastAsia" w:ascii="仿宋" w:hAnsi="仿宋" w:eastAsia="仿宋"/>
          <w:b/>
          <w:color w:val="000000"/>
          <w:sz w:val="30"/>
          <w:szCs w:val="30"/>
        </w:rPr>
        <w:t xml:space="preserve">：                                     </w:t>
      </w:r>
    </w:p>
    <w:p>
      <w:pPr>
        <w:spacing w:before="240" w:beforeLines="100" w:line="240" w:lineRule="atLeast"/>
        <w:jc w:val="center"/>
        <w:rPr>
          <w:rFonts w:hint="eastAsia" w:ascii="仿宋" w:hAnsi="仿宋" w:eastAsia="仿宋"/>
          <w:b/>
          <w:color w:val="000000"/>
          <w:spacing w:val="40"/>
          <w:sz w:val="52"/>
          <w:szCs w:val="52"/>
          <w:lang w:eastAsia="zh-CN"/>
        </w:rPr>
      </w:pPr>
      <w:bookmarkStart w:id="42" w:name="PO_1000000445_PM002"/>
      <w:r>
        <w:rPr>
          <w:rFonts w:hint="eastAsia" w:ascii="仿宋" w:hAnsi="仿宋" w:eastAsia="仿宋"/>
          <w:b/>
          <w:color w:val="000000"/>
          <w:spacing w:val="40"/>
          <w:sz w:val="52"/>
          <w:szCs w:val="52"/>
          <w:lang w:eastAsia="zh-CN"/>
        </w:rPr>
        <w:t>浙江工商大学科创大楼信息系统基础设施建设项目-交换机等设备采购项目</w:t>
      </w:r>
      <w:bookmarkEnd w:id="42"/>
    </w:p>
    <w:p>
      <w:pPr>
        <w:spacing w:before="240"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3" w:name="PO_15528_PM001_4"/>
      <w:r>
        <w:rPr>
          <w:rFonts w:hint="eastAsia" w:ascii="仿宋" w:hAnsi="仿宋" w:eastAsia="仿宋"/>
          <w:color w:val="000000"/>
          <w:sz w:val="36"/>
          <w:szCs w:val="36"/>
          <w:lang w:eastAsia="zh-CN"/>
        </w:rPr>
        <w:t>ZZCG2023Z-GK-115</w:t>
      </w:r>
      <w:bookmarkEnd w:id="43"/>
      <w:r>
        <w:rPr>
          <w:rFonts w:hint="eastAsia" w:ascii="仿宋" w:hAnsi="仿宋" w:eastAsia="仿宋"/>
          <w:color w:val="000000"/>
          <w:sz w:val="36"/>
          <w:szCs w:val="36"/>
        </w:rPr>
        <w:t>（标项  ）</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技</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术</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及</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商</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务</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件</w:t>
      </w:r>
    </w:p>
    <w:p>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pPr>
        <w:snapToGrid w:val="0"/>
        <w:spacing w:before="50" w:after="5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2、</w:t>
      </w:r>
      <w:r>
        <w:rPr>
          <w:rFonts w:hint="eastAsia" w:ascii="仿宋" w:hAnsi="仿宋" w:eastAsia="仿宋"/>
          <w:b/>
          <w:bCs/>
          <w:color w:val="000000"/>
          <w:sz w:val="36"/>
          <w:szCs w:val="36"/>
        </w:rPr>
        <w:t>技术及商务文件目录</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（1）评分对应表（格式见附件，主要用于评委对应评分内容）</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（2）投标项目明细清单（含货物、服务等）；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（3）技术响应表（格式见附件）；</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（4）项目总体解决方案（可包含且不限于对项目总体要求的理解、项目总体架构及技术解决方案等）；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（5）项目实施计划（可包含且不限于保证工期的施工组织方案及人力资源安排、项目组人员清单等）；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（6）列入政府采购节能环保清单的证明资料（若有）；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（7）商务响应表（格式见附件）；</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（8）售后服务计划（可包含且不限于对用户故障的响应、处理、定期巡检、备品备件、常用耗材提供、驻点人员情况等）；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（9）技术培训计划（若有）；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（10）投标人履约能力（可包含且不限于技术力量情况、投标人各项能力证书）；</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（11）案例的业绩证明（投标人业绩情况一览表、合同复印件等）；</w:t>
      </w:r>
    </w:p>
    <w:p>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（12）投标人认为需要的其他文件资料。</w:t>
      </w:r>
    </w:p>
    <w:p>
      <w:pPr>
        <w:snapToGrid w:val="0"/>
        <w:spacing w:before="50" w:after="120" w:afterLines="50"/>
        <w:jc w:val="left"/>
        <w:rPr>
          <w:rFonts w:ascii="仿宋" w:hAnsi="仿宋" w:eastAsia="仿宋"/>
          <w:color w:val="000000"/>
          <w:sz w:val="30"/>
          <w:szCs w:val="30"/>
        </w:rPr>
      </w:pPr>
    </w:p>
    <w:p>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附件10：</w:t>
      </w:r>
    </w:p>
    <w:p>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评分对应表</w:t>
      </w:r>
    </w:p>
    <w:p>
      <w:pPr>
        <w:snapToGrid w:val="0"/>
        <w:spacing w:before="50"/>
        <w:jc w:val="center"/>
        <w:rPr>
          <w:rFonts w:ascii="仿宋" w:hAnsi="仿宋" w:eastAsia="仿宋"/>
          <w:b/>
          <w:color w:val="000000"/>
          <w:sz w:val="32"/>
          <w:szCs w:val="32"/>
        </w:rPr>
      </w:pPr>
    </w:p>
    <w:p>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评分项目</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投标文件对应资料</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r>
              <w:rPr>
                <w:rFonts w:hint="eastAsia" w:ascii="仿宋" w:hAnsi="仿宋" w:eastAsia="仿宋"/>
                <w:color w:val="000000"/>
                <w:sz w:val="30"/>
                <w:szCs w:val="30"/>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left="43"/>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left="43"/>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left="43"/>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r>
    </w:tbl>
    <w:p>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pPr>
        <w:snapToGrid w:val="0"/>
        <w:spacing w:before="50" w:after="120" w:afterLines="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附件11：</w:t>
      </w:r>
    </w:p>
    <w:p>
      <w:pPr>
        <w:snapToGrid w:val="0"/>
        <w:spacing w:before="50" w:after="120" w:afterLines="50"/>
        <w:jc w:val="center"/>
        <w:rPr>
          <w:rFonts w:ascii="仿宋" w:hAnsi="仿宋" w:eastAsia="仿宋"/>
          <w:b/>
          <w:color w:val="000000"/>
          <w:spacing w:val="40"/>
          <w:kern w:val="0"/>
          <w:sz w:val="36"/>
          <w:szCs w:val="36"/>
        </w:rPr>
      </w:pPr>
      <w:r>
        <w:rPr>
          <w:rFonts w:hint="eastAsia" w:ascii="仿宋" w:hAnsi="仿宋" w:eastAsia="仿宋"/>
          <w:b/>
          <w:color w:val="000000"/>
          <w:spacing w:val="40"/>
          <w:kern w:val="0"/>
          <w:sz w:val="36"/>
          <w:szCs w:val="36"/>
        </w:rPr>
        <w:t>投标项目明细清单</w:t>
      </w:r>
    </w:p>
    <w:p>
      <w:pPr>
        <w:snapToGrid w:val="0"/>
        <w:spacing w:before="50" w:after="120" w:afterLines="50"/>
        <w:rPr>
          <w:rFonts w:ascii="仿宋" w:hAnsi="仿宋" w:eastAsia="仿宋"/>
          <w:b/>
          <w:color w:val="000000"/>
          <w:spacing w:val="40"/>
          <w:kern w:val="0"/>
          <w:sz w:val="36"/>
          <w:szCs w:val="36"/>
        </w:rPr>
      </w:pPr>
    </w:p>
    <w:p>
      <w:pPr>
        <w:pStyle w:val="18"/>
        <w:snapToGrid w:val="0"/>
        <w:rPr>
          <w:rFonts w:ascii="仿宋" w:hAnsi="仿宋" w:eastAsia="仿宋"/>
          <w:color w:val="000000"/>
          <w:kern w:val="0"/>
          <w:sz w:val="30"/>
          <w:szCs w:val="30"/>
          <w:u w:val="single"/>
        </w:rPr>
      </w:pPr>
      <w:r>
        <w:rPr>
          <w:rFonts w:hint="eastAsia" w:ascii="仿宋" w:hAnsi="仿宋" w:eastAsia="仿宋"/>
          <w:color w:val="000000"/>
          <w:sz w:val="30"/>
          <w:szCs w:val="30"/>
        </w:rPr>
        <w:t>投标人全称（公章）：                标项：</w:t>
      </w:r>
    </w:p>
    <w:p>
      <w:pPr>
        <w:pStyle w:val="18"/>
        <w:snapToGrid w:val="0"/>
        <w:rPr>
          <w:rFonts w:ascii="仿宋" w:hAnsi="仿宋" w:eastAsia="仿宋"/>
          <w:color w:val="000000"/>
          <w:sz w:val="30"/>
          <w:szCs w:val="30"/>
        </w:rPr>
      </w:pPr>
      <w:r>
        <w:rPr>
          <w:rFonts w:hint="eastAsia" w:ascii="仿宋" w:hAnsi="仿宋" w:eastAsia="仿宋"/>
          <w:color w:val="000000"/>
          <w:sz w:val="30"/>
          <w:szCs w:val="30"/>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规格</w:t>
            </w:r>
          </w:p>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单位及</w:t>
            </w:r>
          </w:p>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r>
    </w:tbl>
    <w:p>
      <w:pPr>
        <w:snapToGrid w:val="0"/>
        <w:spacing w:before="120" w:beforeLines="50"/>
        <w:rPr>
          <w:rFonts w:ascii="仿宋" w:hAnsi="仿宋" w:eastAsia="仿宋"/>
          <w:color w:val="000000"/>
          <w:sz w:val="30"/>
          <w:szCs w:val="30"/>
        </w:rPr>
      </w:pPr>
      <w:r>
        <w:rPr>
          <w:rFonts w:hint="eastAsia" w:ascii="仿宋" w:hAnsi="仿宋" w:eastAsia="仿宋"/>
          <w:color w:val="000000"/>
          <w:sz w:val="30"/>
          <w:szCs w:val="30"/>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服务内容</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服务人员数量</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工作量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仿宋" w:hAnsi="仿宋" w:eastAsia="仿宋"/>
                <w:color w:val="000000"/>
                <w:sz w:val="30"/>
                <w:szCs w:val="30"/>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仿宋" w:hAnsi="仿宋" w:eastAsia="仿宋"/>
                <w:color w:val="000000"/>
                <w:sz w:val="30"/>
                <w:szCs w:val="30"/>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仿宋" w:hAnsi="仿宋" w:eastAsia="仿宋"/>
                <w:color w:val="000000"/>
                <w:sz w:val="30"/>
                <w:szCs w:val="30"/>
              </w:rPr>
            </w:pPr>
          </w:p>
        </w:tc>
      </w:tr>
    </w:tbl>
    <w:p>
      <w:pPr>
        <w:snapToGrid w:val="0"/>
        <w:spacing w:before="120" w:beforeLines="50"/>
        <w:rPr>
          <w:rFonts w:ascii="仿宋" w:hAnsi="仿宋" w:eastAsia="仿宋"/>
          <w:color w:val="000000"/>
          <w:sz w:val="30"/>
          <w:szCs w:val="30"/>
        </w:rPr>
      </w:pPr>
      <w:r>
        <w:rPr>
          <w:rFonts w:hint="eastAsia" w:ascii="仿宋" w:hAnsi="仿宋" w:eastAsia="仿宋"/>
          <w:color w:val="000000"/>
          <w:sz w:val="30"/>
          <w:szCs w:val="30"/>
        </w:rPr>
        <w:t>注：在填写时，如上表不适合本项目的实际情况，可在确保投标明细内容完整的情况下，根据上表格式自行划表填写。</w:t>
      </w:r>
    </w:p>
    <w:p>
      <w:pPr>
        <w:snapToGrid w:val="0"/>
        <w:spacing w:before="120" w:beforeLines="50"/>
        <w:rPr>
          <w:rFonts w:ascii="仿宋" w:hAnsi="仿宋" w:eastAsia="仿宋"/>
          <w:color w:val="000000"/>
          <w:sz w:val="30"/>
          <w:szCs w:val="30"/>
        </w:rPr>
      </w:pPr>
    </w:p>
    <w:p>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pPr>
        <w:snapToGrid w:val="0"/>
        <w:spacing w:before="50" w:after="50"/>
        <w:rPr>
          <w:rFonts w:ascii="仿宋" w:hAnsi="仿宋" w:eastAsia="仿宋"/>
          <w:color w:val="000000"/>
          <w:spacing w:val="20"/>
          <w:sz w:val="30"/>
          <w:szCs w:val="30"/>
        </w:rPr>
      </w:pPr>
    </w:p>
    <w:p>
      <w:pPr>
        <w:snapToGrid w:val="0"/>
        <w:spacing w:before="50" w:after="50"/>
        <w:rPr>
          <w:rFonts w:ascii="仿宋" w:hAnsi="仿宋" w:eastAsia="仿宋"/>
          <w:color w:val="000000"/>
          <w:sz w:val="30"/>
          <w:szCs w:val="30"/>
        </w:rPr>
      </w:pPr>
      <w:r>
        <w:rPr>
          <w:rFonts w:hint="eastAsia" w:ascii="仿宋" w:hAnsi="仿宋" w:eastAsia="仿宋"/>
          <w:color w:val="000000"/>
          <w:spacing w:val="20"/>
          <w:kern w:val="0"/>
          <w:sz w:val="30"/>
          <w:szCs w:val="30"/>
        </w:rPr>
        <w:br w:type="page"/>
      </w:r>
      <w:r>
        <w:rPr>
          <w:rFonts w:hint="eastAsia" w:ascii="仿宋" w:hAnsi="仿宋" w:eastAsia="仿宋"/>
          <w:color w:val="000000"/>
          <w:sz w:val="30"/>
          <w:szCs w:val="30"/>
        </w:rPr>
        <w:t>附件12：</w:t>
      </w:r>
    </w:p>
    <w:p>
      <w:pPr>
        <w:snapToGrid w:val="0"/>
        <w:spacing w:before="50" w:after="120" w:afterLines="50"/>
        <w:jc w:val="center"/>
        <w:rPr>
          <w:rFonts w:ascii="仿宋" w:hAnsi="仿宋" w:eastAsia="仿宋"/>
          <w:b/>
          <w:color w:val="000000"/>
          <w:spacing w:val="40"/>
          <w:kern w:val="0"/>
          <w:sz w:val="36"/>
          <w:szCs w:val="36"/>
        </w:rPr>
      </w:pPr>
      <w:r>
        <w:rPr>
          <w:rFonts w:hint="eastAsia" w:ascii="仿宋" w:hAnsi="仿宋" w:eastAsia="仿宋"/>
          <w:b/>
          <w:color w:val="000000"/>
          <w:spacing w:val="40"/>
          <w:kern w:val="0"/>
          <w:sz w:val="36"/>
          <w:szCs w:val="36"/>
        </w:rPr>
        <w:t>技 术 响 应 表</w:t>
      </w:r>
    </w:p>
    <w:p>
      <w:pPr>
        <w:snapToGrid w:val="0"/>
        <w:spacing w:before="50" w:after="120" w:afterLines="50"/>
        <w:rPr>
          <w:rFonts w:ascii="仿宋" w:hAnsi="仿宋" w:eastAsia="仿宋"/>
          <w:b/>
          <w:color w:val="000000"/>
          <w:sz w:val="32"/>
          <w:szCs w:val="32"/>
        </w:rPr>
      </w:pPr>
    </w:p>
    <w:p>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2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sz w:val="30"/>
                <w:szCs w:val="30"/>
              </w:rPr>
              <w:t>投标文件响应</w:t>
            </w:r>
          </w:p>
        </w:tc>
        <w:tc>
          <w:tcPr>
            <w:tcW w:w="242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jc w:val="center"/>
              <w:rPr>
                <w:rFonts w:ascii="仿宋" w:hAnsi="仿宋" w:eastAsia="仿宋"/>
                <w:color w:val="000000"/>
                <w:kern w:val="0"/>
                <w:sz w:val="30"/>
                <w:szCs w:val="30"/>
              </w:rPr>
            </w:pPr>
            <w:r>
              <w:rPr>
                <w:rFonts w:hint="eastAsia" w:ascii="仿宋" w:hAnsi="仿宋" w:eastAsia="仿宋"/>
                <w:color w:val="000000"/>
                <w:sz w:val="30"/>
                <w:szCs w:val="30"/>
              </w:rPr>
              <w:t xml:space="preserve">偏离情况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nil"/>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pPr>
              <w:pStyle w:val="31"/>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vAlign w:val="top"/>
          </w:tcPr>
          <w:p>
            <w:pPr>
              <w:pStyle w:val="31"/>
              <w:snapToGrid w:val="0"/>
              <w:spacing w:before="120" w:after="120" w:line="240" w:lineRule="auto"/>
              <w:outlineLvl w:val="0"/>
              <w:rPr>
                <w:rFonts w:ascii="仿宋" w:hAnsi="仿宋" w:eastAsia="仿宋"/>
                <w:color w:val="000000"/>
                <w:sz w:val="30"/>
                <w:szCs w:val="30"/>
              </w:rPr>
            </w:pPr>
          </w:p>
        </w:tc>
      </w:tr>
    </w:tbl>
    <w:p>
      <w:pPr>
        <w:pStyle w:val="23"/>
        <w:rPr>
          <w:rFonts w:ascii="仿宋" w:hAnsi="仿宋" w:eastAsia="仿宋"/>
          <w:color w:val="000000"/>
          <w:spacing w:val="20"/>
          <w:kern w:val="0"/>
          <w:sz w:val="30"/>
          <w:szCs w:val="30"/>
        </w:rPr>
      </w:pPr>
      <w:r>
        <w:rPr>
          <w:rFonts w:hint="eastAsia" w:ascii="仿宋" w:hAnsi="仿宋" w:eastAsia="仿宋"/>
          <w:color w:val="000000"/>
          <w:sz w:val="30"/>
          <w:szCs w:val="30"/>
        </w:rPr>
        <w:t>注：投标人应根据投标设备的性能指标、对照招标文件要求在“偏离情况”栏注明“正偏离”、“负偏离”或“无偏离”。</w:t>
      </w:r>
    </w:p>
    <w:p>
      <w:pPr>
        <w:snapToGrid w:val="0"/>
        <w:spacing w:before="50" w:after="50"/>
        <w:rPr>
          <w:rFonts w:ascii="仿宋" w:hAnsi="仿宋" w:eastAsia="仿宋"/>
          <w:color w:val="000000"/>
          <w:spacing w:val="20"/>
          <w:sz w:val="30"/>
          <w:szCs w:val="30"/>
        </w:rPr>
      </w:pPr>
    </w:p>
    <w:p>
      <w:pPr>
        <w:snapToGrid w:val="0"/>
        <w:spacing w:before="50" w:after="50"/>
        <w:rPr>
          <w:rFonts w:ascii="仿宋" w:hAnsi="仿宋" w:eastAsia="仿宋"/>
          <w:color w:val="000000"/>
          <w:sz w:val="30"/>
          <w:szCs w:val="30"/>
        </w:rPr>
      </w:pPr>
      <w:r>
        <w:rPr>
          <w:rFonts w:hint="eastAsia" w:ascii="仿宋" w:hAnsi="仿宋" w:eastAsia="仿宋"/>
          <w:color w:val="000000"/>
          <w:spacing w:val="20"/>
          <w:sz w:val="30"/>
          <w:szCs w:val="30"/>
        </w:rPr>
        <w:t>授权代表签名：          日 期：</w:t>
      </w:r>
    </w:p>
    <w:p>
      <w:pPr>
        <w:snapToGrid w:val="0"/>
        <w:spacing w:before="50" w:after="120" w:afterLines="50"/>
        <w:jc w:val="left"/>
        <w:rPr>
          <w:rFonts w:ascii="仿宋" w:hAnsi="仿宋" w:eastAsia="仿宋"/>
          <w:color w:val="000000"/>
          <w:sz w:val="30"/>
          <w:szCs w:val="30"/>
        </w:rPr>
      </w:pPr>
    </w:p>
    <w:p>
      <w:pPr>
        <w:snapToGrid w:val="0"/>
        <w:spacing w:before="50" w:after="50"/>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附件13：</w:t>
      </w:r>
    </w:p>
    <w:p>
      <w:pPr>
        <w:snapToGrid w:val="0"/>
        <w:spacing w:before="50" w:after="120" w:afterLines="50"/>
        <w:jc w:val="center"/>
        <w:rPr>
          <w:rFonts w:ascii="仿宋" w:hAnsi="仿宋" w:eastAsia="仿宋"/>
          <w:b/>
          <w:color w:val="000000"/>
          <w:kern w:val="0"/>
          <w:sz w:val="36"/>
          <w:szCs w:val="36"/>
        </w:rPr>
      </w:pPr>
      <w:r>
        <w:rPr>
          <w:rFonts w:hint="eastAsia" w:ascii="仿宋" w:hAnsi="仿宋" w:eastAsia="仿宋"/>
          <w:b/>
          <w:color w:val="000000"/>
          <w:kern w:val="0"/>
          <w:sz w:val="36"/>
          <w:szCs w:val="36"/>
        </w:rPr>
        <w:t>项目组人员清单</w:t>
      </w:r>
    </w:p>
    <w:p>
      <w:pPr>
        <w:snapToGrid w:val="0"/>
        <w:spacing w:before="120" w:beforeLines="50" w:after="50"/>
        <w:rPr>
          <w:rFonts w:ascii="仿宋" w:hAnsi="仿宋" w:eastAsia="仿宋"/>
          <w:b/>
          <w:color w:val="000000"/>
          <w:sz w:val="30"/>
          <w:szCs w:val="30"/>
        </w:rPr>
      </w:pPr>
    </w:p>
    <w:p>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姓名</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职务</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专业技</w:t>
            </w:r>
          </w:p>
          <w:p>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术资格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证书</w:t>
            </w:r>
          </w:p>
          <w:p>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编号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参加本单位工作时间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劳动合</w:t>
            </w:r>
          </w:p>
          <w:p>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pStyle w:val="34"/>
              <w:snapToGrid w:val="0"/>
              <w:spacing w:before="120" w:beforeLines="50" w:after="120" w:line="460" w:lineRule="exact"/>
              <w:ind w:left="5250"/>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460" w:lineRule="exact"/>
              <w:rPr>
                <w:rFonts w:ascii="仿宋" w:hAnsi="仿宋" w:eastAsia="仿宋"/>
                <w:b/>
                <w:bCs/>
                <w:color w:val="000000"/>
                <w:kern w:val="0"/>
                <w:sz w:val="30"/>
                <w:szCs w:val="30"/>
              </w:rPr>
            </w:pPr>
          </w:p>
        </w:tc>
      </w:tr>
    </w:tbl>
    <w:p>
      <w:pPr>
        <w:snapToGrid w:val="0"/>
        <w:spacing w:before="50" w:after="12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注：在填写时，如本表格不适合投标单位的实际情况，可根据本表格式自行划表填写。 </w:t>
      </w:r>
    </w:p>
    <w:p>
      <w:pPr>
        <w:snapToGrid w:val="0"/>
        <w:spacing w:before="50" w:after="120" w:afterLines="50" w:line="460" w:lineRule="exact"/>
        <w:jc w:val="left"/>
        <w:rPr>
          <w:rFonts w:ascii="仿宋" w:hAnsi="仿宋" w:eastAsia="仿宋"/>
          <w:color w:val="000000"/>
          <w:sz w:val="30"/>
          <w:szCs w:val="30"/>
        </w:rPr>
      </w:pPr>
    </w:p>
    <w:p>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spacing w:val="20"/>
          <w:sz w:val="30"/>
          <w:szCs w:val="30"/>
        </w:rPr>
        <w:t>授权代表签名： 日  期：</w:t>
      </w:r>
    </w:p>
    <w:p>
      <w:pPr>
        <w:snapToGrid w:val="0"/>
        <w:spacing w:before="50" w:after="120" w:afterLines="50" w:line="460" w:lineRule="exact"/>
        <w:jc w:val="left"/>
        <w:rPr>
          <w:rFonts w:ascii="仿宋" w:hAnsi="仿宋" w:eastAsia="仿宋"/>
          <w:color w:val="000000"/>
          <w:sz w:val="30"/>
          <w:szCs w:val="30"/>
        </w:rPr>
      </w:pPr>
    </w:p>
    <w:p>
      <w:pPr>
        <w:pStyle w:val="31"/>
        <w:snapToGrid w:val="0"/>
        <w:spacing w:before="120" w:after="120" w:line="460" w:lineRule="exact"/>
        <w:rPr>
          <w:rFonts w:ascii="仿宋" w:hAnsi="仿宋" w:eastAsia="仿宋"/>
          <w:color w:val="000000"/>
          <w:sz w:val="30"/>
          <w:szCs w:val="30"/>
        </w:rPr>
      </w:pPr>
    </w:p>
    <w:p>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附件14：</w:t>
      </w:r>
    </w:p>
    <w:p>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商务响应表</w:t>
      </w:r>
    </w:p>
    <w:p>
      <w:pPr>
        <w:snapToGrid w:val="0"/>
        <w:spacing w:before="50"/>
        <w:jc w:val="center"/>
        <w:rPr>
          <w:rFonts w:ascii="仿宋" w:hAnsi="仿宋" w:eastAsia="仿宋"/>
          <w:b/>
          <w:color w:val="000000"/>
          <w:sz w:val="32"/>
          <w:szCs w:val="32"/>
        </w:rPr>
      </w:pPr>
    </w:p>
    <w:p>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项目</w:t>
            </w:r>
          </w:p>
        </w:tc>
        <w:tc>
          <w:tcPr>
            <w:tcW w:w="26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是否</w:t>
            </w:r>
          </w:p>
          <w:p>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响应</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项目工期（交货期）及地点</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付款条件</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违约责任及争议解决方式</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项目维护计划</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响应情况</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技术培训</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投标人技术力量情况</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8"/>
                <w:szCs w:val="28"/>
              </w:rPr>
            </w:pPr>
            <w:r>
              <w:rPr>
                <w:rFonts w:hint="eastAsia" w:ascii="仿宋" w:hAnsi="仿宋" w:eastAsia="仿宋"/>
                <w:color w:val="000000"/>
                <w:sz w:val="28"/>
                <w:szCs w:val="28"/>
              </w:rPr>
              <w:t>经验或业绩要求</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269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color w:val="000000"/>
                <w:sz w:val="30"/>
                <w:szCs w:val="30"/>
              </w:rPr>
            </w:pPr>
          </w:p>
        </w:tc>
        <w:tc>
          <w:tcPr>
            <w:tcW w:w="301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rPr>
                <w:rFonts w:ascii="仿宋" w:hAnsi="仿宋" w:eastAsia="仿宋"/>
                <w:b/>
                <w:bCs/>
                <w:color w:val="000000"/>
                <w:sz w:val="30"/>
                <w:szCs w:val="30"/>
              </w:rPr>
            </w:pPr>
          </w:p>
        </w:tc>
      </w:tr>
    </w:tbl>
    <w:p>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pPr>
        <w:widowControl/>
        <w:jc w:val="left"/>
        <w:rPr>
          <w:rFonts w:ascii="仿宋" w:hAnsi="仿宋" w:eastAsia="仿宋"/>
          <w:color w:val="000000"/>
          <w:kern w:val="0"/>
          <w:sz w:val="30"/>
          <w:szCs w:val="30"/>
        </w:rPr>
        <w:sectPr>
          <w:footerReference r:id="rId4" w:type="default"/>
          <w:pgSz w:w="11906" w:h="16838"/>
          <w:pgMar w:top="1474" w:right="1797" w:bottom="1247" w:left="1797" w:header="851" w:footer="851" w:gutter="0"/>
          <w:cols w:space="720" w:num="1"/>
        </w:sectPr>
      </w:pPr>
    </w:p>
    <w:p>
      <w:pPr>
        <w:snapToGrid w:val="0"/>
        <w:spacing w:before="50" w:after="120" w:afterLines="50"/>
        <w:jc w:val="left"/>
        <w:rPr>
          <w:rFonts w:ascii="仿宋" w:hAnsi="仿宋" w:eastAsia="仿宋"/>
          <w:color w:val="000000"/>
          <w:sz w:val="30"/>
          <w:szCs w:val="30"/>
        </w:rPr>
      </w:pPr>
      <w:r>
        <w:rPr>
          <w:rFonts w:hint="eastAsia" w:ascii="仿宋" w:hAnsi="仿宋" w:eastAsia="仿宋"/>
          <w:color w:val="000000"/>
          <w:sz w:val="30"/>
          <w:szCs w:val="30"/>
        </w:rPr>
        <w:t>附件15：</w:t>
      </w:r>
    </w:p>
    <w:p>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投标人业绩情况一览表</w:t>
      </w:r>
    </w:p>
    <w:p>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采购单位名称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采购</w:t>
            </w:r>
          </w:p>
          <w:p>
            <w:pPr>
              <w:snapToGrid w:val="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合同</w:t>
            </w:r>
          </w:p>
          <w:p>
            <w:pPr>
              <w:snapToGrid w:val="0"/>
              <w:jc w:val="center"/>
              <w:rPr>
                <w:rFonts w:ascii="仿宋" w:hAnsi="仿宋" w:eastAsia="仿宋"/>
                <w:color w:val="000000"/>
                <w:sz w:val="30"/>
                <w:szCs w:val="30"/>
              </w:rPr>
            </w:pPr>
            <w:r>
              <w:rPr>
                <w:rFonts w:hint="eastAsia" w:ascii="仿宋" w:hAnsi="仿宋" w:eastAsia="仿宋"/>
                <w:color w:val="000000"/>
                <w:sz w:val="30"/>
                <w:szCs w:val="30"/>
              </w:rPr>
              <w:t>金额</w:t>
            </w:r>
          </w:p>
          <w:p>
            <w:pPr>
              <w:snapToGrid w:val="0"/>
              <w:jc w:val="center"/>
              <w:rPr>
                <w:rFonts w:ascii="仿宋" w:hAnsi="仿宋" w:eastAsia="仿宋"/>
                <w:color w:val="000000"/>
                <w:sz w:val="30"/>
                <w:szCs w:val="30"/>
              </w:rPr>
            </w:pPr>
            <w:r>
              <w:rPr>
                <w:rFonts w:hint="eastAsia" w:ascii="仿宋" w:hAnsi="仿宋" w:eastAsia="仿宋"/>
                <w:color w:val="000000"/>
                <w:sz w:val="30"/>
                <w:szCs w:val="30"/>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附件页码</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采购单位联系人及</w:t>
            </w:r>
          </w:p>
          <w:p>
            <w:pPr>
              <w:snapToGrid w:val="0"/>
              <w:jc w:val="center"/>
              <w:rPr>
                <w:rFonts w:ascii="仿宋" w:hAnsi="仿宋" w:eastAsia="仿宋"/>
                <w:color w:val="000000"/>
                <w:sz w:val="30"/>
                <w:szCs w:val="30"/>
              </w:rPr>
            </w:pPr>
            <w:r>
              <w:rPr>
                <w:rFonts w:hint="eastAsia" w:ascii="仿宋" w:hAnsi="仿宋" w:eastAsia="仿宋"/>
                <w:color w:val="000000"/>
                <w:sz w:val="30"/>
                <w:szCs w:val="30"/>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c>
          <w:tcPr>
            <w:tcW w:w="11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合</w:t>
            </w:r>
          </w:p>
          <w:p>
            <w:pPr>
              <w:snapToGrid w:val="0"/>
              <w:jc w:val="center"/>
              <w:rPr>
                <w:rFonts w:ascii="仿宋" w:hAnsi="仿宋" w:eastAsia="仿宋"/>
                <w:color w:val="000000"/>
                <w:sz w:val="30"/>
                <w:szCs w:val="30"/>
              </w:rPr>
            </w:pPr>
            <w:r>
              <w:rPr>
                <w:rFonts w:hint="eastAsia" w:ascii="仿宋" w:hAnsi="仿宋" w:eastAsia="仿宋"/>
                <w:color w:val="000000"/>
                <w:sz w:val="30"/>
                <w:szCs w:val="30"/>
              </w:rPr>
              <w:t>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30"/>
                <w:szCs w:val="30"/>
              </w:rPr>
            </w:pPr>
            <w:r>
              <w:rPr>
                <w:rFonts w:hint="eastAsia" w:ascii="仿宋" w:hAnsi="仿宋" w:eastAsia="仿宋"/>
                <w:color w:val="000000"/>
                <w:sz w:val="30"/>
                <w:szCs w:val="30"/>
              </w:rPr>
              <w:t>验收</w:t>
            </w:r>
          </w:p>
          <w:p>
            <w:pPr>
              <w:snapToGrid w:val="0"/>
              <w:jc w:val="center"/>
              <w:rPr>
                <w:rFonts w:ascii="仿宋" w:hAnsi="仿宋" w:eastAsia="仿宋"/>
                <w:color w:val="000000"/>
                <w:sz w:val="30"/>
                <w:szCs w:val="30"/>
              </w:rPr>
            </w:pPr>
            <w:r>
              <w:rPr>
                <w:rFonts w:hint="eastAsia" w:ascii="仿宋" w:hAnsi="仿宋" w:eastAsia="仿宋"/>
                <w:color w:val="000000"/>
                <w:sz w:val="30"/>
                <w:szCs w:val="30"/>
              </w:rPr>
              <w:t>报告</w:t>
            </w: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b/>
                <w:bCs/>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center"/>
              <w:rPr>
                <w:rFonts w:ascii="仿宋" w:hAnsi="仿宋" w:eastAsia="仿宋"/>
                <w:color w:val="000000"/>
                <w:sz w:val="30"/>
                <w:szCs w:val="30"/>
              </w:rPr>
            </w:pPr>
            <w:r>
              <w:rPr>
                <w:rFonts w:hint="eastAsia" w:ascii="仿宋" w:hAnsi="仿宋" w:eastAsia="仿宋"/>
                <w:color w:val="000000"/>
                <w:sz w:val="30"/>
                <w:szCs w:val="30"/>
              </w:rPr>
              <w:t>备注</w:t>
            </w:r>
          </w:p>
        </w:tc>
        <w:tc>
          <w:tcPr>
            <w:tcW w:w="11340" w:type="dxa"/>
            <w:gridSpan w:val="7"/>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仿宋" w:hAnsi="仿宋" w:eastAsia="仿宋"/>
                <w:color w:val="000000"/>
                <w:sz w:val="30"/>
                <w:szCs w:val="30"/>
              </w:rPr>
            </w:pPr>
            <w:r>
              <w:rPr>
                <w:rFonts w:hint="eastAsia" w:ascii="仿宋" w:hAnsi="仿宋" w:eastAsia="仿宋"/>
                <w:color w:val="000000"/>
                <w:sz w:val="32"/>
                <w:szCs w:val="32"/>
              </w:rPr>
              <w:t>提供投标人同类项目合同复印件、用户验收报告（如有）。</w:t>
            </w:r>
          </w:p>
        </w:tc>
      </w:tr>
    </w:tbl>
    <w:p>
      <w:pPr>
        <w:pStyle w:val="18"/>
        <w:snapToGrid w:val="0"/>
        <w:spacing w:before="240"/>
        <w:rPr>
          <w:rFonts w:ascii="仿宋" w:hAnsi="仿宋" w:eastAsia="仿宋"/>
          <w:color w:val="000000"/>
          <w:kern w:val="0"/>
          <w:sz w:val="30"/>
          <w:szCs w:val="30"/>
        </w:rPr>
      </w:pPr>
      <w:r>
        <w:rPr>
          <w:rFonts w:hint="eastAsia" w:ascii="仿宋" w:hAnsi="仿宋" w:eastAsia="仿宋"/>
          <w:color w:val="000000"/>
          <w:sz w:val="30"/>
          <w:szCs w:val="30"/>
        </w:rPr>
        <w:t>授权代表签名：</w:t>
      </w:r>
      <w:r>
        <w:rPr>
          <w:rFonts w:hint="eastAsia" w:ascii="仿宋" w:hAnsi="仿宋" w:eastAsia="仿宋"/>
          <w:color w:val="000000"/>
          <w:sz w:val="30"/>
          <w:szCs w:val="30"/>
          <w:u w:val="single"/>
        </w:rPr>
        <w:t>　　　　　</w:t>
      </w:r>
      <w:r>
        <w:rPr>
          <w:rFonts w:hint="eastAsia" w:ascii="仿宋" w:hAnsi="仿宋" w:eastAsia="仿宋"/>
          <w:color w:val="000000"/>
          <w:sz w:val="30"/>
          <w:szCs w:val="30"/>
        </w:rPr>
        <w:t xml:space="preserve">                                            时  间：</w:t>
      </w:r>
    </w:p>
    <w:p>
      <w:pPr>
        <w:widowControl/>
        <w:jc w:val="left"/>
        <w:rPr>
          <w:rFonts w:ascii="仿宋" w:hAnsi="仿宋" w:eastAsia="仿宋"/>
          <w:color w:val="000000"/>
          <w:kern w:val="0"/>
          <w:sz w:val="30"/>
          <w:szCs w:val="30"/>
        </w:rPr>
        <w:sectPr>
          <w:pgSz w:w="16838" w:h="11906" w:orient="landscape"/>
          <w:pgMar w:top="1797" w:right="1474" w:bottom="1797" w:left="1247" w:header="851" w:footer="851" w:gutter="0"/>
          <w:cols w:space="720" w:num="1"/>
        </w:sectPr>
      </w:pPr>
    </w:p>
    <w:p>
      <w:pPr>
        <w:snapToGrid w:val="0"/>
        <w:spacing w:before="120" w:beforeLines="50" w:after="50"/>
        <w:rPr>
          <w:rFonts w:ascii="仿宋" w:hAnsi="仿宋" w:eastAsia="仿宋"/>
          <w:b/>
          <w:color w:val="000000"/>
          <w:sz w:val="30"/>
          <w:szCs w:val="30"/>
        </w:rPr>
      </w:pPr>
      <w:r>
        <w:rPr>
          <w:rFonts w:hint="eastAsia" w:ascii="仿宋" w:hAnsi="仿宋" w:eastAsia="仿宋"/>
          <w:color w:val="000000"/>
          <w:sz w:val="30"/>
          <w:szCs w:val="30"/>
        </w:rPr>
        <w:t>附件16</w:t>
      </w:r>
      <w:r>
        <w:rPr>
          <w:rFonts w:hint="eastAsia" w:ascii="仿宋" w:hAnsi="仿宋" w:eastAsia="仿宋"/>
          <w:b/>
          <w:color w:val="000000"/>
          <w:sz w:val="30"/>
          <w:szCs w:val="30"/>
        </w:rPr>
        <w:t xml:space="preserve">：                                    </w:t>
      </w:r>
    </w:p>
    <w:p>
      <w:pPr>
        <w:spacing w:before="240" w:beforeLines="100" w:line="240" w:lineRule="atLeast"/>
        <w:jc w:val="center"/>
        <w:rPr>
          <w:rFonts w:hint="eastAsia" w:ascii="仿宋" w:hAnsi="仿宋" w:eastAsia="仿宋"/>
          <w:b/>
          <w:color w:val="000000"/>
          <w:spacing w:val="40"/>
          <w:sz w:val="52"/>
          <w:szCs w:val="52"/>
          <w:lang w:eastAsia="zh-CN"/>
        </w:rPr>
      </w:pPr>
      <w:bookmarkStart w:id="44" w:name="PO_1000000445_PM002_1"/>
      <w:r>
        <w:rPr>
          <w:rFonts w:hint="eastAsia" w:ascii="仿宋" w:hAnsi="仿宋" w:eastAsia="仿宋"/>
          <w:b/>
          <w:color w:val="000000"/>
          <w:spacing w:val="40"/>
          <w:sz w:val="52"/>
          <w:szCs w:val="52"/>
          <w:lang w:eastAsia="zh-CN"/>
        </w:rPr>
        <w:t>浙江工商大学科创大楼信息系统基础设施建设项目-交换机等设备采购项目</w:t>
      </w:r>
      <w:bookmarkEnd w:id="44"/>
    </w:p>
    <w:p>
      <w:pPr>
        <w:spacing w:before="240"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5" w:name="PO_1000000445_PM001"/>
      <w:r>
        <w:rPr>
          <w:rFonts w:hint="eastAsia" w:ascii="仿宋" w:hAnsi="仿宋" w:eastAsia="仿宋"/>
          <w:b/>
          <w:color w:val="000000"/>
          <w:sz w:val="36"/>
          <w:szCs w:val="36"/>
          <w:lang w:eastAsia="zh-CN"/>
        </w:rPr>
        <w:t>ZZCG2023Z-GK-115</w:t>
      </w:r>
      <w:bookmarkEnd w:id="45"/>
      <w:r>
        <w:rPr>
          <w:rFonts w:hint="eastAsia" w:ascii="仿宋" w:hAnsi="仿宋" w:eastAsia="仿宋"/>
          <w:color w:val="000000"/>
          <w:sz w:val="36"/>
          <w:szCs w:val="36"/>
        </w:rPr>
        <w:t>（标项  ）</w:t>
      </w:r>
    </w:p>
    <w:p>
      <w:pPr>
        <w:spacing w:after="100" w:afterAutospacing="1" w:line="800" w:lineRule="exact"/>
        <w:ind w:right="-108"/>
        <w:jc w:val="center"/>
        <w:rPr>
          <w:rFonts w:ascii="仿宋" w:hAnsi="仿宋" w:eastAsia="仿宋"/>
          <w:b/>
          <w:color w:val="000000"/>
          <w:spacing w:val="40"/>
          <w:sz w:val="84"/>
          <w:szCs w:val="84"/>
        </w:rPr>
      </w:pPr>
    </w:p>
    <w:p>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报</w:t>
      </w:r>
    </w:p>
    <w:p>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价</w:t>
      </w:r>
    </w:p>
    <w:p>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件</w:t>
      </w:r>
    </w:p>
    <w:p>
      <w:pPr>
        <w:spacing w:line="500" w:lineRule="exact"/>
        <w:ind w:right="532"/>
        <w:jc w:val="center"/>
        <w:rPr>
          <w:rFonts w:ascii="仿宋" w:hAnsi="仿宋" w:eastAsia="仿宋"/>
          <w:color w:val="000000"/>
          <w:sz w:val="36"/>
          <w:szCs w:val="36"/>
        </w:rPr>
      </w:pPr>
    </w:p>
    <w:p>
      <w:pPr>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pPr>
        <w:snapToGrid w:val="0"/>
        <w:spacing w:before="50" w:after="50"/>
        <w:rPr>
          <w:rFonts w:ascii="仿宋" w:hAnsi="仿宋" w:eastAsia="仿宋"/>
          <w:color w:val="000000"/>
          <w:sz w:val="30"/>
          <w:szCs w:val="30"/>
        </w:rPr>
      </w:pPr>
    </w:p>
    <w:p>
      <w:pPr>
        <w:pStyle w:val="34"/>
        <w:snapToGrid w:val="0"/>
        <w:spacing w:after="120"/>
        <w:ind w:left="0" w:leftChars="0"/>
        <w:rPr>
          <w:rFonts w:ascii="仿宋" w:hAnsi="仿宋" w:eastAsia="仿宋"/>
          <w:color w:val="000000"/>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3、</w:t>
      </w:r>
      <w:r>
        <w:rPr>
          <w:rFonts w:hint="eastAsia" w:ascii="仿宋" w:hAnsi="仿宋" w:eastAsia="仿宋"/>
          <w:b/>
          <w:color w:val="000000"/>
          <w:sz w:val="36"/>
          <w:szCs w:val="36"/>
        </w:rPr>
        <w:t>报价文件目录</w:t>
      </w:r>
    </w:p>
    <w:p>
      <w:pPr>
        <w:snapToGrid w:val="0"/>
        <w:spacing w:line="460" w:lineRule="exact"/>
        <w:jc w:val="left"/>
        <w:rPr>
          <w:rFonts w:hint="eastAsia" w:ascii="仿宋" w:hAnsi="仿宋" w:eastAsia="仿宋"/>
          <w:sz w:val="30"/>
          <w:szCs w:val="30"/>
          <w:lang w:val="en-US" w:eastAsia="zh-CN"/>
        </w:rPr>
      </w:pPr>
      <w:r>
        <w:rPr>
          <w:rFonts w:hint="eastAsia" w:ascii="仿宋" w:hAnsi="仿宋" w:eastAsia="仿宋"/>
          <w:sz w:val="30"/>
          <w:szCs w:val="30"/>
          <w:lang w:val="en-US" w:eastAsia="zh-CN"/>
        </w:rPr>
        <w:t>（1）开标一览表（见附件17）；</w:t>
      </w:r>
    </w:p>
    <w:p>
      <w:pPr>
        <w:snapToGrid w:val="0"/>
        <w:spacing w:line="460" w:lineRule="exact"/>
        <w:jc w:val="left"/>
        <w:rPr>
          <w:rFonts w:hint="eastAsia" w:ascii="仿宋" w:hAnsi="仿宋" w:eastAsia="仿宋"/>
          <w:sz w:val="30"/>
          <w:szCs w:val="30"/>
          <w:lang w:val="en-US" w:eastAsia="zh-CN"/>
        </w:rPr>
      </w:pPr>
      <w:r>
        <w:rPr>
          <w:rFonts w:hint="eastAsia" w:ascii="仿宋" w:hAnsi="仿宋" w:eastAsia="仿宋"/>
          <w:sz w:val="30"/>
          <w:szCs w:val="30"/>
          <w:lang w:val="en-US" w:eastAsia="zh-CN"/>
        </w:rPr>
        <w:t>（2）投标人针对报价需要说明的其他文件和说明（格式自拟）；</w:t>
      </w:r>
    </w:p>
    <w:p>
      <w:pPr>
        <w:snapToGrid w:val="0"/>
        <w:spacing w:line="460" w:lineRule="exact"/>
        <w:jc w:val="left"/>
        <w:rPr>
          <w:rFonts w:ascii="仿宋" w:hAnsi="仿宋" w:eastAsia="仿宋"/>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）中小企业声明函（若需要，格式见附件7）；</w:t>
      </w:r>
    </w:p>
    <w:p>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）残疾人福利企业声明函（若需要，格式见附件8）；</w:t>
      </w:r>
    </w:p>
    <w:p>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pPr>
        <w:pStyle w:val="34"/>
        <w:snapToGrid w:val="0"/>
        <w:spacing w:after="120" w:line="460" w:lineRule="exact"/>
        <w:ind w:left="0" w:leftChars="0"/>
        <w:rPr>
          <w:rFonts w:ascii="仿宋" w:hAnsi="仿宋" w:eastAsia="仿宋"/>
          <w:color w:val="000000"/>
          <w:sz w:val="30"/>
          <w:szCs w:val="30"/>
        </w:rPr>
      </w:pPr>
    </w:p>
    <w:p>
      <w:pPr>
        <w:pStyle w:val="31"/>
        <w:snapToGrid w:val="0"/>
        <w:spacing w:before="120" w:after="120" w:line="240" w:lineRule="auto"/>
        <w:jc w:val="left"/>
        <w:rPr>
          <w:rFonts w:ascii="仿宋" w:hAnsi="仿宋" w:eastAsia="仿宋"/>
          <w:b/>
          <w:color w:val="000000"/>
          <w:sz w:val="36"/>
          <w:szCs w:val="36"/>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附件17：</w:t>
      </w:r>
    </w:p>
    <w:p>
      <w:pPr>
        <w:pStyle w:val="31"/>
        <w:snapToGrid w:val="0"/>
        <w:spacing w:before="120" w:after="120" w:line="240" w:lineRule="auto"/>
        <w:ind w:firstLine="1084" w:firstLineChars="300"/>
        <w:jc w:val="center"/>
        <w:rPr>
          <w:rFonts w:hAnsi="宋体"/>
          <w:b/>
          <w:color w:val="000000"/>
          <w:sz w:val="36"/>
          <w:szCs w:val="36"/>
        </w:rPr>
      </w:pPr>
      <w:r>
        <w:rPr>
          <w:rFonts w:hint="eastAsia" w:hAnsi="宋体"/>
          <w:b/>
          <w:color w:val="000000"/>
          <w:sz w:val="36"/>
          <w:szCs w:val="36"/>
        </w:rPr>
        <w:t>开 标 一 览 表</w:t>
      </w:r>
    </w:p>
    <w:p>
      <w:pPr>
        <w:pStyle w:val="31"/>
        <w:snapToGrid w:val="0"/>
        <w:spacing w:before="120" w:after="120" w:line="240" w:lineRule="auto"/>
        <w:ind w:firstLine="1084" w:firstLineChars="300"/>
        <w:jc w:val="center"/>
        <w:rPr>
          <w:rFonts w:ascii="仿宋" w:hAnsi="仿宋" w:eastAsia="仿宋"/>
          <w:b/>
          <w:color w:val="000000"/>
          <w:sz w:val="36"/>
          <w:szCs w:val="36"/>
        </w:rPr>
      </w:pPr>
    </w:p>
    <w:p>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pPr>
        <w:snapToGrid w:val="0"/>
        <w:rPr>
          <w:rFonts w:ascii="仿宋" w:hAnsi="仿宋" w:eastAsia="仿宋"/>
          <w:color w:val="000000"/>
          <w:sz w:val="28"/>
          <w:szCs w:val="28"/>
        </w:rPr>
      </w:pPr>
    </w:p>
    <w:p>
      <w:pPr>
        <w:snapToGrid w:val="0"/>
        <w:rPr>
          <w:rFonts w:ascii="仿宋" w:hAnsi="仿宋" w:eastAsia="仿宋"/>
          <w:b/>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pPr>
        <w:snapToGrid w:val="0"/>
        <w:rPr>
          <w:rFonts w:ascii="仿宋" w:hAnsi="仿宋" w:eastAsia="仿宋"/>
          <w:b/>
          <w:color w:val="000000"/>
          <w:sz w:val="24"/>
          <w:szCs w:val="24"/>
          <w:u w:val="single"/>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672"/>
        <w:gridCol w:w="852"/>
        <w:gridCol w:w="1029"/>
        <w:gridCol w:w="957"/>
        <w:gridCol w:w="852"/>
        <w:gridCol w:w="891"/>
        <w:gridCol w:w="989"/>
        <w:gridCol w:w="708"/>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货物类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货物</w:t>
            </w:r>
          </w:p>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名称</w:t>
            </w:r>
          </w:p>
        </w:tc>
        <w:tc>
          <w:tcPr>
            <w:tcW w:w="67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品牌</w:t>
            </w:r>
          </w:p>
        </w:tc>
        <w:tc>
          <w:tcPr>
            <w:tcW w:w="85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产地</w:t>
            </w:r>
          </w:p>
        </w:tc>
        <w:tc>
          <w:tcPr>
            <w:tcW w:w="1029"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规格</w:t>
            </w:r>
          </w:p>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型号</w:t>
            </w:r>
          </w:p>
        </w:tc>
        <w:tc>
          <w:tcPr>
            <w:tcW w:w="957"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数量</w:t>
            </w:r>
          </w:p>
        </w:tc>
        <w:tc>
          <w:tcPr>
            <w:tcW w:w="85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单价</w:t>
            </w:r>
          </w:p>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（元）</w:t>
            </w:r>
          </w:p>
        </w:tc>
        <w:tc>
          <w:tcPr>
            <w:tcW w:w="891"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总价（元）</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制造商情况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7"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67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02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57"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9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89"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Cs w:val="21"/>
              </w:rPr>
              <w:t>是否中小企业</w:t>
            </w:r>
          </w:p>
        </w:tc>
        <w:tc>
          <w:tcPr>
            <w:tcW w:w="708"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企业全称</w:t>
            </w:r>
          </w:p>
        </w:tc>
        <w:tc>
          <w:tcPr>
            <w:tcW w:w="1134"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中小企业商号或注册商标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仿宋" w:hAnsi="仿宋" w:eastAsia="仿宋"/>
                <w:b/>
                <w:color w:val="000000"/>
                <w:sz w:val="24"/>
                <w:szCs w:val="24"/>
              </w:rPr>
            </w:pPr>
            <w:r>
              <w:rPr>
                <w:rFonts w:hint="eastAsia" w:ascii="仿宋" w:hAnsi="仿宋" w:eastAsia="仿宋"/>
                <w:b/>
                <w:color w:val="000000"/>
                <w:sz w:val="24"/>
                <w:szCs w:val="24"/>
              </w:rPr>
              <w:t>投标总价合计金额大写：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pPr>
              <w:snapToGrid w:val="0"/>
              <w:rPr>
                <w:rFonts w:ascii="仿宋" w:hAnsi="仿宋" w:eastAsia="仿宋"/>
                <w:b/>
                <w:color w:val="000000"/>
                <w:sz w:val="24"/>
                <w:szCs w:val="24"/>
              </w:rPr>
            </w:pPr>
            <w:r>
              <w:rPr>
                <w:rFonts w:hint="eastAsia" w:ascii="仿宋" w:hAnsi="仿宋" w:eastAsia="仿宋"/>
                <w:color w:val="000000"/>
                <w:sz w:val="24"/>
                <w:szCs w:val="24"/>
              </w:rPr>
              <w:t>4</w:t>
            </w:r>
            <w:r>
              <w:rPr>
                <w:rFonts w:hint="eastAsia" w:ascii="仿宋" w:hAnsi="仿宋" w:eastAsia="仿宋"/>
                <w:b/>
                <w:color w:val="000000"/>
                <w:sz w:val="24"/>
                <w:szCs w:val="24"/>
              </w:rPr>
              <w:t>.开标时，招标方在电子交易平台公开投标人的报价信息，投标人对报价信息进行确认。投标人对报价信息不予确认的不影响后续评标过程。</w:t>
            </w:r>
          </w:p>
          <w:p>
            <w:pPr>
              <w:snapToGrid w:val="0"/>
              <w:rPr>
                <w:rFonts w:ascii="仿宋" w:hAnsi="仿宋" w:eastAsia="仿宋"/>
                <w:color w:val="000000"/>
                <w:sz w:val="24"/>
                <w:szCs w:val="24"/>
              </w:rPr>
            </w:pPr>
            <w:r>
              <w:rPr>
                <w:rFonts w:hint="eastAsia" w:ascii="仿宋" w:hAnsi="仿宋" w:eastAsia="仿宋"/>
                <w:b/>
                <w:color w:val="000000"/>
                <w:sz w:val="24"/>
                <w:szCs w:val="24"/>
              </w:rPr>
              <w:t>5</w:t>
            </w:r>
            <w:r>
              <w:rPr>
                <w:rFonts w:ascii="仿宋" w:hAnsi="仿宋" w:eastAsia="仿宋"/>
                <w:b/>
                <w:color w:val="000000"/>
                <w:sz w:val="24"/>
                <w:szCs w:val="24"/>
              </w:rPr>
              <w:t>.</w:t>
            </w:r>
            <w:r>
              <w:rPr>
                <w:rFonts w:hint="eastAsia" w:ascii="仿宋" w:hAnsi="仿宋" w:eastAsia="仿宋"/>
                <w:b/>
                <w:color w:val="000000"/>
                <w:sz w:val="24"/>
                <w:szCs w:val="24"/>
              </w:rPr>
              <w:t>报价低于项目预算50%的，应当在报价文件中详细阐述不影响产品质量或者诚信履约的具体原因。</w:t>
            </w:r>
          </w:p>
        </w:tc>
      </w:tr>
    </w:tbl>
    <w:p>
      <w:pPr>
        <w:snapToGrid w:val="0"/>
        <w:spacing w:line="400" w:lineRule="exact"/>
        <w:jc w:val="left"/>
        <w:rPr>
          <w:rFonts w:ascii="仿宋" w:hAnsi="仿宋" w:eastAsia="仿宋"/>
          <w:color w:val="000000"/>
          <w:sz w:val="24"/>
          <w:szCs w:val="24"/>
        </w:rPr>
      </w:pPr>
    </w:p>
    <w:p>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pPr>
        <w:pStyle w:val="31"/>
        <w:snapToGrid w:val="0"/>
        <w:spacing w:before="120" w:after="120" w:line="240" w:lineRule="auto"/>
        <w:ind w:firstLine="1084" w:firstLineChars="300"/>
        <w:jc w:val="center"/>
        <w:rPr>
          <w:rFonts w:hAnsi="宋体"/>
          <w:b/>
          <w:color w:val="000000"/>
          <w:sz w:val="36"/>
          <w:szCs w:val="36"/>
        </w:rPr>
      </w:pPr>
      <w:r>
        <w:rPr>
          <w:rFonts w:hint="eastAsia" w:hAnsi="宋体"/>
          <w:b/>
          <w:color w:val="000000"/>
          <w:sz w:val="36"/>
          <w:szCs w:val="36"/>
        </w:rPr>
        <w:t>开 标 一 览 表</w:t>
      </w:r>
    </w:p>
    <w:p>
      <w:pPr>
        <w:pStyle w:val="31"/>
        <w:snapToGrid w:val="0"/>
        <w:spacing w:before="120" w:after="120" w:line="240" w:lineRule="auto"/>
        <w:ind w:firstLine="1084" w:firstLineChars="300"/>
        <w:jc w:val="center"/>
        <w:rPr>
          <w:rFonts w:ascii="仿宋" w:hAnsi="仿宋" w:eastAsia="仿宋"/>
          <w:b/>
          <w:color w:val="000000"/>
          <w:sz w:val="36"/>
          <w:szCs w:val="36"/>
        </w:rPr>
      </w:pPr>
    </w:p>
    <w:p>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pPr>
        <w:snapToGrid w:val="0"/>
        <w:rPr>
          <w:rFonts w:ascii="仿宋" w:hAnsi="仿宋" w:eastAsia="仿宋"/>
          <w:color w:val="000000"/>
          <w:sz w:val="28"/>
          <w:szCs w:val="28"/>
        </w:rPr>
      </w:pPr>
    </w:p>
    <w:p>
      <w:pPr>
        <w:snapToGrid w:val="0"/>
        <w:rPr>
          <w:rFonts w:ascii="仿宋" w:hAnsi="仿宋" w:eastAsia="仿宋"/>
          <w:b/>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pPr>
        <w:snapToGrid w:val="0"/>
        <w:spacing w:line="360" w:lineRule="auto"/>
        <w:rPr>
          <w:rFonts w:ascii="仿宋" w:hAnsi="仿宋" w:eastAsia="仿宋"/>
          <w:color w:val="000000"/>
          <w:sz w:val="30"/>
          <w:szCs w:val="30"/>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957"/>
        <w:gridCol w:w="852"/>
        <w:gridCol w:w="891"/>
        <w:gridCol w:w="989"/>
        <w:gridCol w:w="708"/>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服务内容</w:t>
            </w:r>
          </w:p>
        </w:tc>
        <w:tc>
          <w:tcPr>
            <w:tcW w:w="1845"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服务人员数量</w:t>
            </w:r>
          </w:p>
        </w:tc>
        <w:tc>
          <w:tcPr>
            <w:tcW w:w="957"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工作量</w:t>
            </w:r>
          </w:p>
        </w:tc>
        <w:tc>
          <w:tcPr>
            <w:tcW w:w="85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单价</w:t>
            </w:r>
          </w:p>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（元）</w:t>
            </w:r>
          </w:p>
        </w:tc>
        <w:tc>
          <w:tcPr>
            <w:tcW w:w="891"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总价（元）</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承接服务的企业情况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84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57"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9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89"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是否中小企业承接</w:t>
            </w:r>
          </w:p>
        </w:tc>
        <w:tc>
          <w:tcPr>
            <w:tcW w:w="708"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企业全称</w:t>
            </w:r>
          </w:p>
        </w:tc>
        <w:tc>
          <w:tcPr>
            <w:tcW w:w="1134"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13"/>
                <w:szCs w:val="13"/>
              </w:rPr>
            </w:pPr>
            <w:r>
              <w:rPr>
                <w:rFonts w:hint="eastAsia" w:ascii="仿宋" w:hAnsi="仿宋" w:eastAsia="仿宋"/>
                <w:b/>
                <w:color w:val="000000"/>
                <w:sz w:val="13"/>
                <w:szCs w:val="13"/>
              </w:rPr>
              <w:t>服务人员是否依照《中华人民共和国劳动合同法》订立劳动合同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仿宋" w:hAnsi="仿宋" w:eastAsia="仿宋"/>
                <w:b/>
                <w:color w:val="000000"/>
                <w:sz w:val="24"/>
                <w:szCs w:val="24"/>
              </w:rPr>
            </w:pPr>
            <w:r>
              <w:rPr>
                <w:rFonts w:hint="eastAsia" w:ascii="仿宋" w:hAnsi="仿宋" w:eastAsia="仿宋"/>
                <w:b/>
                <w:color w:val="000000"/>
                <w:sz w:val="24"/>
                <w:szCs w:val="24"/>
              </w:rPr>
              <w:t>投标总价合计金额大写：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pPr>
              <w:snapToGrid w:val="0"/>
              <w:rPr>
                <w:rFonts w:ascii="仿宋" w:hAnsi="仿宋" w:eastAsia="仿宋"/>
                <w:b/>
                <w:color w:val="000000"/>
                <w:sz w:val="24"/>
                <w:szCs w:val="24"/>
              </w:rPr>
            </w:pPr>
            <w:r>
              <w:rPr>
                <w:rFonts w:hint="eastAsia" w:ascii="仿宋" w:hAnsi="仿宋" w:eastAsia="仿宋"/>
                <w:b/>
                <w:color w:val="000000"/>
                <w:sz w:val="24"/>
              </w:rPr>
              <w:t>4</w:t>
            </w:r>
            <w:r>
              <w:rPr>
                <w:rFonts w:hint="eastAsia" w:ascii="仿宋" w:hAnsi="仿宋" w:eastAsia="仿宋"/>
                <w:b/>
                <w:color w:val="000000"/>
                <w:sz w:val="24"/>
                <w:szCs w:val="24"/>
              </w:rPr>
              <w:t>.开标时，招标方在电子交易平台公开投标人的报价信息，投标人对报价信息进行确认。投标人对报价信息不予确认的不影响后续评标过程。</w:t>
            </w:r>
          </w:p>
          <w:p>
            <w:pPr>
              <w:snapToGrid w:val="0"/>
              <w:rPr>
                <w:rFonts w:ascii="仿宋" w:hAnsi="仿宋" w:eastAsia="仿宋"/>
                <w:color w:val="000000"/>
                <w:sz w:val="24"/>
                <w:szCs w:val="24"/>
              </w:rPr>
            </w:pPr>
            <w:r>
              <w:rPr>
                <w:rFonts w:hint="eastAsia" w:ascii="仿宋" w:hAnsi="仿宋" w:eastAsia="仿宋"/>
                <w:b/>
                <w:color w:val="000000"/>
                <w:sz w:val="24"/>
                <w:szCs w:val="24"/>
              </w:rPr>
              <w:t>5</w:t>
            </w:r>
            <w:r>
              <w:rPr>
                <w:rFonts w:ascii="仿宋" w:hAnsi="仿宋" w:eastAsia="仿宋"/>
                <w:b/>
                <w:color w:val="000000"/>
                <w:sz w:val="24"/>
                <w:szCs w:val="24"/>
              </w:rPr>
              <w:t>.</w:t>
            </w:r>
            <w:r>
              <w:rPr>
                <w:rFonts w:hint="eastAsia" w:ascii="仿宋" w:hAnsi="仿宋" w:eastAsia="仿宋"/>
                <w:b/>
                <w:color w:val="000000"/>
                <w:sz w:val="24"/>
                <w:szCs w:val="24"/>
              </w:rPr>
              <w:t>报价低于项目预算50%的，应当在报价文件中详细阐述不影响产品质量或者诚信履约的具体原因。</w:t>
            </w:r>
          </w:p>
        </w:tc>
      </w:tr>
    </w:tbl>
    <w:p>
      <w:pPr>
        <w:snapToGrid w:val="0"/>
        <w:spacing w:line="360" w:lineRule="auto"/>
        <w:rPr>
          <w:rFonts w:ascii="仿宋" w:hAnsi="仿宋" w:eastAsia="仿宋"/>
          <w:color w:val="000000"/>
          <w:sz w:val="30"/>
          <w:szCs w:val="30"/>
        </w:rPr>
      </w:pPr>
    </w:p>
    <w:p>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pPr>
        <w:pStyle w:val="31"/>
        <w:snapToGrid w:val="0"/>
        <w:spacing w:before="120" w:after="120" w:line="240" w:lineRule="auto"/>
        <w:jc w:val="center"/>
        <w:rPr>
          <w:rFonts w:hAnsi="宋体"/>
          <w:b/>
          <w:color w:val="000000"/>
          <w:sz w:val="36"/>
          <w:szCs w:val="36"/>
        </w:rPr>
      </w:pPr>
      <w:r>
        <w:rPr>
          <w:rFonts w:hint="eastAsia" w:hAnsi="宋体"/>
          <w:b/>
          <w:color w:val="000000"/>
          <w:sz w:val="36"/>
          <w:szCs w:val="36"/>
        </w:rPr>
        <w:t>开 标 一 览 表</w:t>
      </w:r>
    </w:p>
    <w:p>
      <w:pPr>
        <w:pStyle w:val="31"/>
        <w:snapToGrid w:val="0"/>
        <w:spacing w:before="120" w:after="120" w:line="240" w:lineRule="auto"/>
        <w:ind w:firstLine="1084" w:firstLineChars="300"/>
        <w:jc w:val="center"/>
        <w:rPr>
          <w:rFonts w:ascii="仿宋" w:hAnsi="仿宋" w:eastAsia="仿宋"/>
          <w:b/>
          <w:color w:val="000000"/>
          <w:sz w:val="36"/>
          <w:szCs w:val="36"/>
        </w:rPr>
      </w:pPr>
    </w:p>
    <w:p>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pPr>
        <w:snapToGrid w:val="0"/>
        <w:rPr>
          <w:rFonts w:ascii="仿宋" w:hAnsi="仿宋" w:eastAsia="仿宋"/>
          <w:color w:val="000000"/>
          <w:sz w:val="28"/>
          <w:szCs w:val="28"/>
        </w:rPr>
      </w:pPr>
    </w:p>
    <w:p>
      <w:pPr>
        <w:snapToGrid w:val="0"/>
        <w:rPr>
          <w:rFonts w:ascii="仿宋" w:hAnsi="仿宋" w:eastAsia="仿宋"/>
          <w:b/>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pPr>
        <w:snapToGrid w:val="0"/>
        <w:rPr>
          <w:rFonts w:ascii="仿宋" w:hAnsi="仿宋" w:eastAsia="仿宋"/>
          <w:b/>
          <w:color w:val="000000"/>
          <w:sz w:val="24"/>
          <w:szCs w:val="24"/>
          <w:u w:val="single"/>
        </w:rPr>
      </w:pPr>
    </w:p>
    <w:tbl>
      <w:tblPr>
        <w:tblStyle w:val="5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998"/>
        <w:gridCol w:w="993"/>
        <w:gridCol w:w="993"/>
        <w:gridCol w:w="851"/>
        <w:gridCol w:w="1422"/>
        <w:gridCol w:w="1278"/>
        <w:gridCol w:w="14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4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工程类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宋体" w:hAnsi="宋体" w:cs="宋体"/>
                <w:color w:val="000000"/>
                <w:kern w:val="0"/>
                <w:sz w:val="24"/>
              </w:rPr>
              <w:t>工程项目名称</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施工范围</w:t>
            </w:r>
          </w:p>
        </w:tc>
        <w:tc>
          <w:tcPr>
            <w:tcW w:w="99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具体内容</w:t>
            </w:r>
          </w:p>
        </w:tc>
        <w:tc>
          <w:tcPr>
            <w:tcW w:w="992"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施工工期</w:t>
            </w:r>
          </w:p>
        </w:tc>
        <w:tc>
          <w:tcPr>
            <w:tcW w:w="851"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单价（元）</w:t>
            </w:r>
          </w:p>
        </w:tc>
        <w:tc>
          <w:tcPr>
            <w:tcW w:w="1421" w:type="dxa"/>
            <w:vMerge w:val="restart"/>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总价（元）</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承建工程的企业情况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5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
                <w:color w:val="000000"/>
                <w:sz w:val="24"/>
                <w:szCs w:val="24"/>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
                <w:color w:val="000000"/>
                <w:sz w:val="24"/>
                <w:szCs w:val="24"/>
              </w:rPr>
            </w:pPr>
          </w:p>
        </w:tc>
        <w:tc>
          <w:tcPr>
            <w:tcW w:w="99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9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5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4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277"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是否中小企业</w:t>
            </w:r>
          </w:p>
        </w:tc>
        <w:tc>
          <w:tcPr>
            <w:tcW w:w="1419"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企业全称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97" w:type="dxa"/>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92" w:type="dxa"/>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992" w:type="dxa"/>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851" w:type="dxa"/>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421" w:type="dxa"/>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b/>
                <w:color w:val="000000"/>
                <w:sz w:val="24"/>
                <w:szCs w:val="24"/>
              </w:rPr>
            </w:pPr>
          </w:p>
        </w:tc>
        <w:tc>
          <w:tcPr>
            <w:tcW w:w="1277"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419"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w:t>
            </w:r>
          </w:p>
        </w:tc>
        <w:tc>
          <w:tcPr>
            <w:tcW w:w="99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4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仿宋" w:hAnsi="仿宋" w:eastAsia="仿宋"/>
                <w:b/>
                <w:color w:val="000000"/>
                <w:sz w:val="24"/>
                <w:szCs w:val="24"/>
              </w:rPr>
            </w:pPr>
            <w:r>
              <w:rPr>
                <w:rFonts w:hint="eastAsia" w:ascii="仿宋" w:hAnsi="仿宋" w:eastAsia="仿宋"/>
                <w:b/>
                <w:color w:val="000000"/>
                <w:sz w:val="24"/>
                <w:szCs w:val="24"/>
              </w:rPr>
              <w:t>投标总价合计金额大写：小写：￥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51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pPr>
              <w:snapToGrid w:val="0"/>
              <w:rPr>
                <w:rFonts w:ascii="仿宋" w:hAnsi="仿宋" w:eastAsia="仿宋"/>
                <w:color w:val="000000"/>
                <w:sz w:val="24"/>
                <w:szCs w:val="24"/>
              </w:rPr>
            </w:pPr>
            <w:r>
              <w:rPr>
                <w:rFonts w:hint="eastAsia" w:ascii="仿宋" w:hAnsi="仿宋" w:eastAsia="仿宋"/>
                <w:b/>
                <w:color w:val="000000"/>
                <w:sz w:val="24"/>
              </w:rPr>
              <w:t>4.</w:t>
            </w:r>
            <w:r>
              <w:rPr>
                <w:rFonts w:hint="eastAsia" w:ascii="仿宋" w:hAnsi="仿宋" w:eastAsia="仿宋"/>
                <w:color w:val="000000"/>
                <w:sz w:val="24"/>
                <w:szCs w:val="24"/>
              </w:rPr>
              <w:t>开标时，现场工作人员当众拆封，并宣布投标人名称、投标总价合计金额。</w:t>
            </w:r>
          </w:p>
          <w:p>
            <w:pPr>
              <w:snapToGrid w:val="0"/>
              <w:rPr>
                <w:rFonts w:ascii="仿宋" w:hAnsi="仿宋" w:eastAsia="仿宋"/>
                <w:color w:val="000000"/>
                <w:sz w:val="24"/>
                <w:szCs w:val="24"/>
              </w:rPr>
            </w:pPr>
            <w:r>
              <w:rPr>
                <w:rFonts w:hint="eastAsia" w:ascii="仿宋" w:hAnsi="仿宋" w:eastAsia="仿宋"/>
                <w:b/>
                <w:color w:val="000000"/>
                <w:sz w:val="24"/>
                <w:szCs w:val="24"/>
              </w:rPr>
              <w:t>5</w:t>
            </w:r>
            <w:r>
              <w:rPr>
                <w:rFonts w:ascii="仿宋" w:hAnsi="仿宋" w:eastAsia="仿宋"/>
                <w:b/>
                <w:color w:val="000000"/>
                <w:sz w:val="24"/>
                <w:szCs w:val="24"/>
              </w:rPr>
              <w:t>.</w:t>
            </w:r>
            <w:r>
              <w:rPr>
                <w:rFonts w:hint="eastAsia" w:ascii="仿宋" w:hAnsi="仿宋" w:eastAsia="仿宋"/>
                <w:b/>
                <w:color w:val="000000"/>
                <w:sz w:val="24"/>
                <w:szCs w:val="24"/>
              </w:rPr>
              <w:t>报价低于项目预算50%的，应当在报价文件中详细阐述不影响产品质量或者诚信履约的具体原因。</w:t>
            </w:r>
          </w:p>
        </w:tc>
      </w:tr>
    </w:tbl>
    <w:p>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pPr>
        <w:widowControl/>
        <w:tabs>
          <w:tab w:val="center" w:pos="4755"/>
          <w:tab w:val="right" w:pos="9070"/>
        </w:tabs>
        <w:jc w:val="left"/>
        <w:rPr>
          <w:rFonts w:ascii="宋体" w:cs="Arial"/>
          <w:color w:val="000000"/>
          <w:kern w:val="0"/>
          <w:sz w:val="18"/>
          <w:szCs w:val="18"/>
        </w:rPr>
      </w:pPr>
    </w:p>
    <w:p>
      <w:pPr>
        <w:pStyle w:val="40"/>
        <w:spacing w:after="120"/>
        <w:rPr>
          <w:color w:val="000000"/>
        </w:rPr>
      </w:pPr>
    </w:p>
    <w:p>
      <w:pPr>
        <w:rPr>
          <w:color w:val="000000"/>
        </w:rPr>
      </w:pPr>
    </w:p>
    <w:p>
      <w:pPr>
        <w:snapToGrid w:val="0"/>
        <w:spacing w:line="360" w:lineRule="auto"/>
        <w:rPr>
          <w:rFonts w:ascii="仿宋" w:hAnsi="仿宋" w:eastAsia="仿宋"/>
          <w:color w:val="000000"/>
          <w:sz w:val="30"/>
          <w:szCs w:val="30"/>
        </w:rPr>
      </w:pPr>
    </w:p>
    <w:p/>
    <w:p/>
    <w:p/>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altName w:val="Century"/>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Heiti SC Light">
    <w:altName w:val="Malgun Gothic Semilight"/>
    <w:panose1 w:val="00000000000000000000"/>
    <w:charset w:val="80"/>
    <w:family w:val="auto"/>
    <w:pitch w:val="default"/>
    <w:sig w:usb0="00000000" w:usb1="00000000" w:usb2="00000010" w:usb3="00000000" w:csb0="003E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8"/>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61</w:t>
    </w:r>
    <w:r>
      <w:rPr>
        <w:rFonts w:ascii="宋体" w:hAnsi="宋体"/>
        <w:sz w:val="28"/>
        <w:szCs w:val="28"/>
      </w:rPr>
      <w:fldChar w:fldCharType="end"/>
    </w:r>
    <w:r>
      <w:rPr>
        <w:rStyle w:val="66"/>
        <w:rFonts w:hint="eastAsia" w:ascii="宋体" w:hAnsi="宋体"/>
        <w:sz w:val="28"/>
        <w:szCs w:val="28"/>
      </w:rPr>
      <w:t xml:space="preserve"> —</w:t>
    </w:r>
  </w:p>
  <w:p>
    <w:pPr>
      <w:pStyle w:val="38"/>
      <w:ind w:right="720" w:firstLine="180" w:firstLineChars="100"/>
      <w:jc w:val="cente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outside" w:y="1"/>
      <w:rPr>
        <w:rStyle w:val="66"/>
      </w:rPr>
    </w:pPr>
    <w:r>
      <w:fldChar w:fldCharType="begin"/>
    </w:r>
    <w:r>
      <w:rPr>
        <w:rStyle w:val="66"/>
      </w:rPr>
      <w:instrText xml:space="preserve">PAGE  </w:instrText>
    </w:r>
    <w:r>
      <w:fldChar w:fldCharType="end"/>
    </w:r>
  </w:p>
  <w:p>
    <w:pPr>
      <w:pStyle w:val="38"/>
      <w:ind w:right="360" w:firstLine="360"/>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2"/>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CAB4F5D"/>
    <w:multiLevelType w:val="multilevel"/>
    <w:tmpl w:val="2CAB4F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4">
    <w:nsid w:val="5500A13C"/>
    <w:multiLevelType w:val="singleLevel"/>
    <w:tmpl w:val="5500A13C"/>
    <w:lvl w:ilvl="0" w:tentative="0">
      <w:start w:val="11"/>
      <w:numFmt w:val="chineseCounting"/>
      <w:suff w:val="nothing"/>
      <w:lvlText w:val="%1、"/>
      <w:lvlJc w:val="left"/>
      <w:rPr>
        <w:rFonts w:hint="eastAsia"/>
      </w:rPr>
    </w:lvl>
  </w:abstractNum>
  <w:abstractNum w:abstractNumId="2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8">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0">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1"/>
  </w:num>
  <w:num w:numId="8">
    <w:abstractNumId w:val="22"/>
  </w:num>
  <w:num w:numId="9">
    <w:abstractNumId w:val="28"/>
    <w:lvlOverride w:ilvl="0">
      <w:startOverride w:val="1"/>
    </w:lvlOverride>
  </w:num>
  <w:num w:numId="10">
    <w:abstractNumId w:val="8"/>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26"/>
  </w:num>
  <w:num w:numId="15">
    <w:abstractNumId w:val="19"/>
  </w:num>
  <w:num w:numId="16">
    <w:abstractNumId w:val="16"/>
  </w:num>
  <w:num w:numId="17">
    <w:abstractNumId w:val="4"/>
  </w:num>
  <w:num w:numId="18">
    <w:abstractNumId w:val="23"/>
  </w:num>
  <w:num w:numId="19">
    <w:abstractNumId w:val="6"/>
  </w:num>
  <w:num w:numId="20">
    <w:abstractNumId w:val="13"/>
  </w:num>
  <w:num w:numId="21">
    <w:abstractNumId w:val="11"/>
  </w:num>
  <w:num w:numId="22">
    <w:abstractNumId w:val="20"/>
  </w:num>
  <w:num w:numId="23">
    <w:abstractNumId w:val="7"/>
  </w:num>
  <w:num w:numId="24">
    <w:abstractNumId w:val="30"/>
  </w:num>
  <w:num w:numId="25">
    <w:abstractNumId w:val="3"/>
  </w:num>
  <w:num w:numId="26">
    <w:abstractNumId w:val="27"/>
  </w:num>
  <w:num w:numId="27">
    <w:abstractNumId w:val="21"/>
  </w:num>
  <w:num w:numId="28">
    <w:abstractNumId w:val="10"/>
  </w:num>
  <w:num w:numId="29">
    <w:abstractNumId w:val="25"/>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ZDZmMzc1NTY1MGJlNWZjMTk2MmJiYTc1NGE5MzgifQ=="/>
  </w:docVars>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D1384"/>
    <w:rsid w:val="003E2398"/>
    <w:rsid w:val="00411BA0"/>
    <w:rsid w:val="00473394"/>
    <w:rsid w:val="004825F5"/>
    <w:rsid w:val="0049675C"/>
    <w:rsid w:val="004A290E"/>
    <w:rsid w:val="004A76BE"/>
    <w:rsid w:val="004B659A"/>
    <w:rsid w:val="004C0111"/>
    <w:rsid w:val="005855C1"/>
    <w:rsid w:val="005C254C"/>
    <w:rsid w:val="005E17E9"/>
    <w:rsid w:val="005F25FA"/>
    <w:rsid w:val="006111E0"/>
    <w:rsid w:val="0065516D"/>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E3542"/>
    <w:rsid w:val="00BF76D9"/>
    <w:rsid w:val="00C21114"/>
    <w:rsid w:val="00C22B7F"/>
    <w:rsid w:val="00C42BF5"/>
    <w:rsid w:val="00C50CB8"/>
    <w:rsid w:val="00C8441C"/>
    <w:rsid w:val="00D06379"/>
    <w:rsid w:val="00D34D4C"/>
    <w:rsid w:val="00D67996"/>
    <w:rsid w:val="00DB219B"/>
    <w:rsid w:val="00E05EDB"/>
    <w:rsid w:val="00E201D7"/>
    <w:rsid w:val="00EA67ED"/>
    <w:rsid w:val="00ED4653"/>
    <w:rsid w:val="00EF085D"/>
    <w:rsid w:val="00F65755"/>
    <w:rsid w:val="00FC29AB"/>
    <w:rsid w:val="00FD3EEC"/>
    <w:rsid w:val="2043618E"/>
    <w:rsid w:val="7CA5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93"/>
    <w:qFormat/>
    <w:uiPriority w:val="99"/>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1"/>
    <w:next w:val="1"/>
    <w:link w:val="22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96"/>
    <w:qFormat/>
    <w:uiPriority w:val="9"/>
    <w:pPr>
      <w:keepNext/>
      <w:keepLines/>
      <w:spacing w:before="260" w:after="260" w:line="416" w:lineRule="auto"/>
      <w:outlineLvl w:val="2"/>
    </w:pPr>
    <w:rPr>
      <w:b/>
      <w:bCs/>
      <w:sz w:val="32"/>
      <w:szCs w:val="32"/>
    </w:rPr>
  </w:style>
  <w:style w:type="paragraph" w:styleId="5">
    <w:name w:val="heading 4"/>
    <w:basedOn w:val="1"/>
    <w:next w:val="1"/>
    <w:link w:val="995"/>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szCs w:val="20"/>
    </w:rPr>
  </w:style>
  <w:style w:type="paragraph" w:styleId="12">
    <w:name w:val="toc 7"/>
    <w:basedOn w:val="1"/>
    <w:next w:val="1"/>
    <w:semiHidden/>
    <w:unhideWhenUsed/>
    <w:qFormat/>
    <w:uiPriority w:val="39"/>
    <w:pPr>
      <w:ind w:left="1260"/>
      <w:jc w:val="left"/>
    </w:pPr>
    <w:rPr>
      <w:rFonts w:ascii="Times New Roman" w:hAnsi="Times New Roman"/>
      <w:sz w:val="18"/>
      <w:szCs w:val="18"/>
    </w:rPr>
  </w:style>
  <w:style w:type="paragraph" w:styleId="13">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qFormat/>
    <w:uiPriority w:val="99"/>
    <w:pPr>
      <w:numPr>
        <w:ilvl w:val="0"/>
        <w:numId w:val="2"/>
      </w:numPr>
    </w:pPr>
    <w:rPr>
      <w:rFonts w:ascii="Times New Roman" w:hAnsi="Times New Roman"/>
      <w:szCs w:val="24"/>
    </w:rPr>
  </w:style>
  <w:style w:type="paragraph" w:styleId="16">
    <w:name w:val="List Number"/>
    <w:basedOn w:val="1"/>
    <w:semiHidden/>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2"/>
    <w:semiHidden/>
    <w:unhideWhenUsed/>
    <w:qFormat/>
    <w:uiPriority w:val="99"/>
    <w:pPr>
      <w:ind w:firstLine="420"/>
    </w:pPr>
    <w:rPr>
      <w:szCs w:val="20"/>
    </w:rPr>
  </w:style>
  <w:style w:type="paragraph" w:styleId="18">
    <w:name w:val="caption"/>
    <w:basedOn w:val="1"/>
    <w:next w:val="1"/>
    <w:link w:val="107"/>
    <w:semiHidden/>
    <w:unhideWhenUsed/>
    <w:qFormat/>
    <w:uiPriority w:val="35"/>
    <w:pPr>
      <w:spacing w:before="152" w:after="160"/>
    </w:pPr>
    <w:rPr>
      <w:rFonts w:ascii="Arial" w:hAnsi="Arial" w:eastAsia="黑体"/>
      <w:sz w:val="20"/>
      <w:szCs w:val="20"/>
    </w:rPr>
  </w:style>
  <w:style w:type="paragraph" w:styleId="19">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92"/>
    <w:unhideWhenUsed/>
    <w:qFormat/>
    <w:uiPriority w:val="99"/>
    <w:rPr>
      <w:rFonts w:ascii="宋体"/>
      <w:sz w:val="18"/>
      <w:szCs w:val="18"/>
    </w:rPr>
  </w:style>
  <w:style w:type="paragraph" w:styleId="21">
    <w:name w:val="annotation text"/>
    <w:basedOn w:val="1"/>
    <w:link w:val="82"/>
    <w:semiHidden/>
    <w:unhideWhenUsed/>
    <w:qFormat/>
    <w:uiPriority w:val="99"/>
    <w:pPr>
      <w:jc w:val="left"/>
    </w:pPr>
  </w:style>
  <w:style w:type="paragraph" w:styleId="22">
    <w:name w:val="Salutation"/>
    <w:basedOn w:val="1"/>
    <w:next w:val="1"/>
    <w:link w:val="83"/>
    <w:semiHidden/>
    <w:unhideWhenUsed/>
    <w:qFormat/>
    <w:uiPriority w:val="99"/>
    <w:rPr>
      <w:rFonts w:ascii="宋体" w:hAnsi="Times New Roman"/>
      <w:b/>
      <w:sz w:val="28"/>
      <w:szCs w:val="20"/>
    </w:rPr>
  </w:style>
  <w:style w:type="paragraph" w:styleId="23">
    <w:name w:val="Body Text 3"/>
    <w:basedOn w:val="1"/>
    <w:link w:val="84"/>
    <w:semiHidden/>
    <w:unhideWhenUsed/>
    <w:qFormat/>
    <w:uiPriority w:val="99"/>
    <w:pPr>
      <w:snapToGrid w:val="0"/>
      <w:spacing w:before="50" w:after="50"/>
    </w:pPr>
    <w:rPr>
      <w:rFonts w:ascii="Times New Roman" w:hAnsi="宋体" w:eastAsia="仿宋_GB2312"/>
      <w:b/>
      <w:bCs/>
      <w:sz w:val="24"/>
      <w:szCs w:val="20"/>
    </w:rPr>
  </w:style>
  <w:style w:type="paragraph" w:styleId="24">
    <w:name w:val="Body Text"/>
    <w:basedOn w:val="1"/>
    <w:link w:val="85"/>
    <w:semiHidden/>
    <w:unhideWhenUsed/>
    <w:qFormat/>
    <w:uiPriority w:val="99"/>
    <w:pPr>
      <w:spacing w:after="120"/>
    </w:pPr>
    <w:rPr>
      <w:sz w:val="28"/>
      <w:szCs w:val="24"/>
    </w:rPr>
  </w:style>
  <w:style w:type="paragraph" w:styleId="25">
    <w:name w:val="Body Text Indent"/>
    <w:basedOn w:val="1"/>
    <w:link w:val="994"/>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qFormat/>
    <w:uiPriority w:val="99"/>
    <w:pPr>
      <w:numPr>
        <w:ilvl w:val="0"/>
        <w:numId w:val="3"/>
      </w:numPr>
    </w:pPr>
    <w:rPr>
      <w:rFonts w:ascii="Times New Roman" w:hAnsi="Times New Roman"/>
      <w:szCs w:val="24"/>
    </w:rPr>
  </w:style>
  <w:style w:type="paragraph" w:styleId="27">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8">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29">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0">
    <w:name w:val="toc 3"/>
    <w:basedOn w:val="1"/>
    <w:next w:val="1"/>
    <w:semiHidden/>
    <w:unhideWhenUsed/>
    <w:qFormat/>
    <w:uiPriority w:val="39"/>
    <w:pPr>
      <w:ind w:left="840" w:leftChars="400"/>
    </w:pPr>
  </w:style>
  <w:style w:type="paragraph" w:styleId="31">
    <w:name w:val="Plain Text"/>
    <w:basedOn w:val="1"/>
    <w:link w:val="87"/>
    <w:semiHidden/>
    <w:unhideWhenUsed/>
    <w:qFormat/>
    <w:uiPriority w:val="99"/>
    <w:pPr>
      <w:spacing w:beforeLines="50" w:afterLines="50" w:line="400" w:lineRule="exact"/>
    </w:pPr>
    <w:rPr>
      <w:rFonts w:ascii="宋体" w:hAnsi="Courier New"/>
      <w:sz w:val="24"/>
      <w:szCs w:val="24"/>
    </w:rPr>
  </w:style>
  <w:style w:type="paragraph" w:styleId="32">
    <w:name w:val="List Bullet 5"/>
    <w:basedOn w:val="1"/>
    <w:semiHidden/>
    <w:unhideWhenUsed/>
    <w:qFormat/>
    <w:uiPriority w:val="99"/>
    <w:pPr>
      <w:numPr>
        <w:ilvl w:val="0"/>
        <w:numId w:val="4"/>
      </w:numPr>
    </w:pPr>
    <w:rPr>
      <w:rFonts w:ascii="Times New Roman" w:hAnsi="Times New Roman"/>
      <w:szCs w:val="24"/>
    </w:rPr>
  </w:style>
  <w:style w:type="paragraph" w:styleId="33">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4">
    <w:name w:val="Date"/>
    <w:basedOn w:val="1"/>
    <w:next w:val="1"/>
    <w:link w:val="88"/>
    <w:semiHidden/>
    <w:unhideWhenUsed/>
    <w:qFormat/>
    <w:uiPriority w:val="99"/>
    <w:pPr>
      <w:ind w:left="2500" w:leftChars="2500"/>
    </w:pPr>
    <w:rPr>
      <w:rFonts w:eastAsia="楷体_GB2312"/>
      <w:sz w:val="32"/>
      <w:szCs w:val="20"/>
    </w:rPr>
  </w:style>
  <w:style w:type="paragraph" w:styleId="35">
    <w:name w:val="Body Text Indent 2"/>
    <w:basedOn w:val="1"/>
    <w:link w:val="89"/>
    <w:semiHidden/>
    <w:unhideWhenUsed/>
    <w:qFormat/>
    <w:uiPriority w:val="99"/>
    <w:pPr>
      <w:snapToGrid w:val="0"/>
      <w:ind w:firstLine="542" w:firstLineChars="225"/>
    </w:pPr>
    <w:rPr>
      <w:rFonts w:ascii="仿宋_GB2312" w:hAnsi="宋体"/>
      <w:b/>
      <w:bCs/>
      <w:color w:val="000000"/>
      <w:sz w:val="24"/>
      <w:szCs w:val="24"/>
    </w:rPr>
  </w:style>
  <w:style w:type="paragraph" w:styleId="36">
    <w:name w:val="endnote text"/>
    <w:basedOn w:val="1"/>
    <w:link w:val="90"/>
    <w:semiHidden/>
    <w:unhideWhenUsed/>
    <w:qFormat/>
    <w:uiPriority w:val="99"/>
    <w:pPr>
      <w:numPr>
        <w:ilvl w:val="0"/>
        <w:numId w:val="5"/>
      </w:numPr>
      <w:snapToGrid w:val="0"/>
      <w:spacing w:afterLines="50"/>
      <w:jc w:val="left"/>
    </w:pPr>
    <w:rPr>
      <w:rFonts w:ascii="宋体"/>
      <w:snapToGrid w:val="0"/>
      <w:kern w:val="0"/>
      <w:szCs w:val="20"/>
    </w:rPr>
  </w:style>
  <w:style w:type="paragraph" w:styleId="37">
    <w:name w:val="Balloon Text"/>
    <w:basedOn w:val="1"/>
    <w:link w:val="1000"/>
    <w:semiHidden/>
    <w:unhideWhenUsed/>
    <w:qFormat/>
    <w:uiPriority w:val="99"/>
    <w:rPr>
      <w:sz w:val="18"/>
      <w:szCs w:val="18"/>
    </w:rPr>
  </w:style>
  <w:style w:type="paragraph" w:styleId="38">
    <w:name w:val="footer"/>
    <w:basedOn w:val="1"/>
    <w:link w:val="245"/>
    <w:unhideWhenUsed/>
    <w:qFormat/>
    <w:uiPriority w:val="99"/>
    <w:pPr>
      <w:tabs>
        <w:tab w:val="center" w:pos="4153"/>
        <w:tab w:val="right" w:pos="8306"/>
      </w:tabs>
      <w:snapToGrid w:val="0"/>
      <w:jc w:val="left"/>
    </w:pPr>
    <w:rPr>
      <w:sz w:val="18"/>
      <w:szCs w:val="18"/>
    </w:rPr>
  </w:style>
  <w:style w:type="paragraph" w:styleId="39">
    <w:name w:val="header"/>
    <w:basedOn w:val="1"/>
    <w:link w:val="379"/>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unhideWhenUsed/>
    <w:qFormat/>
    <w:uiPriority w:val="39"/>
    <w:pPr>
      <w:spacing w:before="240" w:after="240"/>
    </w:pPr>
    <w:rPr>
      <w:rFonts w:ascii="Times New Roman" w:hAnsi="Times New Roman" w:eastAsia="仿宋"/>
      <w:sz w:val="36"/>
      <w:szCs w:val="24"/>
    </w:rPr>
  </w:style>
  <w:style w:type="paragraph" w:styleId="41">
    <w:name w:val="toc 4"/>
    <w:basedOn w:val="1"/>
    <w:next w:val="1"/>
    <w:semiHidden/>
    <w:unhideWhenUsed/>
    <w:qFormat/>
    <w:uiPriority w:val="39"/>
    <w:pPr>
      <w:ind w:left="1260" w:leftChars="600"/>
    </w:pPr>
  </w:style>
  <w:style w:type="paragraph" w:styleId="42">
    <w:name w:val="Subtitle"/>
    <w:basedOn w:val="1"/>
    <w:link w:val="94"/>
    <w:qFormat/>
    <w:uiPriority w:val="11"/>
    <w:pPr>
      <w:spacing w:afterLines="50"/>
      <w:jc w:val="center"/>
    </w:pPr>
    <w:rPr>
      <w:rFonts w:ascii="Times New Roman" w:hAnsi="Times New Roman" w:eastAsia="Times New Roman"/>
      <w:sz w:val="18"/>
      <w:szCs w:val="18"/>
    </w:rPr>
  </w:style>
  <w:style w:type="paragraph" w:styleId="43">
    <w:name w:val="List"/>
    <w:basedOn w:val="1"/>
    <w:semiHidden/>
    <w:unhideWhenUsed/>
    <w:qFormat/>
    <w:uiPriority w:val="99"/>
    <w:pPr>
      <w:ind w:left="200" w:hanging="200" w:hangingChars="200"/>
    </w:pPr>
    <w:rPr>
      <w:rFonts w:ascii="Times New Roman" w:hAnsi="Times New Roman"/>
      <w:sz w:val="28"/>
      <w:szCs w:val="24"/>
    </w:rPr>
  </w:style>
  <w:style w:type="paragraph" w:styleId="44">
    <w:name w:val="footnote text"/>
    <w:basedOn w:val="1"/>
    <w:link w:val="95"/>
    <w:semiHidden/>
    <w:unhideWhenUsed/>
    <w:qFormat/>
    <w:uiPriority w:val="99"/>
    <w:pPr>
      <w:snapToGrid w:val="0"/>
      <w:jc w:val="left"/>
    </w:pPr>
    <w:rPr>
      <w:sz w:val="18"/>
      <w:szCs w:val="18"/>
    </w:rPr>
  </w:style>
  <w:style w:type="paragraph" w:styleId="45">
    <w:name w:val="toc 6"/>
    <w:basedOn w:val="1"/>
    <w:next w:val="1"/>
    <w:semiHidden/>
    <w:unhideWhenUsed/>
    <w:qFormat/>
    <w:uiPriority w:val="39"/>
    <w:pPr>
      <w:ind w:left="1050"/>
      <w:jc w:val="left"/>
    </w:pPr>
    <w:rPr>
      <w:rFonts w:ascii="Times New Roman" w:hAnsi="Times New Roman"/>
      <w:sz w:val="18"/>
      <w:szCs w:val="18"/>
    </w:rPr>
  </w:style>
  <w:style w:type="paragraph" w:styleId="46">
    <w:name w:val="Body Text Indent 3"/>
    <w:basedOn w:val="1"/>
    <w:link w:val="9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semiHidden/>
    <w:unhideWhenUsed/>
    <w:qFormat/>
    <w:uiPriority w:val="39"/>
    <w:pPr>
      <w:ind w:left="1680"/>
      <w:jc w:val="left"/>
    </w:pPr>
    <w:rPr>
      <w:rFonts w:ascii="Times New Roman" w:hAnsi="Times New Roman"/>
      <w:sz w:val="18"/>
      <w:szCs w:val="18"/>
    </w:rPr>
  </w:style>
  <w:style w:type="paragraph" w:styleId="50">
    <w:name w:val="Body Text 2"/>
    <w:basedOn w:val="1"/>
    <w:link w:val="97"/>
    <w:semiHidden/>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semiHidden/>
    <w:unhideWhenUsed/>
    <w:uiPriority w:val="99"/>
    <w:rPr>
      <w:rFonts w:ascii="Courier New" w:hAnsi="Courier New"/>
      <w:sz w:val="20"/>
      <w:szCs w:val="20"/>
    </w:rPr>
  </w:style>
  <w:style w:type="paragraph" w:styleId="5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semiHidden/>
    <w:unhideWhenUsed/>
    <w:uiPriority w:val="99"/>
    <w:rPr>
      <w:rFonts w:ascii="Times New Roman" w:hAnsi="Times New Roman"/>
      <w:szCs w:val="20"/>
    </w:rPr>
  </w:style>
  <w:style w:type="paragraph" w:styleId="55">
    <w:name w:val="Title"/>
    <w:basedOn w:val="1"/>
    <w:link w:val="99"/>
    <w:qFormat/>
    <w:uiPriority w:val="10"/>
    <w:pPr>
      <w:spacing w:before="240" w:after="60"/>
      <w:jc w:val="center"/>
      <w:outlineLvl w:val="0"/>
    </w:pPr>
    <w:rPr>
      <w:rFonts w:ascii="Arial" w:hAnsi="Arial"/>
      <w:b/>
      <w:bCs/>
      <w:sz w:val="32"/>
      <w:szCs w:val="32"/>
    </w:rPr>
  </w:style>
  <w:style w:type="paragraph" w:styleId="56">
    <w:name w:val="annotation subject"/>
    <w:basedOn w:val="21"/>
    <w:next w:val="21"/>
    <w:link w:val="963"/>
    <w:semiHidden/>
    <w:unhideWhenUsed/>
    <w:uiPriority w:val="99"/>
    <w:rPr>
      <w:b/>
      <w:bCs/>
    </w:rPr>
  </w:style>
  <w:style w:type="paragraph" w:styleId="57">
    <w:name w:val="Body Text First Indent"/>
    <w:basedOn w:val="24"/>
    <w:link w:val="102"/>
    <w:semiHidden/>
    <w:unhideWhenUsed/>
    <w:uiPriority w:val="99"/>
    <w:pPr>
      <w:ind w:firstLine="420" w:firstLineChars="100"/>
    </w:pPr>
    <w:rPr>
      <w:sz w:val="21"/>
      <w:szCs w:val="22"/>
    </w:rPr>
  </w:style>
  <w:style w:type="paragraph" w:styleId="58">
    <w:name w:val="Body Text First Indent 2"/>
    <w:basedOn w:val="25"/>
    <w:link w:val="964"/>
    <w:semiHidden/>
    <w:unhideWhenUsed/>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unhideWhenUsed/>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uiPriority w:val="99"/>
  </w:style>
  <w:style w:type="character" w:styleId="67">
    <w:name w:val="FollowedHyperlink"/>
    <w:unhideWhenUsed/>
    <w:qFormat/>
    <w:uiPriority w:val="99"/>
    <w:rPr>
      <w:color w:val="800080"/>
      <w:u w:val="single"/>
    </w:rPr>
  </w:style>
  <w:style w:type="character" w:styleId="68">
    <w:name w:val="Emphasis"/>
    <w:qFormat/>
    <w:uiPriority w:val="20"/>
    <w:rPr>
      <w:color w:val="CC0033"/>
    </w:rPr>
  </w:style>
  <w:style w:type="character" w:styleId="69">
    <w:name w:val="Hyperlink"/>
    <w:unhideWhenUsed/>
    <w:qFormat/>
    <w:uiPriority w:val="99"/>
    <w:rPr>
      <w:color w:val="0000FF"/>
      <w:u w:val="single"/>
    </w:rPr>
  </w:style>
  <w:style w:type="character" w:styleId="70">
    <w:name w:val="annotation reference"/>
    <w:semiHidden/>
    <w:unhideWhenUsed/>
    <w:uiPriority w:val="99"/>
    <w:rPr>
      <w:sz w:val="21"/>
      <w:szCs w:val="21"/>
    </w:rPr>
  </w:style>
  <w:style w:type="character" w:styleId="71">
    <w:name w:val="footnote reference"/>
    <w:semiHidden/>
    <w:unhideWhenUsed/>
    <w:qFormat/>
    <w:uiPriority w:val="99"/>
    <w:rPr>
      <w:vertAlign w:val="superscript"/>
    </w:rPr>
  </w:style>
  <w:style w:type="character" w:customStyle="1" w:styleId="72">
    <w:name w:val="标题 1 字符"/>
    <w:basedOn w:val="64"/>
    <w:link w:val="3"/>
    <w:qFormat/>
    <w:uiPriority w:val="0"/>
    <w:rPr>
      <w:rFonts w:ascii="Calibri" w:hAnsi="Calibri" w:eastAsia="隶书" w:cs="Times New Roman"/>
      <w:b/>
      <w:bCs/>
      <w:kern w:val="0"/>
      <w:sz w:val="36"/>
      <w:szCs w:val="36"/>
    </w:rPr>
  </w:style>
  <w:style w:type="character" w:customStyle="1" w:styleId="73">
    <w:name w:val="标题 2 Char"/>
    <w:basedOn w:val="64"/>
    <w:link w:val="2"/>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link w:val="38"/>
    <w:qFormat/>
    <w:uiPriority w:val="0"/>
    <w:rPr>
      <w:rFonts w:ascii="Calibri" w:hAnsi="Calibri" w:eastAsia="宋体" w:cs="Times New Roman"/>
      <w:sz w:val="18"/>
      <w:szCs w:val="18"/>
    </w:rPr>
  </w:style>
  <w:style w:type="character" w:customStyle="1" w:styleId="93">
    <w:name w:val="页眉 Char"/>
    <w:basedOn w:val="64"/>
    <w:link w:val="39"/>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57"/>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5"/>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8"/>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2"/>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8"/>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7"/>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5"/>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7"/>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39"/>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2"/>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6"/>
    <w:qFormat/>
    <w:uiPriority w:val="99"/>
    <w:pPr>
      <w:numPr>
        <w:ilvl w:val="1"/>
        <w:numId w:val="5"/>
      </w:numPr>
      <w:tabs>
        <w:tab w:val="left" w:pos="2040"/>
      </w:tabs>
      <w:spacing w:after="120"/>
      <w:ind w:left="0" w:firstLine="0"/>
    </w:pPr>
  </w:style>
  <w:style w:type="paragraph" w:customStyle="1" w:styleId="436">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2"/>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2"/>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1"/>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4"/>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3"/>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2"/>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4"/>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3"/>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3"/>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3"/>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57"/>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2"/>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2"/>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7"/>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3"/>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3"/>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2"/>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2"/>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4"/>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3"/>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2"/>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2"/>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5"/>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2"/>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2"/>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1"/>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3"/>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6"/>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3"/>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3"/>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2">
    <w:name w:val="文档结构图 Char"/>
    <w:link w:val="20"/>
    <w:semiHidden/>
    <w:qFormat/>
    <w:uiPriority w:val="99"/>
    <w:rPr>
      <w:rFonts w:ascii="Heiti SC Light" w:hAnsi="Times New Roman" w:eastAsia="Heiti SC Light" w:cs="Times New Roman"/>
      <w:kern w:val="2"/>
      <w:sz w:val="24"/>
      <w:szCs w:val="24"/>
    </w:rPr>
  </w:style>
  <w:style w:type="character" w:customStyle="1" w:styleId="993">
    <w:name w:val="标题 1 Char"/>
    <w:link w:val="3"/>
    <w:qFormat/>
    <w:uiPriority w:val="99"/>
    <w:rPr>
      <w:rFonts w:ascii="宋体" w:hAnsi="宋体" w:eastAsia="宋体" w:cs="Times New Roman"/>
      <w:b/>
      <w:bCs/>
      <w:color w:val="000000"/>
      <w:sz w:val="36"/>
      <w:szCs w:val="44"/>
    </w:rPr>
  </w:style>
  <w:style w:type="character" w:customStyle="1" w:styleId="994">
    <w:name w:val="正文文本缩进 Char"/>
    <w:link w:val="25"/>
    <w:qFormat/>
    <w:uiPriority w:val="99"/>
    <w:rPr>
      <w:rFonts w:ascii="Times New Roman" w:hAnsi="Times New Roman" w:eastAsia="宋体" w:cs="Times New Roman"/>
      <w:kern w:val="2"/>
      <w:sz w:val="21"/>
      <w:szCs w:val="24"/>
    </w:rPr>
  </w:style>
  <w:style w:type="character" w:customStyle="1" w:styleId="995">
    <w:name w:val="标题 4 Char"/>
    <w:link w:val="5"/>
    <w:qFormat/>
    <w:uiPriority w:val="99"/>
    <w:rPr>
      <w:rFonts w:ascii="Arial" w:hAnsi="Arial" w:eastAsia="宋体" w:cs="Times New Roman"/>
      <w:b/>
      <w:bCs/>
      <w:sz w:val="24"/>
      <w:szCs w:val="28"/>
    </w:rPr>
  </w:style>
  <w:style w:type="character" w:customStyle="1" w:styleId="996">
    <w:name w:val="标题 3 Char"/>
    <w:link w:val="4"/>
    <w:qFormat/>
    <w:uiPriority w:val="9"/>
    <w:rPr>
      <w:rFonts w:ascii="Arial" w:hAnsi="新宋体" w:eastAsia="新宋体" w:cs="Times New Roman"/>
      <w:b/>
      <w:bCs/>
      <w:color w:val="000000"/>
      <w:sz w:val="28"/>
      <w:szCs w:val="32"/>
    </w:rPr>
  </w:style>
  <w:style w:type="paragraph" w:customStyle="1" w:styleId="997">
    <w:name w:val="中等深浅网格 1 - 强调文字颜色 21"/>
    <w:basedOn w:val="1"/>
    <w:qFormat/>
    <w:uiPriority w:val="99"/>
    <w:pPr>
      <w:ind w:firstLine="420" w:firstLineChars="200"/>
    </w:pPr>
    <w:rPr>
      <w:rFonts w:ascii="Times New Roman" w:hAnsi="Times New Roman"/>
      <w:szCs w:val="24"/>
    </w:rPr>
  </w:style>
  <w:style w:type="paragraph" w:customStyle="1" w:styleId="998">
    <w:name w:val="p"/>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99">
    <w:name w:val="正文 首行缩进"/>
    <w:basedOn w:val="1"/>
    <w:qFormat/>
    <w:uiPriority w:val="0"/>
    <w:pPr>
      <w:spacing w:line="420" w:lineRule="exact"/>
      <w:ind w:firstLine="600" w:firstLineChars="200"/>
    </w:pPr>
    <w:rPr>
      <w:rFonts w:ascii="Times New Roman" w:hAnsi="Times New Roman" w:cs="宋体"/>
      <w:sz w:val="30"/>
      <w:szCs w:val="20"/>
    </w:rPr>
  </w:style>
  <w:style w:type="character" w:customStyle="1" w:styleId="1000">
    <w:name w:val="批注框文本 Char"/>
    <w:basedOn w:val="64"/>
    <w:link w:val="37"/>
    <w:semiHidden/>
    <w:qFormat/>
    <w:uiPriority w:val="99"/>
    <w:rPr>
      <w:rFonts w:ascii="Times New Roman" w:hAnsi="Times New Roman" w:eastAsia="宋体" w:cs="Times New Roman"/>
      <w:kern w:val="2"/>
      <w:sz w:val="18"/>
      <w:szCs w:val="18"/>
    </w:rPr>
  </w:style>
  <w:style w:type="paragraph" w:customStyle="1" w:styleId="1001">
    <w:name w:val="msg-list__item"/>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33383</Words>
  <Characters>36229</Characters>
  <Lines>19</Lines>
  <Paragraphs>5</Paragraphs>
  <TotalTime>5</TotalTime>
  <ScaleCrop>false</ScaleCrop>
  <LinksUpToDate>false</LinksUpToDate>
  <CharactersWithSpaces>38473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2021-07-26T07:48:00Z</dcterms:created>
  <dc:creator>Administrator</dc:creator>
  <cp:lastModifiedBy>123456</cp:lastModifiedBy>
  <cp:lastPrinted>2022-06-27T23:59:00Z</cp:lastPrinted>
  <dcterms:modified xsi:type="dcterms:W3CDTF">2023-10-26T07:15:23Z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8A25F66FFDDE425185C88C1959F83E7F</vt:lpwstr>
  </property>
</Properties>
</file>