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</w:rPr>
        <w:t>标段编号：CGZX（CS）-2022-01</w:t>
      </w:r>
      <w:r>
        <w:rPr>
          <w:rFonts w:hint="eastAsia"/>
          <w:b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浙江工商大学教工路校区西院14号楼室外供水管网改造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浙江宝诚建设有限公司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帝豪建设有限公司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报价文件符合性不通过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江西久泰建设工程有限公司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16806825"/>
    <w:rsid w:val="1D5A18FD"/>
    <w:rsid w:val="21B4422B"/>
    <w:rsid w:val="21E32C48"/>
    <w:rsid w:val="2D981BC3"/>
    <w:rsid w:val="2E8D5452"/>
    <w:rsid w:val="5B3A129C"/>
    <w:rsid w:val="7A0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177</Characters>
  <Lines>1</Lines>
  <Paragraphs>1</Paragraphs>
  <TotalTime>0</TotalTime>
  <ScaleCrop>false</ScaleCrop>
  <LinksUpToDate>false</LinksUpToDate>
  <CharactersWithSpaces>177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2022-08-04T04:35:13Z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3D294441E5F948329A4FE31C8DB23C11</vt:lpwstr>
  </property>
</Properties>
</file>