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浙江工商大学</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智能化学位论文送审及监测管理服务</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ascii="楷体" w:hAnsi="楷体" w:eastAsia="楷体"/>
          <w:b/>
          <w:spacing w:val="-6"/>
          <w:sz w:val="30"/>
          <w:szCs w:val="30"/>
        </w:rPr>
      </w:pPr>
      <w:r>
        <w:rPr>
          <w:rFonts w:ascii="楷体" w:hAnsi="楷体" w:eastAsia="楷体"/>
          <w:b/>
          <w:spacing w:val="-6"/>
          <w:sz w:val="30"/>
          <w:szCs w:val="30"/>
        </w:rPr>
        <w:t>项目编号：</w:t>
      </w:r>
      <w:r>
        <w:rPr>
          <w:rFonts w:hint="eastAsia" w:ascii="楷体" w:hAnsi="楷体" w:eastAsia="楷体"/>
          <w:b/>
          <w:spacing w:val="-6"/>
          <w:sz w:val="30"/>
          <w:szCs w:val="30"/>
        </w:rPr>
        <w:t xml:space="preserve">QSZB-Z(F)-H21230(DY)      </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项目名称：智能化学位论文送审及监测管理服务</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采购单位：浙江工商大学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3"/>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3"/>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6"/>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根据政府采购相关法律法规规定，</w:t>
      </w:r>
      <w:r>
        <w:rPr>
          <w:spacing w:val="-6"/>
          <w:sz w:val="21"/>
          <w:szCs w:val="21"/>
        </w:rPr>
        <w:t>经浙江省财政厅</w:t>
      </w:r>
      <w:r>
        <w:rPr>
          <w:rFonts w:hint="eastAsia" w:asciiTheme="minorEastAsia" w:hAnsiTheme="minorEastAsia" w:eastAsiaTheme="minorEastAsia"/>
          <w:spacing w:val="-6"/>
          <w:sz w:val="21"/>
          <w:szCs w:val="21"/>
        </w:rPr>
        <w:t>[2021]51202号、临[2021]58177号</w:t>
      </w:r>
      <w:r>
        <w:rPr>
          <w:spacing w:val="-6"/>
          <w:sz w:val="21"/>
          <w:szCs w:val="21"/>
        </w:rPr>
        <w:t>确认书批准，</w:t>
      </w:r>
      <w:r>
        <w:rPr>
          <w:rFonts w:hint="eastAsia" w:ascii="宋体" w:hAnsi="宋体"/>
          <w:spacing w:val="-6"/>
          <w:sz w:val="21"/>
          <w:szCs w:val="21"/>
        </w:rPr>
        <w:t>浙江求是招标代理有限公司就浙江工商大学智能化学位论文送审及监测管理服务进行单一来源采购。</w:t>
      </w:r>
    </w:p>
    <w:p>
      <w:pPr>
        <w:spacing w:line="288" w:lineRule="auto"/>
        <w:jc w:val="left"/>
        <w:rPr>
          <w:rFonts w:ascii="宋体" w:hAnsi="宋体"/>
          <w:b/>
          <w:spacing w:val="-6"/>
          <w:sz w:val="21"/>
          <w:szCs w:val="21"/>
        </w:rPr>
      </w:pPr>
      <w:r>
        <w:rPr>
          <w:rFonts w:hint="eastAsia" w:ascii="宋体" w:hAnsi="宋体" w:cs="Arial"/>
          <w:b/>
          <w:bCs/>
          <w:spacing w:val="-6"/>
          <w:sz w:val="24"/>
        </w:rPr>
        <w:t>一、项目名称：</w:t>
      </w:r>
      <w:r>
        <w:rPr>
          <w:rFonts w:hint="eastAsia" w:ascii="宋体" w:hAnsi="宋体"/>
          <w:spacing w:val="-6"/>
          <w:sz w:val="21"/>
          <w:szCs w:val="21"/>
        </w:rPr>
        <w:t>智能化学位论文送审及监测管理服务</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rPr>
        <w:t xml:space="preserve">QSZB-Z(F)-H21230(DY)      </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2"/>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360"/>
        <w:gridCol w:w="358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3360"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3586"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单一来源供应商</w:t>
            </w:r>
          </w:p>
        </w:tc>
        <w:tc>
          <w:tcPr>
            <w:tcW w:w="1696"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p>
            <w:pPr>
              <w:spacing w:line="288" w:lineRule="auto"/>
              <w:jc w:val="center"/>
              <w:rPr>
                <w:rFonts w:ascii="宋体" w:hAnsi="宋体" w:cs="Arial"/>
                <w:spacing w:val="-6"/>
                <w:sz w:val="21"/>
                <w:szCs w:val="21"/>
              </w:rPr>
            </w:pPr>
            <w:r>
              <w:rPr>
                <w:rFonts w:hint="eastAsia" w:ascii="宋体" w:hAnsi="宋体" w:cs="Arial"/>
                <w:spacing w:val="-6"/>
                <w:sz w:val="21"/>
                <w:szCs w:val="21"/>
              </w:rPr>
              <w:t>（</w:t>
            </w:r>
            <w:r>
              <w:rPr>
                <w:rFonts w:ascii="宋体" w:hAnsi="宋体" w:cs="Arial"/>
                <w:spacing w:val="-6"/>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3360"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智能化学位论文送审及监测管理服务</w:t>
            </w:r>
          </w:p>
        </w:tc>
        <w:tc>
          <w:tcPr>
            <w:tcW w:w="3586"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教育部学位与研究生教育发展中心</w:t>
            </w:r>
          </w:p>
          <w:p>
            <w:pPr>
              <w:spacing w:line="288" w:lineRule="auto"/>
              <w:jc w:val="center"/>
              <w:rPr>
                <w:rFonts w:ascii="宋体" w:hAnsi="宋体" w:cs="Arial"/>
                <w:spacing w:val="-6"/>
                <w:sz w:val="21"/>
                <w:szCs w:val="21"/>
              </w:rPr>
            </w:pPr>
            <w:r>
              <w:rPr>
                <w:rFonts w:hint="eastAsia" w:ascii="宋体" w:hAnsi="宋体" w:cs="Arial"/>
                <w:spacing w:val="-6"/>
                <w:sz w:val="21"/>
                <w:szCs w:val="21"/>
              </w:rPr>
              <w:t>邢亚群</w:t>
            </w:r>
            <w:r>
              <w:rPr>
                <w:rFonts w:ascii="宋体" w:hAnsi="宋体" w:cs="Arial"/>
                <w:spacing w:val="-6"/>
                <w:sz w:val="21"/>
                <w:szCs w:val="21"/>
              </w:rPr>
              <w:t>18810728644</w:t>
            </w:r>
          </w:p>
        </w:tc>
        <w:tc>
          <w:tcPr>
            <w:tcW w:w="1696" w:type="dxa"/>
            <w:vAlign w:val="center"/>
          </w:tcPr>
          <w:p>
            <w:pPr>
              <w:spacing w:line="288" w:lineRule="auto"/>
              <w:jc w:val="center"/>
              <w:rPr>
                <w:rFonts w:ascii="宋体" w:hAnsi="宋体" w:cs="Arial"/>
                <w:spacing w:val="-6"/>
                <w:sz w:val="21"/>
                <w:szCs w:val="21"/>
              </w:rPr>
            </w:pPr>
            <w:r>
              <w:rPr>
                <w:rFonts w:ascii="宋体" w:hAnsi="宋体" w:cs="Arial"/>
                <w:spacing w:val="-6"/>
                <w:sz w:val="21"/>
                <w:szCs w:val="21"/>
              </w:rPr>
              <w:t>111</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ascii="宋体" w:hAnsi="宋体"/>
          <w:spacing w:val="-6"/>
          <w:sz w:val="21"/>
          <w:szCs w:val="21"/>
        </w:rPr>
      </w:pPr>
      <w:r>
        <w:rPr>
          <w:rFonts w:hint="eastAsia" w:ascii="宋体" w:hAnsi="宋体"/>
          <w:spacing w:val="-6"/>
          <w:sz w:val="21"/>
          <w:szCs w:val="21"/>
        </w:rPr>
        <w:t>2.</w:t>
      </w:r>
      <w:r>
        <w:rPr>
          <w:rFonts w:hint="eastAsia" w:ascii="宋体" w:hAnsi="宋体" w:cs="宋体"/>
          <w:sz w:val="21"/>
          <w:szCs w:val="21"/>
        </w:rPr>
        <w:t>落实政府采购政策需满足的资格要求：</w:t>
      </w:r>
      <w:r>
        <w:rPr>
          <w:rFonts w:hint="eastAsia" w:ascii="宋体" w:hAnsi="宋体"/>
          <w:sz w:val="21"/>
          <w:szCs w:val="21"/>
        </w:rPr>
        <w:t>无</w:t>
      </w:r>
    </w:p>
    <w:p>
      <w:pPr>
        <w:spacing w:line="288" w:lineRule="auto"/>
        <w:ind w:firstLine="429" w:firstLineChars="217"/>
        <w:rPr>
          <w:rFonts w:ascii="宋体" w:hAnsi="宋体"/>
          <w:spacing w:val="-6"/>
          <w:sz w:val="21"/>
          <w:szCs w:val="21"/>
        </w:rPr>
      </w:pPr>
      <w:r>
        <w:rPr>
          <w:rFonts w:hint="eastAsia" w:ascii="宋体" w:hAnsi="宋体"/>
          <w:spacing w:val="-6"/>
          <w:sz w:val="21"/>
          <w:szCs w:val="21"/>
        </w:rPr>
        <w:t>3.本项目不接受联合体投标；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594" w:firstLineChars="300"/>
        <w:rPr>
          <w:rFonts w:ascii="宋体" w:hAnsi="宋体"/>
          <w:spacing w:val="-6"/>
          <w:sz w:val="21"/>
          <w:szCs w:val="21"/>
        </w:rPr>
      </w:pPr>
      <w:r>
        <w:rPr>
          <w:rFonts w:hint="eastAsia" w:ascii="宋体" w:hAnsi="宋体"/>
          <w:spacing w:val="-6"/>
          <w:sz w:val="21"/>
          <w:szCs w:val="21"/>
        </w:rPr>
        <w:t>1.日期：2021年</w:t>
      </w:r>
      <w:r>
        <w:rPr>
          <w:rFonts w:ascii="宋体" w:hAnsi="宋体"/>
          <w:spacing w:val="-6"/>
          <w:sz w:val="21"/>
          <w:szCs w:val="21"/>
        </w:rPr>
        <w:t>9</w:t>
      </w:r>
      <w:r>
        <w:rPr>
          <w:rFonts w:hint="eastAsia" w:ascii="宋体" w:hAnsi="宋体"/>
          <w:spacing w:val="-6"/>
          <w:sz w:val="21"/>
          <w:szCs w:val="21"/>
        </w:rPr>
        <w:t>月</w:t>
      </w:r>
      <w:r>
        <w:rPr>
          <w:rFonts w:ascii="宋体" w:hAnsi="宋体"/>
          <w:spacing w:val="-6"/>
          <w:sz w:val="21"/>
          <w:szCs w:val="21"/>
        </w:rPr>
        <w:t>15</w:t>
      </w:r>
      <w:r>
        <w:rPr>
          <w:rFonts w:hint="eastAsia" w:ascii="宋体" w:hAnsi="宋体"/>
          <w:spacing w:val="-6"/>
          <w:sz w:val="21"/>
          <w:szCs w:val="21"/>
        </w:rPr>
        <w:t>日至2021年</w:t>
      </w:r>
      <w:r>
        <w:rPr>
          <w:rFonts w:ascii="宋体" w:hAnsi="宋体"/>
          <w:spacing w:val="-6"/>
          <w:sz w:val="21"/>
          <w:szCs w:val="21"/>
        </w:rPr>
        <w:t>9</w:t>
      </w:r>
      <w:r>
        <w:rPr>
          <w:rFonts w:hint="eastAsia" w:ascii="宋体" w:hAnsi="宋体"/>
          <w:spacing w:val="-6"/>
          <w:sz w:val="21"/>
          <w:szCs w:val="21"/>
        </w:rPr>
        <w:t>月</w:t>
      </w:r>
      <w:r>
        <w:rPr>
          <w:rFonts w:ascii="宋体" w:hAnsi="宋体"/>
          <w:spacing w:val="-6"/>
          <w:sz w:val="21"/>
          <w:szCs w:val="21"/>
        </w:rPr>
        <w:t>27</w:t>
      </w:r>
      <w:r>
        <w:rPr>
          <w:rFonts w:hint="eastAsia" w:ascii="宋体" w:hAnsi="宋体"/>
          <w:spacing w:val="-6"/>
          <w:sz w:val="21"/>
          <w:szCs w:val="21"/>
        </w:rPr>
        <w:t>日，每天上午00:00至12:00，下午12:00至23:59（北京时间，线上获取法定节假日均可，线下获取文件法定节假日除外）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r>
        <w:rPr>
          <w:rFonts w:ascii="宋体" w:hAnsi="宋体" w:cs="宋体"/>
          <w:b/>
          <w:spacing w:val="-6"/>
          <w:kern w:val="0"/>
          <w:sz w:val="21"/>
          <w:szCs w:val="21"/>
        </w:rPr>
        <w:t xml:space="preserve"> </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时间：2021年</w:t>
      </w:r>
      <w:r>
        <w:rPr>
          <w:rFonts w:ascii="宋体" w:hAnsi="宋体"/>
          <w:spacing w:val="-6"/>
          <w:sz w:val="21"/>
          <w:szCs w:val="21"/>
        </w:rPr>
        <w:t>9</w:t>
      </w:r>
      <w:r>
        <w:rPr>
          <w:rFonts w:hint="eastAsia" w:ascii="宋体" w:hAnsi="宋体"/>
          <w:spacing w:val="-6"/>
          <w:sz w:val="21"/>
          <w:szCs w:val="21"/>
        </w:rPr>
        <w:t>月</w:t>
      </w:r>
      <w:r>
        <w:rPr>
          <w:rFonts w:ascii="宋体" w:hAnsi="宋体"/>
          <w:spacing w:val="-6"/>
          <w:sz w:val="21"/>
          <w:szCs w:val="21"/>
        </w:rPr>
        <w:t>27</w:t>
      </w:r>
      <w:r>
        <w:rPr>
          <w:rFonts w:hint="eastAsia" w:ascii="宋体" w:hAnsi="宋体"/>
          <w:spacing w:val="-6"/>
          <w:sz w:val="21"/>
          <w:szCs w:val="21"/>
        </w:rPr>
        <w:t>日下午1</w:t>
      </w:r>
      <w:r>
        <w:rPr>
          <w:rFonts w:ascii="宋体" w:hAnsi="宋体"/>
          <w:spacing w:val="-6"/>
          <w:sz w:val="21"/>
          <w:szCs w:val="21"/>
        </w:rPr>
        <w:t>4</w:t>
      </w:r>
      <w:r>
        <w:rPr>
          <w:rFonts w:hint="eastAsia" w:ascii="宋体" w:hAnsi="宋体"/>
          <w:spacing w:val="-6"/>
          <w:sz w:val="21"/>
          <w:szCs w:val="21"/>
        </w:rPr>
        <w:t>:</w:t>
      </w:r>
      <w:r>
        <w:rPr>
          <w:rFonts w:ascii="宋体" w:hAnsi="宋体"/>
          <w:spacing w:val="-6"/>
          <w:sz w:val="21"/>
          <w:szCs w:val="21"/>
        </w:rPr>
        <w:t>00</w:t>
      </w:r>
      <w:r>
        <w:rPr>
          <w:rFonts w:hint="eastAsia" w:ascii="宋体" w:hAnsi="宋体"/>
          <w:spacing w:val="-6"/>
          <w:sz w:val="21"/>
          <w:szCs w:val="21"/>
        </w:rPr>
        <w:t>:00（北京时间）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w:t>
      </w:r>
      <w:bookmarkStart w:id="4" w:name="_GoBack"/>
      <w:bookmarkEnd w:id="4"/>
      <w:r>
        <w:rPr>
          <w:rFonts w:hint="eastAsia"/>
          <w:spacing w:val="-6"/>
          <w:sz w:val="21"/>
          <w:szCs w:val="21"/>
        </w:rPr>
        <w:t>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时间：2021年</w:t>
      </w:r>
      <w:r>
        <w:rPr>
          <w:rFonts w:ascii="宋体" w:hAnsi="宋体"/>
          <w:spacing w:val="-6"/>
          <w:sz w:val="21"/>
          <w:szCs w:val="21"/>
        </w:rPr>
        <w:t>9</w:t>
      </w:r>
      <w:r>
        <w:rPr>
          <w:rFonts w:hint="eastAsia" w:ascii="宋体" w:hAnsi="宋体"/>
          <w:spacing w:val="-6"/>
          <w:sz w:val="21"/>
          <w:szCs w:val="21"/>
        </w:rPr>
        <w:t>月</w:t>
      </w:r>
      <w:r>
        <w:rPr>
          <w:rFonts w:ascii="宋体" w:hAnsi="宋体"/>
          <w:spacing w:val="-6"/>
          <w:sz w:val="21"/>
          <w:szCs w:val="21"/>
        </w:rPr>
        <w:t>27</w:t>
      </w:r>
      <w:r>
        <w:rPr>
          <w:rFonts w:hint="eastAsia" w:ascii="宋体" w:hAnsi="宋体"/>
          <w:spacing w:val="-6"/>
          <w:sz w:val="21"/>
          <w:szCs w:val="21"/>
        </w:rPr>
        <w:t>日下午1</w:t>
      </w:r>
      <w:r>
        <w:rPr>
          <w:rFonts w:ascii="宋体" w:hAnsi="宋体"/>
          <w:spacing w:val="-6"/>
          <w:sz w:val="21"/>
          <w:szCs w:val="21"/>
        </w:rPr>
        <w:t>4</w:t>
      </w:r>
      <w:r>
        <w:rPr>
          <w:rFonts w:hint="eastAsia" w:ascii="宋体" w:hAnsi="宋体"/>
          <w:spacing w:val="-6"/>
          <w:sz w:val="21"/>
          <w:szCs w:val="21"/>
        </w:rPr>
        <w:t>:</w:t>
      </w:r>
      <w:r>
        <w:rPr>
          <w:rFonts w:ascii="宋体" w:hAnsi="宋体"/>
          <w:spacing w:val="-6"/>
          <w:sz w:val="21"/>
          <w:szCs w:val="21"/>
        </w:rPr>
        <w:t>0</w:t>
      </w:r>
      <w:r>
        <w:rPr>
          <w:rFonts w:hint="eastAsia" w:ascii="宋体" w:hAnsi="宋体"/>
          <w:spacing w:val="-6"/>
          <w:sz w:val="21"/>
          <w:szCs w:val="21"/>
        </w:rPr>
        <w:t>0:00（北京时间）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w:t>
      </w:r>
      <w:r>
        <w:rPr>
          <w:rFonts w:hint="eastAsia"/>
          <w:spacing w:val="-6"/>
          <w:sz w:val="21"/>
          <w:szCs w:val="21"/>
          <w:lang w:val="en-US" w:eastAsia="zh-CN"/>
        </w:rPr>
        <w:t>开标</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ind w:firstLine="422" w:firstLineChars="200"/>
        <w:rPr>
          <w:rFonts w:ascii="宋体" w:hAnsi="宋体" w:cs="宋体"/>
          <w:b/>
          <w:bCs/>
          <w:sz w:val="21"/>
          <w:szCs w:val="21"/>
        </w:rPr>
      </w:pPr>
      <w:r>
        <w:rPr>
          <w:rFonts w:hint="eastAsia" w:ascii="宋体" w:hAnsi="宋体" w:cs="宋体"/>
          <w:b/>
          <w:bCs/>
          <w:sz w:val="21"/>
          <w:szCs w:val="21"/>
        </w:rPr>
        <w:t>6.采购项目需要落实的政府采购政策</w:t>
      </w:r>
    </w:p>
    <w:p>
      <w:pPr>
        <w:spacing w:line="288" w:lineRule="auto"/>
        <w:ind w:firstLine="420" w:firstLineChars="200"/>
        <w:rPr>
          <w:rFonts w:ascii="宋体" w:hAnsi="宋体" w:cs="宋体"/>
          <w:sz w:val="21"/>
          <w:szCs w:val="21"/>
        </w:rPr>
      </w:pPr>
      <w:r>
        <w:rPr>
          <w:rFonts w:hint="eastAsia" w:ascii="宋体" w:hAnsi="宋体" w:cs="宋体"/>
          <w:sz w:val="21"/>
          <w:szCs w:val="21"/>
        </w:rPr>
        <w:t>1）政府采购促进中小企业发展</w:t>
      </w:r>
      <w:r>
        <w:rPr>
          <w:rFonts w:hint="eastAsia" w:ascii="宋体" w:hAnsi="宋体"/>
          <w:sz w:val="21"/>
          <w:szCs w:val="21"/>
        </w:rPr>
        <w:t>（对应的中小企业划分标准所属行业：其他未列明行业）</w:t>
      </w:r>
    </w:p>
    <w:p>
      <w:pPr>
        <w:spacing w:line="288" w:lineRule="auto"/>
        <w:ind w:firstLine="420" w:firstLineChars="200"/>
        <w:rPr>
          <w:rFonts w:ascii="宋体" w:hAnsi="宋体" w:cs="宋体"/>
          <w:sz w:val="21"/>
          <w:szCs w:val="21"/>
        </w:rPr>
      </w:pPr>
      <w:r>
        <w:rPr>
          <w:rFonts w:hint="eastAsia" w:ascii="宋体" w:hAnsi="宋体" w:cs="宋体"/>
          <w:sz w:val="21"/>
          <w:szCs w:val="21"/>
        </w:rPr>
        <w:t>2）政府采购支持监狱企业发展</w:t>
      </w:r>
    </w:p>
    <w:p>
      <w:pPr>
        <w:spacing w:line="288" w:lineRule="auto"/>
        <w:ind w:firstLine="420" w:firstLineChars="200"/>
        <w:rPr>
          <w:rFonts w:ascii="宋体" w:hAnsi="宋体" w:cs="宋体"/>
          <w:sz w:val="21"/>
          <w:szCs w:val="21"/>
        </w:rPr>
      </w:pPr>
      <w:r>
        <w:rPr>
          <w:rFonts w:hint="eastAsia" w:ascii="宋体" w:hAnsi="宋体" w:cs="宋体"/>
          <w:sz w:val="21"/>
          <w:szCs w:val="21"/>
        </w:rPr>
        <w:t>3）政府采购促进残疾人就业</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spacing w:line="288" w:lineRule="auto"/>
        <w:ind w:firstLine="420" w:firstLineChars="200"/>
        <w:rPr>
          <w:rFonts w:ascii="宋体" w:hAnsi="宋体"/>
          <w:sz w:val="21"/>
          <w:szCs w:val="21"/>
        </w:rPr>
      </w:pPr>
      <w:r>
        <w:rPr>
          <w:rFonts w:hint="eastAsia" w:ascii="宋体" w:hAnsi="宋体"/>
          <w:sz w:val="21"/>
          <w:szCs w:val="21"/>
        </w:rPr>
        <w:t>1、采购人：浙江工商大学</w:t>
      </w:r>
    </w:p>
    <w:p>
      <w:pPr>
        <w:spacing w:line="288" w:lineRule="auto"/>
        <w:ind w:firstLine="420" w:firstLineChars="200"/>
        <w:rPr>
          <w:rFonts w:ascii="宋体" w:hAnsi="宋体"/>
          <w:sz w:val="21"/>
          <w:szCs w:val="21"/>
        </w:rPr>
      </w:pPr>
      <w:r>
        <w:rPr>
          <w:rFonts w:hint="eastAsia" w:ascii="宋体" w:hAnsi="宋体"/>
          <w:sz w:val="21"/>
          <w:szCs w:val="21"/>
        </w:rPr>
        <w:t>地址：浙江省杭州市下沙高教园区学正街18号</w:t>
      </w:r>
    </w:p>
    <w:p>
      <w:pPr>
        <w:spacing w:line="288" w:lineRule="auto"/>
        <w:ind w:firstLine="420" w:firstLineChars="200"/>
        <w:rPr>
          <w:rFonts w:ascii="宋体" w:hAnsi="宋体"/>
          <w:sz w:val="21"/>
          <w:szCs w:val="21"/>
        </w:rPr>
      </w:pPr>
      <w:r>
        <w:rPr>
          <w:rFonts w:hint="eastAsia" w:ascii="宋体" w:hAnsi="宋体"/>
          <w:sz w:val="21"/>
          <w:szCs w:val="21"/>
        </w:rPr>
        <w:t>传真：</w:t>
      </w:r>
      <w:r>
        <w:rPr>
          <w:rFonts w:ascii="宋体" w:hAnsi="宋体"/>
          <w:sz w:val="21"/>
          <w:szCs w:val="21"/>
        </w:rPr>
        <w:t>/</w:t>
      </w:r>
    </w:p>
    <w:p>
      <w:pPr>
        <w:spacing w:line="288" w:lineRule="auto"/>
        <w:ind w:firstLine="420" w:firstLineChars="200"/>
        <w:rPr>
          <w:rFonts w:ascii="宋体" w:hAnsi="宋体"/>
          <w:sz w:val="21"/>
          <w:szCs w:val="21"/>
        </w:rPr>
      </w:pPr>
      <w:r>
        <w:rPr>
          <w:rFonts w:hint="eastAsia" w:ascii="宋体" w:hAnsi="宋体"/>
          <w:sz w:val="21"/>
          <w:szCs w:val="21"/>
        </w:rPr>
        <w:t>项目联系人（询问）：项老师</w:t>
      </w:r>
    </w:p>
    <w:p>
      <w:pPr>
        <w:spacing w:line="288" w:lineRule="auto"/>
        <w:ind w:firstLine="420" w:firstLineChars="200"/>
        <w:rPr>
          <w:rFonts w:ascii="宋体" w:hAnsi="宋体"/>
          <w:sz w:val="21"/>
          <w:szCs w:val="21"/>
        </w:rPr>
      </w:pPr>
      <w:r>
        <w:rPr>
          <w:rFonts w:hint="eastAsia" w:ascii="宋体" w:hAnsi="宋体"/>
          <w:sz w:val="21"/>
          <w:szCs w:val="21"/>
        </w:rPr>
        <w:t>项目联系方式（询问）：</w:t>
      </w:r>
      <w:r>
        <w:rPr>
          <w:rFonts w:ascii="宋体" w:hAnsi="宋体"/>
          <w:sz w:val="21"/>
          <w:szCs w:val="21"/>
        </w:rPr>
        <w:t>0571-28877241</w:t>
      </w:r>
    </w:p>
    <w:p>
      <w:pPr>
        <w:spacing w:line="288" w:lineRule="auto"/>
        <w:ind w:firstLine="420" w:firstLineChars="200"/>
        <w:rPr>
          <w:rFonts w:ascii="宋体" w:hAnsi="宋体"/>
          <w:sz w:val="21"/>
          <w:szCs w:val="21"/>
        </w:rPr>
      </w:pPr>
      <w:r>
        <w:rPr>
          <w:rFonts w:hint="eastAsia" w:ascii="宋体" w:hAnsi="宋体"/>
          <w:sz w:val="21"/>
          <w:szCs w:val="21"/>
        </w:rPr>
        <w:t>质疑联系人：周老师</w:t>
      </w:r>
    </w:p>
    <w:p>
      <w:pPr>
        <w:spacing w:line="288" w:lineRule="auto"/>
        <w:ind w:firstLine="420" w:firstLineChars="200"/>
        <w:rPr>
          <w:rFonts w:ascii="宋体" w:hAnsi="宋体"/>
          <w:sz w:val="21"/>
          <w:szCs w:val="21"/>
        </w:rPr>
      </w:pPr>
      <w:r>
        <w:rPr>
          <w:rFonts w:hint="eastAsia" w:ascii="宋体" w:hAnsi="宋体"/>
          <w:sz w:val="21"/>
          <w:szCs w:val="21"/>
        </w:rPr>
        <w:t>质疑联系方式：</w:t>
      </w:r>
      <w:r>
        <w:rPr>
          <w:rFonts w:ascii="宋体" w:hAnsi="宋体"/>
          <w:sz w:val="21"/>
          <w:szCs w:val="21"/>
        </w:rPr>
        <w:t>0571-28877292</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2、采购代理机构名称：浙江求是招标代理有限公司</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地址：杭州市西湖区玉古路173号中田大厦11楼</w:t>
      </w:r>
    </w:p>
    <w:p>
      <w:pPr>
        <w:spacing w:line="288" w:lineRule="auto"/>
        <w:ind w:firstLine="420" w:firstLineChars="200"/>
        <w:rPr>
          <w:rFonts w:ascii="宋体" w:hAnsi="宋体"/>
          <w:sz w:val="21"/>
          <w:szCs w:val="21"/>
        </w:rPr>
      </w:pPr>
      <w:r>
        <w:rPr>
          <w:rFonts w:hint="eastAsia" w:ascii="宋体" w:hAnsi="宋体"/>
          <w:sz w:val="21"/>
          <w:szCs w:val="21"/>
        </w:rPr>
        <w:t>业务及备份投标文件递交联系人：李聪</w:t>
      </w:r>
    </w:p>
    <w:p>
      <w:pPr>
        <w:spacing w:line="288" w:lineRule="auto"/>
        <w:ind w:firstLine="420" w:firstLineChars="200"/>
        <w:rPr>
          <w:rFonts w:ascii="宋体" w:hAnsi="宋体"/>
          <w:sz w:val="21"/>
          <w:szCs w:val="21"/>
        </w:rPr>
      </w:pPr>
      <w:r>
        <w:rPr>
          <w:rFonts w:hint="eastAsia" w:ascii="宋体" w:hAnsi="宋体"/>
          <w:sz w:val="21"/>
          <w:szCs w:val="21"/>
        </w:rPr>
        <w:t>联系方法：0571-87666115</w:t>
      </w:r>
    </w:p>
    <w:p>
      <w:pPr>
        <w:spacing w:line="288" w:lineRule="auto"/>
        <w:ind w:firstLine="420" w:firstLineChars="200"/>
        <w:rPr>
          <w:rFonts w:ascii="宋体" w:hAnsi="宋体"/>
          <w:sz w:val="21"/>
          <w:szCs w:val="21"/>
        </w:rPr>
      </w:pPr>
      <w:r>
        <w:rPr>
          <w:rFonts w:hint="eastAsia" w:ascii="宋体" w:hAnsi="宋体"/>
          <w:sz w:val="21"/>
          <w:szCs w:val="21"/>
        </w:rPr>
        <w:t>获取文件联系人：周嘉倩</w:t>
      </w:r>
    </w:p>
    <w:p>
      <w:pPr>
        <w:spacing w:line="288" w:lineRule="auto"/>
        <w:ind w:firstLine="420" w:firstLineChars="200"/>
        <w:rPr>
          <w:rFonts w:ascii="宋体" w:hAnsi="宋体"/>
          <w:sz w:val="21"/>
          <w:szCs w:val="21"/>
        </w:rPr>
      </w:pPr>
      <w:r>
        <w:rPr>
          <w:rFonts w:hint="eastAsia" w:ascii="宋体" w:hAnsi="宋体"/>
          <w:sz w:val="21"/>
          <w:szCs w:val="21"/>
        </w:rPr>
        <w:t>联系方法：0571-56532513</w:t>
      </w:r>
    </w:p>
    <w:p>
      <w:pPr>
        <w:spacing w:line="288" w:lineRule="auto"/>
        <w:ind w:firstLine="420" w:firstLineChars="200"/>
        <w:rPr>
          <w:rFonts w:ascii="宋体" w:hAnsi="宋体"/>
          <w:sz w:val="21"/>
          <w:szCs w:val="21"/>
        </w:rPr>
      </w:pPr>
      <w:r>
        <w:rPr>
          <w:rFonts w:hint="eastAsia" w:ascii="宋体" w:hAnsi="宋体"/>
          <w:sz w:val="21"/>
          <w:szCs w:val="21"/>
        </w:rPr>
        <w:t>传真：0571-87666116</w:t>
      </w:r>
    </w:p>
    <w:p>
      <w:pPr>
        <w:spacing w:line="288" w:lineRule="auto"/>
        <w:ind w:firstLine="420" w:firstLineChars="200"/>
        <w:rPr>
          <w:rFonts w:ascii="宋体" w:hAnsi="宋体"/>
          <w:sz w:val="21"/>
          <w:szCs w:val="21"/>
        </w:rPr>
      </w:pPr>
      <w:r>
        <w:rPr>
          <w:rFonts w:hint="eastAsia" w:ascii="宋体" w:hAnsi="宋体"/>
          <w:sz w:val="21"/>
          <w:szCs w:val="21"/>
        </w:rPr>
        <w:t>采购代理机构质疑联系人：余水星</w:t>
      </w:r>
    </w:p>
    <w:p>
      <w:pPr>
        <w:spacing w:line="288" w:lineRule="auto"/>
        <w:ind w:firstLine="420" w:firstLineChars="200"/>
        <w:rPr>
          <w:rFonts w:ascii="宋体" w:hAnsi="宋体"/>
          <w:sz w:val="21"/>
          <w:szCs w:val="21"/>
        </w:rPr>
      </w:pPr>
      <w:r>
        <w:rPr>
          <w:rFonts w:hint="eastAsia" w:ascii="宋体" w:hAnsi="宋体"/>
          <w:sz w:val="21"/>
          <w:szCs w:val="21"/>
        </w:rPr>
        <w:t>联系方法：0571-</w:t>
      </w:r>
      <w:r>
        <w:rPr>
          <w:rFonts w:ascii="宋体" w:hAnsi="宋体"/>
          <w:sz w:val="21"/>
          <w:szCs w:val="21"/>
        </w:rPr>
        <w:t>81110356</w:t>
      </w:r>
    </w:p>
    <w:p>
      <w:pPr>
        <w:spacing w:line="288" w:lineRule="auto"/>
        <w:ind w:firstLine="420" w:firstLineChars="200"/>
        <w:rPr>
          <w:rFonts w:ascii="宋体" w:hAnsi="宋体"/>
          <w:sz w:val="21"/>
          <w:szCs w:val="21"/>
        </w:rPr>
      </w:pPr>
      <w:r>
        <w:rPr>
          <w:rFonts w:hint="eastAsia" w:ascii="宋体" w:hAnsi="宋体"/>
          <w:sz w:val="21"/>
          <w:szCs w:val="21"/>
        </w:rPr>
        <w:t>质疑邮箱：jdkh@qszb.net</w:t>
      </w:r>
    </w:p>
    <w:p>
      <w:pPr>
        <w:spacing w:line="288" w:lineRule="auto"/>
        <w:ind w:firstLine="420" w:firstLineChars="200"/>
        <w:rPr>
          <w:rFonts w:ascii="宋体" w:hAnsi="宋体"/>
          <w:sz w:val="21"/>
          <w:szCs w:val="21"/>
        </w:rPr>
      </w:pPr>
      <w:r>
        <w:rPr>
          <w:rFonts w:hint="eastAsia" w:ascii="宋体" w:hAnsi="宋体"/>
          <w:sz w:val="21"/>
          <w:szCs w:val="21"/>
        </w:rPr>
        <w:t>3、同级政府采购监督管理部门：浙江省财政厅政府采购监管处</w:t>
      </w:r>
    </w:p>
    <w:p>
      <w:pPr>
        <w:spacing w:line="288" w:lineRule="auto"/>
        <w:ind w:firstLine="420" w:firstLineChars="200"/>
        <w:rPr>
          <w:rFonts w:ascii="宋体" w:hAnsi="宋体"/>
          <w:sz w:val="21"/>
          <w:szCs w:val="21"/>
        </w:rPr>
      </w:pPr>
      <w:r>
        <w:rPr>
          <w:rFonts w:hint="eastAsia" w:ascii="宋体" w:hAnsi="宋体"/>
          <w:sz w:val="21"/>
          <w:szCs w:val="21"/>
        </w:rPr>
        <w:t>联系人：倪文良、吴聪瑜</w:t>
      </w:r>
    </w:p>
    <w:p>
      <w:pPr>
        <w:spacing w:line="288" w:lineRule="auto"/>
        <w:ind w:firstLine="420" w:firstLineChars="200"/>
        <w:rPr>
          <w:rFonts w:ascii="宋体" w:hAnsi="宋体"/>
          <w:sz w:val="21"/>
          <w:szCs w:val="21"/>
        </w:rPr>
      </w:pPr>
      <w:r>
        <w:rPr>
          <w:rFonts w:hint="eastAsia" w:ascii="宋体" w:hAnsi="宋体"/>
          <w:sz w:val="21"/>
          <w:szCs w:val="21"/>
        </w:rPr>
        <w:t>监督投诉电话：0571-87057615、87058489</w:t>
      </w:r>
    </w:p>
    <w:p>
      <w:pPr>
        <w:spacing w:line="288" w:lineRule="auto"/>
        <w:ind w:firstLine="420" w:firstLineChars="200"/>
        <w:rPr>
          <w:rFonts w:ascii="宋体" w:hAnsi="宋体"/>
          <w:sz w:val="21"/>
          <w:szCs w:val="21"/>
        </w:rPr>
      </w:pPr>
      <w:r>
        <w:rPr>
          <w:rFonts w:hint="eastAsia" w:ascii="宋体" w:hAnsi="宋体"/>
          <w:sz w:val="21"/>
          <w:szCs w:val="21"/>
        </w:rPr>
        <w:t>地址：杭州市环城西路37号</w:t>
      </w:r>
    </w:p>
    <w:p>
      <w:pPr>
        <w:spacing w:line="288" w:lineRule="auto"/>
        <w:jc w:val="center"/>
        <w:outlineLvl w:val="0"/>
        <w:rPr>
          <w:rFonts w:ascii="宋体" w:hAnsi="宋体"/>
          <w:b/>
          <w:sz w:val="24"/>
        </w:rPr>
      </w:pPr>
      <w:r>
        <w:rPr>
          <w:rFonts w:hint="eastAsia" w:hAnsi="宋体"/>
          <w:b/>
          <w:spacing w:val="-6"/>
          <w:sz w:val="32"/>
        </w:rPr>
        <w:t>第二章  单一来源采购需求</w:t>
      </w:r>
    </w:p>
    <w:p>
      <w:pPr>
        <w:spacing w:line="288" w:lineRule="auto"/>
        <w:rPr>
          <w:rFonts w:ascii="宋体" w:hAnsi="宋体"/>
          <w:b/>
          <w:sz w:val="24"/>
        </w:rPr>
      </w:pPr>
      <w:r>
        <w:rPr>
          <w:rFonts w:hint="eastAsia" w:ascii="宋体" w:hAnsi="宋体"/>
          <w:b/>
          <w:sz w:val="24"/>
        </w:rPr>
        <w:t>一、采购资金的支付方式、时间、条件：</w:t>
      </w:r>
    </w:p>
    <w:tbl>
      <w:tblPr>
        <w:tblStyle w:val="22"/>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8"/>
        <w:gridCol w:w="7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6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付款方式</w:t>
            </w:r>
          </w:p>
        </w:tc>
        <w:tc>
          <w:tcPr>
            <w:tcW w:w="7760"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费用采取分期支付方式，采购人在协议签署后，学位论文开始上传前，向成交供应商预先支付部分服务费（按年度支付）。协议期内各年度支付次数不超过3次，第一笔服务费支付金额 20.00万元（大写：人民币贰拾万元整），年度支付总金额根据服务实际数量与成交综合单价的核算值，不超过37.00万元。</w:t>
            </w:r>
          </w:p>
          <w:p>
            <w:pPr>
              <w:spacing w:line="288" w:lineRule="auto"/>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服务费根据采购人学位论文送评进度、成交综合单价由平台自动计费。完成送评后，可在线申请下载《学位论文质量监测服务结算说明》（以下简称《结算说明》），《结算说明》中的服务费金额以实际返回评议意见的学位论文篇次数量计算，采用预付款方式核算，成交供应商根据实际产生的服务费用向采购人开具增值税普通发票。</w:t>
            </w:r>
          </w:p>
        </w:tc>
      </w:tr>
    </w:tbl>
    <w:p>
      <w:pPr>
        <w:spacing w:line="288" w:lineRule="auto"/>
        <w:ind w:firstLine="420" w:firstLineChars="200"/>
        <w:rPr>
          <w:rFonts w:ascii="宋体" w:hAnsi="宋体" w:cs="宋体"/>
          <w:sz w:val="21"/>
          <w:szCs w:val="21"/>
        </w:rPr>
      </w:pPr>
    </w:p>
    <w:p>
      <w:pPr>
        <w:numPr>
          <w:ilvl w:val="0"/>
          <w:numId w:val="3"/>
        </w:numPr>
        <w:spacing w:line="288" w:lineRule="auto"/>
      </w:pPr>
      <w:r>
        <w:rPr>
          <w:rFonts w:hint="eastAsia" w:ascii="宋体" w:hAnsi="宋体"/>
          <w:b/>
          <w:sz w:val="24"/>
        </w:rPr>
        <w:t>服务时间</w:t>
      </w: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55"/>
        <w:gridCol w:w="74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19"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服务时间</w:t>
            </w:r>
          </w:p>
        </w:tc>
        <w:tc>
          <w:tcPr>
            <w:tcW w:w="3880" w:type="pct"/>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spacing w:val="-6"/>
                <w:sz w:val="21"/>
                <w:szCs w:val="21"/>
              </w:rPr>
            </w:pPr>
            <w:r>
              <w:rPr>
                <w:rFonts w:hint="eastAsia" w:ascii="宋体" w:hAnsi="宋体" w:cs="宋体"/>
                <w:spacing w:val="-6"/>
                <w:sz w:val="21"/>
                <w:szCs w:val="21"/>
              </w:rPr>
              <w:t>合同签订之日- 2024年9月30日。</w:t>
            </w:r>
          </w:p>
        </w:tc>
      </w:tr>
    </w:tbl>
    <w:p>
      <w:pPr>
        <w:spacing w:line="288" w:lineRule="auto"/>
        <w:ind w:firstLine="420" w:firstLineChars="200"/>
        <w:rPr>
          <w:rFonts w:ascii="宋体" w:hAnsi="宋体"/>
          <w:bCs/>
          <w:sz w:val="21"/>
          <w:szCs w:val="21"/>
        </w:rPr>
      </w:pPr>
    </w:p>
    <w:p>
      <w:pPr>
        <w:spacing w:line="288" w:lineRule="auto"/>
        <w:rPr>
          <w:rFonts w:ascii="宋体" w:hAnsi="宋体"/>
          <w:b/>
          <w:sz w:val="24"/>
        </w:rPr>
      </w:pPr>
      <w:r>
        <w:rPr>
          <w:rFonts w:hint="eastAsia" w:ascii="宋体" w:hAnsi="宋体"/>
          <w:b/>
          <w:sz w:val="24"/>
        </w:rPr>
        <w:t>三、服务内容</w:t>
      </w:r>
    </w:p>
    <w:p>
      <w:pPr>
        <w:spacing w:line="300" w:lineRule="auto"/>
        <w:rPr>
          <w:rFonts w:ascii="宋体" w:hAnsi="宋体"/>
          <w:b/>
          <w:bCs/>
          <w:sz w:val="21"/>
          <w:szCs w:val="21"/>
        </w:rPr>
      </w:pPr>
      <w:r>
        <w:rPr>
          <w:rFonts w:hint="eastAsia" w:ascii="宋体" w:hAnsi="宋体"/>
          <w:b/>
          <w:bCs/>
          <w:sz w:val="21"/>
          <w:szCs w:val="21"/>
        </w:rPr>
        <w:t>（一）</w:t>
      </w:r>
      <w:r>
        <w:rPr>
          <w:rFonts w:ascii="宋体" w:hAnsi="宋体"/>
          <w:b/>
          <w:bCs/>
          <w:sz w:val="21"/>
          <w:szCs w:val="21"/>
        </w:rPr>
        <w:t>项目需求</w:t>
      </w:r>
    </w:p>
    <w:p>
      <w:pPr>
        <w:spacing w:line="300" w:lineRule="auto"/>
        <w:ind w:firstLine="420" w:firstLineChars="200"/>
        <w:rPr>
          <w:rFonts w:ascii="宋体" w:hAnsi="宋体"/>
          <w:sz w:val="21"/>
          <w:szCs w:val="21"/>
        </w:rPr>
      </w:pPr>
      <w:r>
        <w:rPr>
          <w:rFonts w:ascii="宋体" w:hAnsi="宋体"/>
          <w:sz w:val="21"/>
          <w:szCs w:val="21"/>
        </w:rPr>
        <w:t>1.</w:t>
      </w:r>
      <w:r>
        <w:rPr>
          <w:rFonts w:hint="eastAsia" w:ascii="宋体" w:hAnsi="宋体"/>
          <w:sz w:val="21"/>
          <w:szCs w:val="21"/>
        </w:rPr>
        <w:t>平台提供的服务范围</w:t>
      </w:r>
      <w:r>
        <w:rPr>
          <w:rFonts w:ascii="宋体" w:hAnsi="宋体"/>
          <w:sz w:val="21"/>
          <w:szCs w:val="21"/>
        </w:rPr>
        <w:t>：平台要为</w:t>
      </w:r>
      <w:r>
        <w:rPr>
          <w:rFonts w:hint="eastAsia" w:ascii="宋体" w:hAnsi="宋体"/>
          <w:sz w:val="21"/>
          <w:szCs w:val="21"/>
        </w:rPr>
        <w:t>采购人提供学位论文质量监测服务，全</w:t>
      </w:r>
      <w:r>
        <w:rPr>
          <w:rFonts w:ascii="宋体" w:hAnsi="宋体"/>
          <w:sz w:val="21"/>
          <w:szCs w:val="21"/>
        </w:rPr>
        <w:t>国范围内博士、硕士学位论文评议专家资源，保证专家信息的准确性且评议过程中不能干扰专家评议；平台要定期更新和维护专家信息</w:t>
      </w:r>
      <w:r>
        <w:rPr>
          <w:rFonts w:hint="eastAsia" w:ascii="宋体" w:hAnsi="宋体"/>
          <w:sz w:val="21"/>
          <w:szCs w:val="21"/>
        </w:rPr>
        <w:t>。</w:t>
      </w:r>
    </w:p>
    <w:p>
      <w:pPr>
        <w:spacing w:line="300" w:lineRule="auto"/>
        <w:ind w:firstLine="420" w:firstLineChars="200"/>
        <w:rPr>
          <w:rFonts w:ascii="宋体" w:hAnsi="宋体"/>
          <w:sz w:val="21"/>
          <w:szCs w:val="21"/>
        </w:rPr>
      </w:pPr>
      <w:r>
        <w:rPr>
          <w:rFonts w:ascii="宋体" w:hAnsi="宋体"/>
          <w:sz w:val="21"/>
          <w:szCs w:val="21"/>
        </w:rPr>
        <w:t>2.平台操作培训和技术保障：平台要提供必要的操作培训，并提供和更新平台操作视频、规程等资料，在评议过程中，平台要解决送评过程中遇到的平台技术问题，为</w:t>
      </w:r>
      <w:r>
        <w:rPr>
          <w:rFonts w:hint="eastAsia" w:ascii="宋体" w:hAnsi="宋体"/>
          <w:sz w:val="21"/>
          <w:szCs w:val="21"/>
        </w:rPr>
        <w:t>采购人</w:t>
      </w:r>
      <w:r>
        <w:rPr>
          <w:rFonts w:ascii="宋体" w:hAnsi="宋体"/>
          <w:sz w:val="21"/>
          <w:szCs w:val="21"/>
        </w:rPr>
        <w:t>论文评议工作提供技术支持保障。</w:t>
      </w:r>
    </w:p>
    <w:p>
      <w:pPr>
        <w:spacing w:line="300" w:lineRule="auto"/>
        <w:ind w:firstLine="420" w:firstLine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平台的使用账号和密码：平台提供采购人相关账户和密码供采购人学位办和相关二级学院管理和使用。</w:t>
      </w:r>
    </w:p>
    <w:p>
      <w:pPr>
        <w:spacing w:line="300" w:lineRule="auto"/>
        <w:ind w:firstLine="420" w:firstLineChars="200"/>
        <w:rPr>
          <w:rFonts w:ascii="宋体" w:hAnsi="宋体"/>
          <w:sz w:val="21"/>
          <w:szCs w:val="21"/>
        </w:rPr>
      </w:pPr>
      <w:r>
        <w:rPr>
          <w:rFonts w:ascii="宋体" w:hAnsi="宋体"/>
          <w:sz w:val="21"/>
          <w:szCs w:val="21"/>
        </w:rPr>
        <w:t>4.学位论文评议工作：</w:t>
      </w:r>
      <w:r>
        <w:rPr>
          <w:rFonts w:hint="eastAsia" w:ascii="宋体" w:hAnsi="宋体"/>
          <w:sz w:val="21"/>
          <w:szCs w:val="21"/>
        </w:rPr>
        <w:t>在</w:t>
      </w:r>
      <w:r>
        <w:rPr>
          <w:rFonts w:ascii="宋体" w:hAnsi="宋体"/>
          <w:sz w:val="21"/>
          <w:szCs w:val="21"/>
        </w:rPr>
        <w:t>平台</w:t>
      </w:r>
      <w:r>
        <w:rPr>
          <w:rFonts w:hint="eastAsia" w:ascii="宋体" w:hAnsi="宋体"/>
          <w:sz w:val="21"/>
          <w:szCs w:val="21"/>
        </w:rPr>
        <w:t>上</w:t>
      </w:r>
      <w:r>
        <w:rPr>
          <w:rFonts w:ascii="宋体" w:hAnsi="宋体"/>
          <w:sz w:val="21"/>
          <w:szCs w:val="21"/>
        </w:rPr>
        <w:t>，</w:t>
      </w:r>
      <w:r>
        <w:rPr>
          <w:rFonts w:hint="eastAsia" w:ascii="宋体" w:hAnsi="宋体"/>
          <w:sz w:val="21"/>
          <w:szCs w:val="21"/>
        </w:rPr>
        <w:t>采购人按照平台</w:t>
      </w:r>
      <w:r>
        <w:rPr>
          <w:rFonts w:ascii="宋体" w:hAnsi="宋体"/>
          <w:sz w:val="21"/>
          <w:szCs w:val="21"/>
        </w:rPr>
        <w:t>对学位论文评议格式规范</w:t>
      </w:r>
      <w:r>
        <w:rPr>
          <w:rFonts w:hint="eastAsia" w:ascii="宋体" w:hAnsi="宋体"/>
          <w:sz w:val="21"/>
          <w:szCs w:val="21"/>
        </w:rPr>
        <w:t>要求填写学位论文信息并上传学位论文评议信息及材料，自主开展</w:t>
      </w:r>
      <w:r>
        <w:rPr>
          <w:rFonts w:ascii="宋体" w:hAnsi="宋体"/>
          <w:sz w:val="21"/>
          <w:szCs w:val="21"/>
        </w:rPr>
        <w:t>博士、硕士学位论文评议工作</w:t>
      </w:r>
      <w:r>
        <w:rPr>
          <w:rFonts w:hint="eastAsia" w:ascii="宋体" w:hAnsi="宋体"/>
          <w:sz w:val="21"/>
          <w:szCs w:val="21"/>
        </w:rPr>
        <w:t>：自行决定</w:t>
      </w:r>
      <w:r>
        <w:rPr>
          <w:rFonts w:ascii="宋体" w:hAnsi="宋体"/>
          <w:sz w:val="21"/>
          <w:szCs w:val="21"/>
        </w:rPr>
        <w:t>初评、复评、增评、减评等</w:t>
      </w:r>
      <w:r>
        <w:rPr>
          <w:rFonts w:hint="eastAsia" w:ascii="宋体" w:hAnsi="宋体"/>
          <w:sz w:val="21"/>
          <w:szCs w:val="21"/>
        </w:rPr>
        <w:t>环节的送评流程，以及专家评议结果的使用和处理</w:t>
      </w:r>
      <w:r>
        <w:rPr>
          <w:rFonts w:ascii="宋体" w:hAnsi="宋体"/>
          <w:sz w:val="21"/>
          <w:szCs w:val="21"/>
        </w:rPr>
        <w:t>；自主制定学位论文评议要求，并设置和配置博士、硕士学位论文评议书模板；在评议过程中，能依托平台实时跟踪进度，并能提醒评议专家及时完成评议，专家对学位论文研究内容熟悉程度为“不熟悉”或拒绝评议学位论文或因专家个人原因超过评议时限未提交评议意见时，平台能自动解除评议关系并重新遴选专家</w:t>
      </w:r>
      <w:r>
        <w:rPr>
          <w:rFonts w:hint="eastAsia" w:ascii="宋体" w:hAnsi="宋体"/>
          <w:sz w:val="21"/>
          <w:szCs w:val="21"/>
        </w:rPr>
        <w:t>。</w:t>
      </w:r>
      <w:r>
        <w:rPr>
          <w:rFonts w:ascii="宋体" w:hAnsi="宋体"/>
          <w:sz w:val="21"/>
          <w:szCs w:val="21"/>
        </w:rPr>
        <w:t>对当前存在评议专家数量不足情况的学位论文</w:t>
      </w:r>
      <w:r>
        <w:rPr>
          <w:rFonts w:hint="eastAsia" w:ascii="宋体" w:hAnsi="宋体"/>
          <w:sz w:val="21"/>
          <w:szCs w:val="21"/>
        </w:rPr>
        <w:t>能</w:t>
      </w:r>
      <w:r>
        <w:rPr>
          <w:rFonts w:ascii="宋体" w:hAnsi="宋体"/>
          <w:sz w:val="21"/>
          <w:szCs w:val="21"/>
        </w:rPr>
        <w:t>及时补充遴选专家；在完成评议后，可获得评议意见书和评议结果汇总数据。</w:t>
      </w:r>
    </w:p>
    <w:p>
      <w:pPr>
        <w:widowControl/>
        <w:numPr>
          <w:ilvl w:val="255"/>
          <w:numId w:val="0"/>
        </w:numPr>
        <w:spacing w:line="300" w:lineRule="auto"/>
        <w:ind w:firstLine="420" w:firstLineChars="200"/>
        <w:rPr>
          <w:rFonts w:ascii="宋体" w:hAnsi="宋体"/>
          <w:sz w:val="21"/>
          <w:szCs w:val="21"/>
        </w:rPr>
      </w:pPr>
      <w:r>
        <w:rPr>
          <w:rFonts w:ascii="宋体" w:hAnsi="宋体"/>
          <w:sz w:val="21"/>
          <w:szCs w:val="21"/>
        </w:rPr>
        <w:t>5.精准遴选评议专家：平台要按学位论文所属一级学科名称和专业学位类别名称遴选专家，并根据学位论文的研究方向</w:t>
      </w:r>
      <w:r>
        <w:rPr>
          <w:rFonts w:hint="eastAsia" w:ascii="宋体" w:hAnsi="宋体"/>
          <w:sz w:val="21"/>
          <w:szCs w:val="21"/>
        </w:rPr>
        <w:t>（内容可进行</w:t>
      </w:r>
      <w:r>
        <w:rPr>
          <w:rFonts w:ascii="宋体" w:hAnsi="宋体"/>
          <w:sz w:val="21"/>
          <w:szCs w:val="21"/>
        </w:rPr>
        <w:t>补充</w:t>
      </w:r>
      <w:r>
        <w:rPr>
          <w:rFonts w:hint="eastAsia" w:ascii="宋体" w:hAnsi="宋体"/>
          <w:sz w:val="21"/>
          <w:szCs w:val="21"/>
        </w:rPr>
        <w:t>、</w:t>
      </w:r>
      <w:r>
        <w:rPr>
          <w:rFonts w:ascii="宋体" w:hAnsi="宋体"/>
          <w:sz w:val="21"/>
          <w:szCs w:val="21"/>
        </w:rPr>
        <w:t>修正</w:t>
      </w:r>
      <w:r>
        <w:rPr>
          <w:rFonts w:hint="eastAsia" w:ascii="宋体" w:hAnsi="宋体"/>
          <w:sz w:val="21"/>
          <w:szCs w:val="21"/>
        </w:rPr>
        <w:t>）</w:t>
      </w:r>
      <w:r>
        <w:rPr>
          <w:rFonts w:ascii="宋体" w:hAnsi="宋体"/>
          <w:sz w:val="21"/>
          <w:szCs w:val="21"/>
        </w:rPr>
        <w:t>、关键词、论文题目与专家研究方向进行匹配，筛选对口专业和研究方向的评议专家</w:t>
      </w:r>
      <w:r>
        <w:rPr>
          <w:rFonts w:hint="eastAsia" w:ascii="宋体" w:hAnsi="宋体"/>
          <w:sz w:val="21"/>
          <w:szCs w:val="21"/>
        </w:rPr>
        <w:t>且</w:t>
      </w:r>
      <w:r>
        <w:rPr>
          <w:rFonts w:ascii="宋体" w:hAnsi="宋体"/>
          <w:sz w:val="21"/>
          <w:szCs w:val="21"/>
        </w:rPr>
        <w:t>回避本校专家</w:t>
      </w:r>
      <w:r>
        <w:rPr>
          <w:rFonts w:hint="eastAsia" w:ascii="宋体" w:hAnsi="宋体"/>
          <w:sz w:val="21"/>
          <w:szCs w:val="21"/>
        </w:rPr>
        <w:t>，专家来源单位为与采购人同层次及高于采购人层次的</w:t>
      </w:r>
      <w:r>
        <w:rPr>
          <w:rFonts w:ascii="宋体" w:hAnsi="宋体"/>
          <w:sz w:val="21"/>
          <w:szCs w:val="21"/>
        </w:rPr>
        <w:t>建设高校和科研院所；博士学位论文聘请博士生导师或教授评议，硕士学位论文聘请硕士生导师评议；学术学位论文优先聘请学术学位研究生导师，专业学位论文优先聘请专业学位研究生导师。</w:t>
      </w:r>
    </w:p>
    <w:p>
      <w:pPr>
        <w:widowControl/>
        <w:numPr>
          <w:ilvl w:val="255"/>
          <w:numId w:val="0"/>
        </w:numPr>
        <w:spacing w:line="300" w:lineRule="auto"/>
        <w:ind w:firstLine="420" w:firstLineChars="200"/>
        <w:rPr>
          <w:rFonts w:ascii="宋体" w:hAnsi="宋体"/>
          <w:sz w:val="21"/>
          <w:szCs w:val="21"/>
        </w:rPr>
      </w:pPr>
      <w:r>
        <w:rPr>
          <w:rFonts w:hint="eastAsia" w:ascii="宋体" w:hAnsi="宋体"/>
          <w:sz w:val="21"/>
          <w:szCs w:val="21"/>
        </w:rPr>
        <w:t>此外，平台能根据采购人的实际需要，设置个性化评议专家遴选方案。</w:t>
      </w:r>
    </w:p>
    <w:p>
      <w:pPr>
        <w:spacing w:line="300" w:lineRule="auto"/>
        <w:ind w:firstLine="420" w:firstLineChars="200"/>
        <w:rPr>
          <w:rFonts w:ascii="宋体" w:hAnsi="宋体"/>
          <w:sz w:val="21"/>
          <w:szCs w:val="21"/>
        </w:rPr>
      </w:pPr>
      <w:r>
        <w:rPr>
          <w:rFonts w:ascii="宋体" w:hAnsi="宋体"/>
          <w:sz w:val="21"/>
          <w:szCs w:val="21"/>
        </w:rPr>
        <w:t>6.</w:t>
      </w:r>
      <w:r>
        <w:rPr>
          <w:rFonts w:hint="eastAsia" w:ascii="宋体" w:hAnsi="宋体"/>
          <w:sz w:val="21"/>
          <w:szCs w:val="21"/>
        </w:rPr>
        <w:t>在平台提供采购人专家库：采购人在平台中提供</w:t>
      </w:r>
      <w:r>
        <w:rPr>
          <w:rFonts w:ascii="宋体" w:hAnsi="宋体"/>
          <w:sz w:val="21"/>
          <w:szCs w:val="21"/>
        </w:rPr>
        <w:t>专业技术职务为副高级及以上的博士生导师、硕士生导师及专业学位校外行业导师作为学位论文评议专家，并在协议有效期内无偿协助</w:t>
      </w:r>
      <w:r>
        <w:rPr>
          <w:rFonts w:hint="eastAsia" w:ascii="宋体" w:hAnsi="宋体"/>
          <w:sz w:val="21"/>
          <w:szCs w:val="21"/>
        </w:rPr>
        <w:t>供应商</w:t>
      </w:r>
      <w:r>
        <w:rPr>
          <w:rFonts w:ascii="宋体" w:hAnsi="宋体"/>
          <w:sz w:val="21"/>
          <w:szCs w:val="21"/>
        </w:rPr>
        <w:t>对上述专家资源进行更新及维护。</w:t>
      </w:r>
    </w:p>
    <w:p>
      <w:pPr>
        <w:spacing w:line="300" w:lineRule="auto"/>
        <w:ind w:firstLine="420" w:firstLineChars="200"/>
        <w:rPr>
          <w:rFonts w:ascii="宋体" w:hAnsi="宋体"/>
          <w:sz w:val="21"/>
          <w:szCs w:val="21"/>
        </w:rPr>
      </w:pPr>
      <w:r>
        <w:rPr>
          <w:rFonts w:ascii="宋体" w:hAnsi="宋体"/>
          <w:sz w:val="21"/>
          <w:szCs w:val="21"/>
        </w:rPr>
        <w:t>7.平台向实际参与评议的专家支付专家劳务费</w:t>
      </w:r>
      <w:r>
        <w:rPr>
          <w:rFonts w:hint="eastAsia" w:ascii="宋体" w:hAnsi="宋体"/>
          <w:sz w:val="21"/>
          <w:szCs w:val="21"/>
        </w:rPr>
        <w:t>。</w:t>
      </w:r>
    </w:p>
    <w:p>
      <w:pPr>
        <w:spacing w:line="300" w:lineRule="auto"/>
        <w:ind w:firstLine="420" w:firstLineChars="200"/>
        <w:rPr>
          <w:rFonts w:ascii="宋体" w:hAnsi="宋体"/>
          <w:sz w:val="21"/>
          <w:szCs w:val="21"/>
        </w:rPr>
      </w:pPr>
      <w:r>
        <w:rPr>
          <w:rFonts w:ascii="宋体" w:hAnsi="宋体"/>
          <w:sz w:val="21"/>
          <w:szCs w:val="21"/>
        </w:rPr>
        <w:t>8.平台要严格做到双盲评审，</w:t>
      </w:r>
      <w:r>
        <w:rPr>
          <w:rFonts w:hint="eastAsia" w:ascii="宋体" w:hAnsi="宋体"/>
          <w:sz w:val="21"/>
          <w:szCs w:val="21"/>
        </w:rPr>
        <w:t>不能指定评议专家，不能</w:t>
      </w:r>
      <w:r>
        <w:rPr>
          <w:rFonts w:ascii="宋体" w:hAnsi="宋体"/>
          <w:sz w:val="21"/>
          <w:szCs w:val="21"/>
        </w:rPr>
        <w:t>干扰专家评议</w:t>
      </w:r>
      <w:r>
        <w:rPr>
          <w:rFonts w:hint="eastAsia" w:ascii="宋体" w:hAnsi="宋体"/>
          <w:sz w:val="21"/>
          <w:szCs w:val="21"/>
        </w:rPr>
        <w:t>，不篡改评议结果，</w:t>
      </w:r>
      <w:r>
        <w:rPr>
          <w:rFonts w:ascii="宋体" w:hAnsi="宋体"/>
          <w:sz w:val="21"/>
          <w:szCs w:val="21"/>
        </w:rPr>
        <w:t>保证评议结果的真实性。</w:t>
      </w:r>
      <w:r>
        <w:rPr>
          <w:rFonts w:hint="eastAsia" w:ascii="宋体" w:hAnsi="宋体"/>
          <w:sz w:val="21"/>
          <w:szCs w:val="21"/>
        </w:rPr>
        <w:t>对采购人</w:t>
      </w:r>
      <w:r>
        <w:rPr>
          <w:rFonts w:ascii="宋体" w:hAnsi="宋体"/>
          <w:sz w:val="21"/>
          <w:szCs w:val="21"/>
        </w:rPr>
        <w:t>开始专家遴选操作25天以上的博士学位论文、20天以上的硕士学位论文进行跟踪提醒。</w:t>
      </w:r>
      <w:r>
        <w:rPr>
          <w:rFonts w:hint="eastAsia" w:ascii="宋体" w:hAnsi="宋体"/>
          <w:sz w:val="21"/>
          <w:szCs w:val="21"/>
        </w:rPr>
        <w:t>评议结束后，对于存在异议的评议意见，</w:t>
      </w:r>
      <w:r>
        <w:rPr>
          <w:rFonts w:ascii="宋体" w:hAnsi="宋体"/>
          <w:sz w:val="21"/>
          <w:szCs w:val="21"/>
        </w:rPr>
        <w:t>平台要协助</w:t>
      </w:r>
      <w:r>
        <w:rPr>
          <w:rFonts w:hint="eastAsia" w:ascii="宋体" w:hAnsi="宋体"/>
          <w:sz w:val="21"/>
          <w:szCs w:val="21"/>
        </w:rPr>
        <w:t>采购人与评议专家协商解决，采购人不直接与评议专家直接联系和沟通</w:t>
      </w:r>
      <w:r>
        <w:rPr>
          <w:rFonts w:ascii="宋体" w:hAnsi="宋体"/>
          <w:sz w:val="21"/>
          <w:szCs w:val="21"/>
        </w:rPr>
        <w:t>。</w:t>
      </w:r>
      <w:r>
        <w:rPr>
          <w:rFonts w:hint="eastAsia" w:ascii="宋体" w:hAnsi="宋体"/>
          <w:sz w:val="21"/>
          <w:szCs w:val="21"/>
        </w:rPr>
        <w:t>平台不受理</w:t>
      </w:r>
      <w:r>
        <w:rPr>
          <w:rFonts w:ascii="宋体" w:hAnsi="宋体"/>
          <w:sz w:val="21"/>
          <w:szCs w:val="21"/>
        </w:rPr>
        <w:t>任何学生、导师个人对评议结果提出的异议。</w:t>
      </w:r>
    </w:p>
    <w:p>
      <w:pPr>
        <w:numPr>
          <w:ilvl w:val="255"/>
          <w:numId w:val="0"/>
        </w:numPr>
        <w:spacing w:line="300" w:lineRule="auto"/>
        <w:ind w:firstLine="420" w:firstLineChars="200"/>
        <w:rPr>
          <w:rFonts w:ascii="宋体" w:hAnsi="宋体"/>
          <w:sz w:val="21"/>
          <w:szCs w:val="21"/>
        </w:rPr>
      </w:pPr>
      <w:r>
        <w:rPr>
          <w:rFonts w:ascii="宋体" w:hAnsi="宋体"/>
          <w:sz w:val="21"/>
          <w:szCs w:val="21"/>
        </w:rPr>
        <w:t>9</w:t>
      </w:r>
      <w:r>
        <w:rPr>
          <w:rFonts w:hint="eastAsia" w:ascii="宋体" w:hAnsi="宋体"/>
          <w:sz w:val="21"/>
          <w:szCs w:val="21"/>
        </w:rPr>
        <w:t>.平台</w:t>
      </w:r>
      <w:r>
        <w:rPr>
          <w:rFonts w:ascii="宋体" w:hAnsi="宋体"/>
          <w:sz w:val="21"/>
          <w:szCs w:val="21"/>
        </w:rPr>
        <w:t>不得向除评议专家外的其他个人或第三方机构提供</w:t>
      </w:r>
      <w:r>
        <w:rPr>
          <w:rFonts w:hint="eastAsia" w:ascii="宋体" w:hAnsi="宋体"/>
          <w:sz w:val="21"/>
          <w:szCs w:val="21"/>
        </w:rPr>
        <w:t>采购人</w:t>
      </w:r>
      <w:r>
        <w:rPr>
          <w:rFonts w:ascii="宋体" w:hAnsi="宋体"/>
          <w:sz w:val="21"/>
          <w:szCs w:val="21"/>
        </w:rPr>
        <w:t>任何材料和信息，包括但不限于评阅书内容、评议规则、学位论文信息、评议意见等，不得向任何第三方透露参评专家信息。</w:t>
      </w:r>
    </w:p>
    <w:p>
      <w:pPr>
        <w:spacing w:line="288" w:lineRule="auto"/>
        <w:jc w:val="center"/>
        <w:outlineLvl w:val="0"/>
        <w:rPr>
          <w:rFonts w:ascii="宋体" w:hAnsi="宋体"/>
          <w:b/>
          <w:bCs/>
          <w:sz w:val="21"/>
          <w:szCs w:val="21"/>
        </w:rPr>
      </w:pPr>
      <w:r>
        <w:rPr>
          <w:rFonts w:ascii="宋体" w:hAnsi="宋体"/>
          <w:b/>
          <w:bCs/>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项目名称：浙江工商大学智能化学位论文送审及监测管理服务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11楼A室浙江求是招标代理有限公司李聪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本单一来源采购适用于浙江工商大学智能化学位论文送审及监测管理服务的采购、评审、验收、合同履约、付款等（法律、法规另有规定的，从其规定）。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1、招标采购单位系指组织本次招标的浙江求是招标代理有限公司（采购组织机构）和浙江工商大学（采购方）。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3、“产品”系指供方按单一来源采购规定，须向采购方提供的一切智能化学位论文送审及监测管理服务系统、使用说明及其它有关技术资料和材料。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5、“项目”系指单一来源采购响应方按单一来源采购规定向采购方提供的智能化学位论文送审及监测管理服务系统及其服务。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9、每个标项为一个项目。</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1"/>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1"/>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spacing w:line="288" w:lineRule="auto"/>
        <w:ind w:firstLine="396" w:firstLineChars="200"/>
        <w:jc w:val="left"/>
        <w:rPr>
          <w:rFonts w:ascii="宋体" w:hAnsi="宋体"/>
          <w:bCs/>
          <w:spacing w:val="-6"/>
          <w:sz w:val="21"/>
          <w:szCs w:val="21"/>
        </w:rPr>
      </w:pPr>
      <w:r>
        <w:rPr>
          <w:rFonts w:hint="eastAsia" w:ascii="宋体" w:hAnsi="宋体"/>
          <w:bCs/>
          <w:spacing w:val="-6"/>
          <w:sz w:val="21"/>
          <w:szCs w:val="21"/>
        </w:rPr>
        <w:t>2、成交供应商在成交通知书发出之日起七个工作日内，向采购代理机构交纳代理服务费，收费标准：（差额累进）：</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88"/>
        <w:gridCol w:w="31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988"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中标金额（万元）</w:t>
            </w:r>
          </w:p>
        </w:tc>
        <w:tc>
          <w:tcPr>
            <w:tcW w:w="3199"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988"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100以下</w:t>
            </w:r>
          </w:p>
        </w:tc>
        <w:tc>
          <w:tcPr>
            <w:tcW w:w="3199"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ascii="宋体" w:hAnsi="宋体"/>
                <w:sz w:val="21"/>
                <w:szCs w:val="21"/>
              </w:rPr>
              <w:t>1.05（不足贰仟元按贰仟元计）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988" w:type="dxa"/>
            <w:tcMar>
              <w:top w:w="0" w:type="dxa"/>
              <w:left w:w="108" w:type="dxa"/>
              <w:bottom w:w="0" w:type="dxa"/>
              <w:right w:w="108" w:type="dxa"/>
            </w:tcMar>
            <w:vAlign w:val="center"/>
          </w:tcPr>
          <w:p>
            <w:pPr>
              <w:adjustRightInd w:val="0"/>
              <w:snapToGrid w:val="0"/>
              <w:spacing w:line="288" w:lineRule="auto"/>
              <w:jc w:val="center"/>
              <w:rPr>
                <w:rFonts w:ascii="宋体" w:hAnsi="宋体"/>
                <w:sz w:val="21"/>
                <w:szCs w:val="21"/>
              </w:rPr>
            </w:pPr>
            <w:r>
              <w:rPr>
                <w:rFonts w:hint="eastAsia" w:ascii="宋体" w:hAnsi="宋体"/>
                <w:sz w:val="21"/>
                <w:szCs w:val="21"/>
              </w:rPr>
              <w:t>100-200</w:t>
            </w:r>
          </w:p>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（超过200万按200万计算）</w:t>
            </w:r>
          </w:p>
        </w:tc>
        <w:tc>
          <w:tcPr>
            <w:tcW w:w="3199"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ascii="宋体" w:hAnsi="宋体"/>
                <w:sz w:val="21"/>
                <w:szCs w:val="21"/>
              </w:rPr>
              <w:t>0.56</w:t>
            </w:r>
          </w:p>
        </w:tc>
      </w:tr>
    </w:tbl>
    <w:p>
      <w:pPr>
        <w:pStyle w:val="11"/>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1"/>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1"/>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1"/>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2、响应文件需提供的材料（详见第四章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（2）初次报价明细表；</w:t>
      </w:r>
    </w:p>
    <w:p>
      <w:pPr>
        <w:pStyle w:val="11"/>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（2）资格条件承诺函</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（5）响应方自201</w:t>
      </w:r>
      <w:r>
        <w:rPr>
          <w:rFonts w:ascii="宋体" w:hAnsi="宋体"/>
          <w:spacing w:val="-6"/>
          <w:sz w:val="21"/>
          <w:szCs w:val="21"/>
        </w:rPr>
        <w:t>8</w:t>
      </w:r>
      <w:r>
        <w:rPr>
          <w:rFonts w:hint="eastAsia" w:ascii="宋体" w:hAnsi="宋体"/>
          <w:spacing w:val="-6"/>
          <w:sz w:val="21"/>
          <w:szCs w:val="21"/>
        </w:rPr>
        <w:t>年1月1日以来（以合同签订时间为准）相关成功案例和业绩证明（项目实施情况一览表、合同）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（2）技术方案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优惠条件：</w:t>
      </w:r>
      <w:r>
        <w:rPr>
          <w:rFonts w:hint="eastAsia" w:ascii="宋体" w:hAnsi="宋体"/>
          <w:spacing w:val="-6"/>
          <w:sz w:val="21"/>
          <w:szCs w:val="21"/>
        </w:rPr>
        <w:t>响应方</w:t>
      </w:r>
      <w:r>
        <w:rPr>
          <w:rFonts w:ascii="宋体" w:hAnsi="宋体"/>
          <w:spacing w:val="-6"/>
          <w:sz w:val="21"/>
          <w:szCs w:val="21"/>
        </w:rPr>
        <w:t>承诺给予</w:t>
      </w:r>
      <w:r>
        <w:rPr>
          <w:rFonts w:hint="eastAsia" w:ascii="宋体" w:hAnsi="宋体"/>
          <w:spacing w:val="-6"/>
          <w:sz w:val="21"/>
          <w:szCs w:val="21"/>
        </w:rPr>
        <w:t>采购人</w:t>
      </w:r>
      <w:r>
        <w:rPr>
          <w:rFonts w:ascii="宋体" w:hAnsi="宋体"/>
          <w:spacing w:val="-6"/>
          <w:sz w:val="21"/>
          <w:szCs w:val="21"/>
        </w:rPr>
        <w:t>的各种优惠条件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响应方</w:t>
      </w:r>
      <w:r>
        <w:rPr>
          <w:rFonts w:ascii="宋体" w:hAnsi="宋体"/>
          <w:spacing w:val="-6"/>
          <w:sz w:val="21"/>
          <w:szCs w:val="21"/>
        </w:rPr>
        <w:t>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3"/>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3"/>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1"/>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（1）需提供而未提供或未如实提供单一来源采购响应货物的技术参数、详细配置清单、或者单一来源采购响应文件标明的响应或偏离与事实不符或虚假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1"/>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1"/>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1"/>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1"/>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1"/>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1"/>
        <w:spacing w:line="288" w:lineRule="auto"/>
        <w:ind w:firstLine="0"/>
        <w:rPr>
          <w:rFonts w:hAnsi="宋体"/>
          <w:b/>
          <w:spacing w:val="-6"/>
          <w:sz w:val="21"/>
          <w:szCs w:val="21"/>
        </w:rPr>
      </w:pPr>
      <w:r>
        <w:rPr>
          <w:rFonts w:hAnsi="宋体"/>
          <w:b/>
          <w:spacing w:val="-6"/>
          <w:sz w:val="21"/>
          <w:szCs w:val="21"/>
        </w:rPr>
        <w:t>（一）开标准备</w:t>
      </w:r>
    </w:p>
    <w:p>
      <w:pPr>
        <w:pStyle w:val="13"/>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1"/>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3"/>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1"/>
        <w:spacing w:line="288" w:lineRule="auto"/>
        <w:ind w:firstLine="0"/>
        <w:rPr>
          <w:rFonts w:hAnsi="宋体"/>
          <w:b/>
          <w:spacing w:val="-6"/>
          <w:sz w:val="21"/>
          <w:szCs w:val="21"/>
        </w:rPr>
      </w:pPr>
      <w:r>
        <w:rPr>
          <w:rFonts w:hAnsi="宋体"/>
          <w:b/>
          <w:spacing w:val="-6"/>
          <w:sz w:val="21"/>
          <w:szCs w:val="21"/>
        </w:rPr>
        <w:t>（二）评审的方式</w:t>
      </w:r>
    </w:p>
    <w:p>
      <w:pPr>
        <w:pStyle w:val="13"/>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1"/>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响应方确认货物的配置及商务要求并对谈判承诺确认后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1"/>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288" w:lineRule="auto"/>
        <w:ind w:right="1200"/>
        <w:jc w:val="right"/>
        <w:rPr>
          <w:rFonts w:hAnsi="宋体"/>
          <w:sz w:val="30"/>
          <w:szCs w:val="30"/>
        </w:rPr>
      </w:pPr>
      <w:r>
        <w:drawing>
          <wp:anchor distT="0" distB="0" distL="114300" distR="114300" simplePos="0" relativeHeight="251659264" behindDoc="0" locked="0" layoutInCell="1" allowOverlap="1">
            <wp:simplePos x="0" y="0"/>
            <wp:positionH relativeFrom="column">
              <wp:posOffset>205740</wp:posOffset>
            </wp:positionH>
            <wp:positionV relativeFrom="paragraph">
              <wp:posOffset>181610</wp:posOffset>
            </wp:positionV>
            <wp:extent cx="1402715" cy="1251585"/>
            <wp:effectExtent l="0" t="0" r="7620" b="571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02715" cy="1251585"/>
                    </a:xfrm>
                    <a:prstGeom prst="rect">
                      <a:avLst/>
                    </a:prstGeom>
                    <a:noFill/>
                    <a:ln w="9525">
                      <a:noFill/>
                      <a:miter lim="800000"/>
                      <a:headEnd/>
                      <a:tailEnd/>
                    </a:ln>
                  </pic:spPr>
                </pic:pic>
              </a:graphicData>
            </a:graphic>
          </wp:anchor>
        </w:drawing>
      </w:r>
    </w:p>
    <w:p>
      <w:pPr>
        <w:spacing w:line="288" w:lineRule="auto"/>
        <w:ind w:right="1200"/>
        <w:jc w:val="right"/>
        <w:rPr>
          <w:rFonts w:hAnsi="宋体"/>
          <w:sz w:val="30"/>
          <w:szCs w:val="30"/>
        </w:rPr>
      </w:pPr>
    </w:p>
    <w:p>
      <w:pPr>
        <w:spacing w:line="288" w:lineRule="auto"/>
        <w:ind w:right="1200"/>
        <w:jc w:val="right"/>
      </w:pPr>
      <w:r>
        <w:rPr>
          <w:rFonts w:hAnsi="宋体"/>
          <w:sz w:val="30"/>
          <w:szCs w:val="30"/>
        </w:rPr>
        <w:t>协议编号：</w:t>
      </w:r>
    </w:p>
    <w:p/>
    <w:p/>
    <w:p>
      <w:pPr>
        <w:spacing w:line="760" w:lineRule="exact"/>
        <w:jc w:val="center"/>
        <w:rPr>
          <w:b/>
          <w:sz w:val="56"/>
          <w:szCs w:val="56"/>
        </w:rPr>
      </w:pPr>
    </w:p>
    <w:p>
      <w:pPr>
        <w:jc w:val="center"/>
        <w:rPr>
          <w:b/>
          <w:sz w:val="72"/>
          <w:szCs w:val="72"/>
        </w:rPr>
      </w:pPr>
      <w:bookmarkStart w:id="0" w:name="_Hlk535327525"/>
      <w:r>
        <w:rPr>
          <w:rFonts w:hAnsi="宋体"/>
          <w:b/>
          <w:sz w:val="72"/>
          <w:szCs w:val="72"/>
        </w:rPr>
        <w:t>学位论文质量监测服务</w:t>
      </w:r>
    </w:p>
    <w:p>
      <w:pPr>
        <w:jc w:val="center"/>
        <w:rPr>
          <w:b/>
          <w:sz w:val="96"/>
          <w:szCs w:val="96"/>
        </w:rPr>
      </w:pPr>
      <w:r>
        <w:rPr>
          <w:rFonts w:hAnsi="宋体"/>
          <w:b/>
          <w:sz w:val="96"/>
          <w:szCs w:val="96"/>
        </w:rPr>
        <w:t>合</w:t>
      </w:r>
    </w:p>
    <w:p>
      <w:pPr>
        <w:jc w:val="center"/>
        <w:rPr>
          <w:b/>
          <w:sz w:val="96"/>
          <w:szCs w:val="96"/>
        </w:rPr>
      </w:pPr>
      <w:r>
        <w:rPr>
          <w:rFonts w:hAnsi="宋体"/>
          <w:b/>
          <w:sz w:val="96"/>
          <w:szCs w:val="96"/>
        </w:rPr>
        <w:t>作</w:t>
      </w:r>
    </w:p>
    <w:p>
      <w:pPr>
        <w:jc w:val="center"/>
        <w:rPr>
          <w:b/>
          <w:sz w:val="96"/>
          <w:szCs w:val="96"/>
        </w:rPr>
      </w:pPr>
      <w:r>
        <w:rPr>
          <w:rFonts w:hAnsi="宋体"/>
          <w:b/>
          <w:sz w:val="96"/>
          <w:szCs w:val="96"/>
        </w:rPr>
        <w:t>协</w:t>
      </w:r>
    </w:p>
    <w:p>
      <w:pPr>
        <w:spacing w:after="120" w:afterLines="50"/>
        <w:jc w:val="center"/>
        <w:rPr>
          <w:b/>
          <w:sz w:val="96"/>
          <w:szCs w:val="96"/>
        </w:rPr>
      </w:pPr>
      <w:r>
        <w:rPr>
          <w:rFonts w:hAnsi="宋体"/>
          <w:b/>
          <w:sz w:val="96"/>
          <w:szCs w:val="96"/>
        </w:rPr>
        <w:t>议</w:t>
      </w:r>
    </w:p>
    <w:p>
      <w:pPr>
        <w:spacing w:after="120" w:afterLines="50"/>
        <w:jc w:val="center"/>
        <w:rPr>
          <w:bCs/>
          <w:sz w:val="44"/>
          <w:szCs w:val="44"/>
        </w:rPr>
      </w:pPr>
      <w:r>
        <w:rPr>
          <w:rFonts w:hAnsi="宋体"/>
          <w:bCs/>
          <w:sz w:val="44"/>
          <w:szCs w:val="44"/>
        </w:rPr>
        <w:t>（浙江工商大学）</w:t>
      </w:r>
    </w:p>
    <w:p>
      <w:pPr>
        <w:spacing w:line="600" w:lineRule="auto"/>
        <w:ind w:left="2478" w:leftChars="885" w:firstLine="168" w:firstLineChars="56"/>
        <w:rPr>
          <w:sz w:val="30"/>
          <w:szCs w:val="30"/>
        </w:rPr>
      </w:pPr>
      <w:r>
        <w:rPr>
          <w:rFonts w:hAnsi="宋体"/>
          <w:sz w:val="30"/>
          <w:szCs w:val="30"/>
        </w:rPr>
        <w:t>签订日期：</w:t>
      </w:r>
      <w:r>
        <w:rPr>
          <w:sz w:val="30"/>
          <w:szCs w:val="30"/>
        </w:rPr>
        <w:t>2021</w:t>
      </w:r>
      <w:r>
        <w:rPr>
          <w:rFonts w:hAnsi="宋体"/>
          <w:sz w:val="30"/>
          <w:szCs w:val="30"/>
        </w:rPr>
        <w:t>年</w:t>
      </w:r>
      <w:r>
        <w:rPr>
          <w:rFonts w:hint="eastAsia" w:hAnsi="宋体"/>
          <w:sz w:val="30"/>
          <w:szCs w:val="30"/>
        </w:rPr>
        <w:t xml:space="preserve">  </w:t>
      </w:r>
      <w:r>
        <w:rPr>
          <w:rFonts w:hAnsi="宋体"/>
          <w:sz w:val="30"/>
          <w:szCs w:val="30"/>
        </w:rPr>
        <w:t>月</w:t>
      </w:r>
      <w:r>
        <w:rPr>
          <w:rFonts w:hint="eastAsia" w:hAnsi="宋体"/>
          <w:sz w:val="30"/>
          <w:szCs w:val="30"/>
        </w:rPr>
        <w:t xml:space="preserve">  </w:t>
      </w:r>
      <w:r>
        <w:rPr>
          <w:rFonts w:hAnsi="宋体"/>
          <w:sz w:val="30"/>
          <w:szCs w:val="30"/>
        </w:rPr>
        <w:t>日</w:t>
      </w:r>
      <w:bookmarkEnd w:id="0"/>
    </w:p>
    <w:p>
      <w:r>
        <w:br w:type="page"/>
      </w:r>
    </w:p>
    <w:tbl>
      <w:tblPr>
        <w:tblStyle w:val="23"/>
        <w:tblpPr w:leftFromText="180" w:rightFromText="180" w:vertAnchor="text" w:horzAnchor="margin" w:tblpXSpec="center" w:tblpY="218"/>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0"/>
        <w:gridCol w:w="3364"/>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b/>
                <w:color w:val="000000" w:themeColor="text1"/>
                <w:kern w:val="0"/>
                <w:sz w:val="21"/>
                <w:szCs w:val="21"/>
                <w14:textFill>
                  <w14:solidFill>
                    <w14:schemeClr w14:val="tx1"/>
                  </w14:solidFill>
                </w14:textFill>
              </w:rPr>
              <w:t>甲方名称</w:t>
            </w:r>
            <w:r>
              <w:rPr>
                <w:rFonts w:ascii="宋体" w:hAnsi="宋体"/>
                <w:color w:val="000000" w:themeColor="text1"/>
                <w:kern w:val="0"/>
                <w:sz w:val="21"/>
                <w:szCs w:val="21"/>
                <w14:textFill>
                  <w14:solidFill>
                    <w14:schemeClr w14:val="tx1"/>
                  </w14:solidFill>
                </w14:textFill>
              </w:rPr>
              <w:t>：</w:t>
            </w:r>
          </w:p>
        </w:tc>
        <w:tc>
          <w:tcPr>
            <w:tcW w:w="3364" w:type="dxa"/>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浙江工商大学</w:t>
            </w:r>
          </w:p>
        </w:tc>
        <w:tc>
          <w:tcPr>
            <w:tcW w:w="2416" w:type="dxa"/>
          </w:tcPr>
          <w:p>
            <w:pPr>
              <w:spacing w:line="460" w:lineRule="exact"/>
              <w:jc w:val="left"/>
              <w:rPr>
                <w:rFonts w:ascii="宋体" w:hAnsi="宋体"/>
                <w:color w:val="000000" w:themeColor="text1"/>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900" w:type="dxa"/>
          </w:tcPr>
          <w:p>
            <w:pPr>
              <w:spacing w:line="460" w:lineRule="exact"/>
              <w:jc w:val="right"/>
              <w:rPr>
                <w:rFonts w:ascii="宋体" w:hAnsi="宋体"/>
                <w:b/>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统一社会信用代码：</w:t>
            </w:r>
          </w:p>
        </w:tc>
        <w:tc>
          <w:tcPr>
            <w:tcW w:w="3364" w:type="dxa"/>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1233 0000 4700 0901 80</w:t>
            </w:r>
          </w:p>
        </w:tc>
        <w:tc>
          <w:tcPr>
            <w:tcW w:w="2416" w:type="dxa"/>
          </w:tcPr>
          <w:p>
            <w:pPr>
              <w:spacing w:line="460" w:lineRule="exact"/>
              <w:jc w:val="left"/>
              <w:rPr>
                <w:rFonts w:ascii="宋体" w:hAnsi="宋体"/>
                <w:color w:val="000000" w:themeColor="text1"/>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银行账号：</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1202 0262 0900 8930 682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开户行：</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 xml:space="preserve">工行杭州高新支行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部门负责人：</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 xml:space="preserve"> 蔡美强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所属部门、职务：</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fldChar w:fldCharType="begin"/>
            </w:r>
            <w:r>
              <w:instrText xml:space="preserve"> HYPERLINK "http://yjs.zjgsu.edu.cn/" \t "_blank" </w:instrText>
            </w:r>
            <w:r>
              <w:fldChar w:fldCharType="separate"/>
            </w:r>
            <w:r>
              <w:rPr>
                <w:rFonts w:hint="eastAsia" w:ascii="宋体" w:hAnsi="宋体"/>
                <w:color w:val="000000" w:themeColor="text1"/>
                <w:kern w:val="0"/>
                <w:sz w:val="21"/>
                <w:szCs w:val="21"/>
                <w:u w:val="single"/>
                <w14:textFill>
                  <w14:solidFill>
                    <w14:schemeClr w14:val="tx1"/>
                  </w14:solidFill>
                </w14:textFill>
              </w:rPr>
              <w:t>研究生院（研究生工作部、学科建设办公室）</w:t>
            </w:r>
            <w:r>
              <w:rPr>
                <w:rFonts w:hint="eastAsia" w:ascii="宋体" w:hAnsi="宋体"/>
                <w:color w:val="000000" w:themeColor="text1"/>
                <w:kern w:val="0"/>
                <w:sz w:val="21"/>
                <w:szCs w:val="21"/>
                <w:u w:val="single"/>
                <w14:textFill>
                  <w14:solidFill>
                    <w14:schemeClr w14:val="tx1"/>
                  </w14:solidFill>
                </w14:textFill>
              </w:rPr>
              <w:fldChar w:fldCharType="end"/>
            </w:r>
            <w:r>
              <w:rPr>
                <w:rFonts w:ascii="宋体" w:hAnsi="宋体"/>
                <w:color w:val="000000" w:themeColor="text1"/>
                <w:kern w:val="0"/>
                <w:sz w:val="21"/>
                <w:szCs w:val="21"/>
                <w:u w:val="single"/>
                <w14:textFill>
                  <w14:solidFill>
                    <w14:schemeClr w14:val="tx1"/>
                  </w14:solidFill>
                </w14:textFill>
              </w:rPr>
              <w:t>、</w:t>
            </w:r>
            <w:r>
              <w:rPr>
                <w:rFonts w:hint="eastAsia" w:ascii="宋体" w:hAnsi="宋体"/>
                <w:color w:val="000000" w:themeColor="text1"/>
                <w:kern w:val="0"/>
                <w:sz w:val="21"/>
                <w:szCs w:val="21"/>
                <w:u w:val="single"/>
                <w14:textFill>
                  <w14:solidFill>
                    <w14:schemeClr w14:val="tx1"/>
                  </w14:solidFill>
                </w14:textFill>
              </w:rPr>
              <w:t>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固定电话、手机：</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0571-28872235 、</w:t>
            </w:r>
            <w:r>
              <w:rPr>
                <w:rFonts w:hint="eastAsia" w:ascii="宋体" w:hAnsi="宋体"/>
                <w:color w:val="000000" w:themeColor="text1"/>
                <w:kern w:val="0"/>
                <w:sz w:val="21"/>
                <w:szCs w:val="21"/>
                <w:u w:val="single"/>
                <w14:textFill>
                  <w14:solidFill>
                    <w14:schemeClr w14:val="tx1"/>
                  </w14:solidFill>
                </w14:textFill>
              </w:rPr>
              <w:t>1</w:t>
            </w:r>
            <w:r>
              <w:rPr>
                <w:rFonts w:ascii="宋体" w:hAnsi="宋体"/>
                <w:color w:val="000000" w:themeColor="text1"/>
                <w:kern w:val="0"/>
                <w:sz w:val="21"/>
                <w:szCs w:val="21"/>
                <w:u w:val="single"/>
                <w14:textFill>
                  <w14:solidFill>
                    <w14:schemeClr w14:val="tx1"/>
                  </w14:solidFill>
                </w14:textFill>
              </w:rPr>
              <w:t>3588138670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联系人：</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项秀平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所属部门、职务：</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研究生院（研究生工作部、学科建设办公室）、学位办主管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固定电话、手机：</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0571-28877241 、</w:t>
            </w:r>
            <w:r>
              <w:rPr>
                <w:rFonts w:hint="eastAsia" w:ascii="宋体" w:hAnsi="宋体"/>
                <w:color w:val="000000" w:themeColor="text1"/>
                <w:kern w:val="0"/>
                <w:sz w:val="21"/>
                <w:szCs w:val="21"/>
                <w:u w:val="single"/>
                <w14:textFill>
                  <w14:solidFill>
                    <w14:schemeClr w14:val="tx1"/>
                  </w14:solidFill>
                </w14:textFill>
              </w:rPr>
              <w:t>1</w:t>
            </w:r>
            <w:r>
              <w:rPr>
                <w:rFonts w:ascii="宋体" w:hAnsi="宋体"/>
                <w:color w:val="000000" w:themeColor="text1"/>
                <w:kern w:val="0"/>
                <w:sz w:val="21"/>
                <w:szCs w:val="21"/>
                <w:u w:val="single"/>
                <w14:textFill>
                  <w14:solidFill>
                    <w14:schemeClr w14:val="tx1"/>
                  </w14:solidFill>
                </w14:textFill>
              </w:rPr>
              <w:t>3958080766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邮箱地址：</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u w:val="single"/>
                <w14:textFill>
                  <w14:solidFill>
                    <w14:schemeClr w14:val="tx1"/>
                  </w14:solidFill>
                </w14:textFill>
              </w:rPr>
              <w:t xml:space="preserve">xxp@zjgsu.edu.cn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通讯地址：</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浙江省杭州市下沙高教园区学正街18号综合楼1</w:t>
            </w:r>
            <w:r>
              <w:rPr>
                <w:rFonts w:ascii="宋体" w:hAnsi="宋体"/>
                <w:color w:val="000000" w:themeColor="text1"/>
                <w:kern w:val="0"/>
                <w:sz w:val="21"/>
                <w:szCs w:val="21"/>
                <w:u w:val="single"/>
                <w14:textFill>
                  <w14:solidFill>
                    <w14:schemeClr w14:val="tx1"/>
                  </w14:solidFill>
                </w14:textFill>
              </w:rPr>
              <w:t>042</w:t>
            </w:r>
            <w:r>
              <w:rPr>
                <w:rFonts w:hint="eastAsia" w:ascii="宋体" w:hAnsi="宋体"/>
                <w:color w:val="000000" w:themeColor="text1"/>
                <w:kern w:val="0"/>
                <w:sz w:val="21"/>
                <w:szCs w:val="21"/>
                <w:u w:val="single"/>
                <w14:textFill>
                  <w14:solidFill>
                    <w14:schemeClr w14:val="tx1"/>
                  </w14:solidFill>
                </w14:textFill>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900" w:type="dxa"/>
          </w:tcPr>
          <w:p>
            <w:pPr>
              <w:spacing w:line="460" w:lineRule="exact"/>
              <w:jc w:val="right"/>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邮编：</w:t>
            </w:r>
          </w:p>
        </w:tc>
        <w:tc>
          <w:tcPr>
            <w:tcW w:w="5780" w:type="dxa"/>
            <w:gridSpan w:val="2"/>
          </w:tcPr>
          <w:p>
            <w:pPr>
              <w:spacing w:line="460" w:lineRule="exact"/>
              <w:rPr>
                <w:rFonts w:ascii="宋体" w:hAnsi="宋体"/>
                <w:color w:val="000000" w:themeColor="text1"/>
                <w:kern w:val="0"/>
                <w:sz w:val="21"/>
                <w:szCs w:val="21"/>
                <w:u w:val="single"/>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3</w:t>
            </w:r>
            <w:r>
              <w:rPr>
                <w:rFonts w:ascii="宋体" w:hAnsi="宋体"/>
                <w:color w:val="000000" w:themeColor="text1"/>
                <w:kern w:val="0"/>
                <w:sz w:val="21"/>
                <w:szCs w:val="21"/>
                <w:u w:val="single"/>
                <w14:textFill>
                  <w14:solidFill>
                    <w14:schemeClr w14:val="tx1"/>
                  </w14:solidFill>
                </w14:textFill>
              </w:rPr>
              <w:t>10018</w:t>
            </w:r>
          </w:p>
        </w:tc>
      </w:tr>
    </w:tbl>
    <w:p>
      <w:pPr>
        <w:spacing w:line="400" w:lineRule="exact"/>
        <w:rPr>
          <w:rFonts w:ascii="宋体" w:hAnsi="宋体"/>
          <w:sz w:val="21"/>
          <w:szCs w:val="21"/>
        </w:rPr>
      </w:pPr>
    </w:p>
    <w:tbl>
      <w:tblPr>
        <w:tblStyle w:val="23"/>
        <w:tblpPr w:leftFromText="180" w:rightFromText="180" w:vertAnchor="text" w:horzAnchor="margin" w:tblpXSpec="center" w:tblpY="100"/>
        <w:tblW w:w="7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4"/>
        <w:gridCol w:w="5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b/>
                <w:kern w:val="0"/>
                <w:sz w:val="21"/>
                <w:szCs w:val="21"/>
              </w:rPr>
              <w:t>乙方名称</w:t>
            </w:r>
            <w:r>
              <w:rPr>
                <w:rFonts w:ascii="宋体" w:hAnsi="宋体"/>
                <w:kern w:val="0"/>
                <w:sz w:val="21"/>
                <w:szCs w:val="21"/>
              </w:rPr>
              <w:t>：</w:t>
            </w:r>
          </w:p>
        </w:tc>
        <w:tc>
          <w:tcPr>
            <w:tcW w:w="5071" w:type="dxa"/>
          </w:tcPr>
          <w:p>
            <w:pPr>
              <w:spacing w:line="460" w:lineRule="exact"/>
              <w:rPr>
                <w:rFonts w:ascii="宋体" w:hAnsi="宋体"/>
                <w:kern w:val="0"/>
                <w:sz w:val="21"/>
                <w:szCs w:val="21"/>
              </w:rPr>
            </w:pPr>
            <w:r>
              <w:rPr>
                <w:rFonts w:ascii="宋体" w:hAnsi="宋体"/>
                <w:b/>
                <w:kern w:val="0"/>
                <w:sz w:val="21"/>
                <w:szCs w:val="21"/>
              </w:rPr>
              <w:t>教育部学位与研究生教育发展中心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统一社会信用代码：</w:t>
            </w:r>
          </w:p>
        </w:tc>
        <w:tc>
          <w:tcPr>
            <w:tcW w:w="5071" w:type="dxa"/>
          </w:tcPr>
          <w:p>
            <w:pPr>
              <w:spacing w:line="460" w:lineRule="exact"/>
              <w:rPr>
                <w:rFonts w:ascii="宋体" w:hAnsi="宋体"/>
                <w:kern w:val="0"/>
                <w:sz w:val="21"/>
                <w:szCs w:val="21"/>
              </w:rPr>
            </w:pPr>
            <w:r>
              <w:rPr>
                <w:rFonts w:ascii="宋体" w:hAnsi="宋体"/>
                <w:kern w:val="0"/>
                <w:sz w:val="21"/>
                <w:szCs w:val="21"/>
              </w:rPr>
              <w:t>121000007178046202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银行账号：</w:t>
            </w:r>
          </w:p>
        </w:tc>
        <w:tc>
          <w:tcPr>
            <w:tcW w:w="5071" w:type="dxa"/>
          </w:tcPr>
          <w:p>
            <w:pPr>
              <w:spacing w:line="460" w:lineRule="exact"/>
              <w:rPr>
                <w:rFonts w:ascii="宋体" w:hAnsi="宋体"/>
                <w:kern w:val="0"/>
                <w:sz w:val="21"/>
                <w:szCs w:val="21"/>
              </w:rPr>
            </w:pPr>
            <w:r>
              <w:rPr>
                <w:rFonts w:ascii="宋体" w:hAnsi="宋体"/>
                <w:kern w:val="0"/>
                <w:sz w:val="21"/>
                <w:szCs w:val="21"/>
              </w:rPr>
              <w:t>323356031527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开户行：</w:t>
            </w:r>
          </w:p>
        </w:tc>
        <w:tc>
          <w:tcPr>
            <w:tcW w:w="5071" w:type="dxa"/>
          </w:tcPr>
          <w:p>
            <w:pPr>
              <w:spacing w:line="460" w:lineRule="exact"/>
              <w:rPr>
                <w:rFonts w:ascii="宋体" w:hAnsi="宋体"/>
                <w:kern w:val="0"/>
                <w:sz w:val="21"/>
                <w:szCs w:val="21"/>
              </w:rPr>
            </w:pPr>
            <w:r>
              <w:rPr>
                <w:rFonts w:ascii="宋体" w:hAnsi="宋体"/>
                <w:kern w:val="0"/>
                <w:sz w:val="21"/>
                <w:szCs w:val="21"/>
              </w:rPr>
              <w:t>中国银行北京中关村科技园区支行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部门负责人：</w:t>
            </w:r>
          </w:p>
        </w:tc>
        <w:tc>
          <w:tcPr>
            <w:tcW w:w="5071" w:type="dxa"/>
          </w:tcPr>
          <w:p>
            <w:pPr>
              <w:spacing w:line="460" w:lineRule="exact"/>
              <w:rPr>
                <w:rFonts w:ascii="宋体" w:hAnsi="宋体"/>
                <w:kern w:val="0"/>
                <w:sz w:val="21"/>
                <w:szCs w:val="21"/>
              </w:rPr>
            </w:pPr>
            <w:r>
              <w:rPr>
                <w:rFonts w:ascii="宋体" w:hAnsi="宋体"/>
                <w:kern w:val="0"/>
                <w:sz w:val="21"/>
                <w:szCs w:val="21"/>
              </w:rPr>
              <w:t>李恒金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所属部门、职务：</w:t>
            </w:r>
          </w:p>
        </w:tc>
        <w:tc>
          <w:tcPr>
            <w:tcW w:w="5071" w:type="dxa"/>
          </w:tcPr>
          <w:p>
            <w:pPr>
              <w:spacing w:line="460" w:lineRule="exact"/>
              <w:rPr>
                <w:rFonts w:ascii="宋体" w:hAnsi="宋体"/>
                <w:kern w:val="0"/>
                <w:sz w:val="21"/>
                <w:szCs w:val="21"/>
              </w:rPr>
            </w:pPr>
            <w:r>
              <w:rPr>
                <w:rFonts w:ascii="宋体" w:hAnsi="宋体"/>
                <w:kern w:val="0"/>
                <w:sz w:val="21"/>
                <w:szCs w:val="21"/>
              </w:rPr>
              <w:t>质量监测与专业学位处处长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项目联系人：</w:t>
            </w:r>
          </w:p>
        </w:tc>
        <w:tc>
          <w:tcPr>
            <w:tcW w:w="5071" w:type="dxa"/>
          </w:tcPr>
          <w:p>
            <w:pPr>
              <w:spacing w:line="460" w:lineRule="exact"/>
              <w:rPr>
                <w:rFonts w:ascii="宋体" w:hAnsi="宋体"/>
                <w:kern w:val="0"/>
                <w:sz w:val="21"/>
                <w:szCs w:val="21"/>
              </w:rPr>
            </w:pPr>
            <w:r>
              <w:rPr>
                <w:rFonts w:ascii="宋体" w:hAnsi="宋体"/>
                <w:kern w:val="0"/>
                <w:sz w:val="21"/>
                <w:szCs w:val="21"/>
              </w:rPr>
              <w:t>邢亚群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所属部门、职务：</w:t>
            </w:r>
          </w:p>
        </w:tc>
        <w:tc>
          <w:tcPr>
            <w:tcW w:w="5071" w:type="dxa"/>
          </w:tcPr>
          <w:p>
            <w:pPr>
              <w:spacing w:line="460" w:lineRule="exact"/>
              <w:rPr>
                <w:rFonts w:ascii="宋体" w:hAnsi="宋体"/>
                <w:kern w:val="0"/>
                <w:sz w:val="21"/>
                <w:szCs w:val="21"/>
              </w:rPr>
            </w:pPr>
            <w:r>
              <w:rPr>
                <w:rFonts w:ascii="宋体" w:hAnsi="宋体"/>
                <w:kern w:val="0"/>
                <w:sz w:val="21"/>
                <w:szCs w:val="21"/>
              </w:rPr>
              <w:t>质量监测与专业学位处、项目助理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电话、QQ：</w:t>
            </w:r>
          </w:p>
        </w:tc>
        <w:tc>
          <w:tcPr>
            <w:tcW w:w="5071" w:type="dxa"/>
          </w:tcPr>
          <w:p>
            <w:pPr>
              <w:spacing w:line="460" w:lineRule="exact"/>
              <w:rPr>
                <w:rFonts w:ascii="宋体" w:hAnsi="宋体"/>
                <w:kern w:val="0"/>
                <w:sz w:val="21"/>
                <w:szCs w:val="21"/>
              </w:rPr>
            </w:pPr>
            <w:r>
              <w:rPr>
                <w:rFonts w:ascii="宋体" w:hAnsi="宋体"/>
                <w:kern w:val="0"/>
                <w:sz w:val="21"/>
                <w:szCs w:val="21"/>
              </w:rPr>
              <w:t>010-82378231、2840232790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邮箱地址：</w:t>
            </w:r>
          </w:p>
        </w:tc>
        <w:tc>
          <w:tcPr>
            <w:tcW w:w="5071" w:type="dxa"/>
          </w:tcPr>
          <w:p>
            <w:pPr>
              <w:spacing w:line="460" w:lineRule="exact"/>
              <w:ind w:right="-529" w:rightChars="-189"/>
              <w:rPr>
                <w:rFonts w:ascii="宋体" w:hAnsi="宋体"/>
                <w:kern w:val="0"/>
                <w:sz w:val="21"/>
                <w:szCs w:val="21"/>
              </w:rPr>
            </w:pPr>
            <w:r>
              <w:rPr>
                <w:rFonts w:ascii="宋体" w:hAnsi="宋体"/>
                <w:kern w:val="0"/>
                <w:sz w:val="21"/>
                <w:szCs w:val="21"/>
              </w:rPr>
              <w:t>xingyq@cdgdc.edu.cn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通讯地址：</w:t>
            </w:r>
          </w:p>
        </w:tc>
        <w:tc>
          <w:tcPr>
            <w:tcW w:w="5071" w:type="dxa"/>
          </w:tcPr>
          <w:p>
            <w:pPr>
              <w:spacing w:line="460" w:lineRule="exact"/>
              <w:ind w:right="-529" w:rightChars="-189"/>
              <w:rPr>
                <w:rFonts w:ascii="宋体" w:hAnsi="宋体"/>
                <w:kern w:val="0"/>
                <w:sz w:val="21"/>
                <w:szCs w:val="21"/>
              </w:rPr>
            </w:pPr>
            <w:r>
              <w:rPr>
                <w:rFonts w:ascii="宋体" w:hAnsi="宋体"/>
                <w:kern w:val="0"/>
                <w:sz w:val="21"/>
                <w:szCs w:val="21"/>
              </w:rPr>
              <w:t>北京市海淀区王庄路1号同方科技广场B座1706室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544" w:type="dxa"/>
          </w:tcPr>
          <w:p>
            <w:pPr>
              <w:spacing w:line="460" w:lineRule="exact"/>
              <w:jc w:val="right"/>
              <w:rPr>
                <w:rFonts w:ascii="宋体" w:hAnsi="宋体"/>
                <w:kern w:val="0"/>
                <w:sz w:val="21"/>
                <w:szCs w:val="21"/>
              </w:rPr>
            </w:pPr>
            <w:r>
              <w:rPr>
                <w:rFonts w:ascii="宋体" w:hAnsi="宋体"/>
                <w:kern w:val="0"/>
                <w:sz w:val="21"/>
                <w:szCs w:val="21"/>
              </w:rPr>
              <w:t>邮编：</w:t>
            </w:r>
          </w:p>
        </w:tc>
        <w:tc>
          <w:tcPr>
            <w:tcW w:w="5071" w:type="dxa"/>
          </w:tcPr>
          <w:p>
            <w:pPr>
              <w:spacing w:line="460" w:lineRule="exact"/>
              <w:rPr>
                <w:rFonts w:ascii="宋体" w:hAnsi="宋体"/>
                <w:kern w:val="0"/>
                <w:sz w:val="21"/>
                <w:szCs w:val="21"/>
              </w:rPr>
            </w:pPr>
            <w:r>
              <w:rPr>
                <w:rFonts w:ascii="宋体" w:hAnsi="宋体"/>
                <w:kern w:val="0"/>
                <w:sz w:val="21"/>
                <w:szCs w:val="21"/>
              </w:rPr>
              <w:t>100083</w:t>
            </w:r>
          </w:p>
          <w:p>
            <w:pPr>
              <w:spacing w:line="460" w:lineRule="exact"/>
              <w:rPr>
                <w:rFonts w:ascii="宋体" w:hAnsi="宋体"/>
                <w:kern w:val="0"/>
                <w:sz w:val="21"/>
                <w:szCs w:val="21"/>
              </w:rPr>
            </w:pPr>
          </w:p>
        </w:tc>
      </w:tr>
    </w:tbl>
    <w:p>
      <w:pPr>
        <w:spacing w:line="460" w:lineRule="exact"/>
        <w:ind w:right="400" w:firstLine="2393" w:firstLineChars="1135"/>
        <w:rPr>
          <w:rFonts w:ascii="宋体" w:hAnsi="宋体"/>
          <w:b/>
          <w:kern w:val="0"/>
          <w:sz w:val="21"/>
          <w:szCs w:val="21"/>
        </w:rPr>
      </w:pPr>
      <w:r>
        <w:rPr>
          <w:rFonts w:hint="eastAsia" w:ascii="宋体" w:hAnsi="宋体"/>
          <w:b/>
          <w:kern w:val="0"/>
          <w:sz w:val="21"/>
          <w:szCs w:val="21"/>
        </w:rPr>
        <w:t>采购代理机构：浙江求是招标代理有限公司</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依据《中华人民共和国民法典》等相关规定，甲乙双方在平等自愿的基础上，经浙江求是招标代理有限公司单一来源采购（采购编号：</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、计划书号：</w:t>
      </w:r>
      <w:r>
        <w:rPr>
          <w:rFonts w:ascii="宋体" w:hAnsi="宋体"/>
          <w:color w:val="000000" w:themeColor="text1"/>
          <w:sz w:val="21"/>
          <w:szCs w:val="21"/>
          <w:u w:val="single"/>
          <w14:textFill>
            <w14:solidFill>
              <w14:schemeClr w14:val="tx1"/>
            </w14:solidFill>
          </w14:textFill>
        </w:rPr>
        <w:t>[2021]51202号</w:t>
      </w:r>
      <w:r>
        <w:rPr>
          <w:rFonts w:hint="eastAsia" w:ascii="宋体" w:hAnsi="宋体"/>
          <w:color w:val="000000" w:themeColor="text1"/>
          <w:sz w:val="21"/>
          <w:szCs w:val="21"/>
          <w:u w:val="single"/>
          <w14:textFill>
            <w14:solidFill>
              <w14:schemeClr w14:val="tx1"/>
            </w14:solidFill>
          </w14:textFill>
        </w:rPr>
        <w:t>、临</w:t>
      </w:r>
      <w:r>
        <w:rPr>
          <w:rFonts w:ascii="宋体" w:hAnsi="宋体"/>
          <w:color w:val="000000" w:themeColor="text1"/>
          <w:sz w:val="21"/>
          <w:szCs w:val="21"/>
          <w:u w:val="single"/>
          <w14:textFill>
            <w14:solidFill>
              <w14:schemeClr w14:val="tx1"/>
            </w14:solidFill>
          </w14:textFill>
        </w:rPr>
        <w:t>[2021]58177号</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协商一致就学位论文质量监测服务达成协议，以明确双方的责权并保证共同遵守以下协议内容。</w:t>
      </w:r>
    </w:p>
    <w:p>
      <w:pPr>
        <w:spacing w:line="360" w:lineRule="auto"/>
        <w:ind w:firstLine="602"/>
        <w:rPr>
          <w:rFonts w:ascii="宋体" w:hAnsi="宋体"/>
          <w:b/>
          <w:bCs/>
          <w:sz w:val="21"/>
          <w:szCs w:val="21"/>
        </w:rPr>
      </w:pPr>
      <w:r>
        <w:rPr>
          <w:rFonts w:ascii="宋体" w:hAnsi="宋体"/>
          <w:b/>
          <w:bCs/>
          <w:sz w:val="21"/>
          <w:szCs w:val="21"/>
        </w:rPr>
        <w:t>第一条服务内容</w:t>
      </w:r>
    </w:p>
    <w:p>
      <w:pPr>
        <w:spacing w:line="360" w:lineRule="auto"/>
        <w:ind w:firstLine="602"/>
        <w:rPr>
          <w:rFonts w:ascii="宋体" w:hAnsi="宋体"/>
          <w:color w:val="000000" w:themeColor="text1"/>
          <w:sz w:val="21"/>
          <w:szCs w:val="21"/>
          <w14:textFill>
            <w14:solidFill>
              <w14:schemeClr w14:val="tx1"/>
            </w14:solidFill>
          </w14:textFill>
        </w:rPr>
      </w:pPr>
      <w:bookmarkStart w:id="1" w:name="_Hlk499735660"/>
      <w:r>
        <w:rPr>
          <w:rFonts w:ascii="宋体" w:hAnsi="宋体"/>
          <w:color w:val="000000" w:themeColor="text1"/>
          <w:sz w:val="21"/>
          <w:szCs w:val="21"/>
          <w14:textFill>
            <w14:solidFill>
              <w14:schemeClr w14:val="tx1"/>
            </w14:solidFill>
          </w14:textFill>
        </w:rPr>
        <w:t>经协商，甲乙双方就学位论文质量监测服务开展合作：</w:t>
      </w:r>
    </w:p>
    <w:p>
      <w:pPr>
        <w:spacing w:line="360" w:lineRule="auto"/>
        <w:ind w:firstLine="60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乙方作为专业评价机构，为甲方提供学位论文质量监测服务平台（以下简称平台）、同行评议专家资源和评议过程技术服务。</w:t>
      </w:r>
    </w:p>
    <w:p>
      <w:pPr>
        <w:spacing w:line="360" w:lineRule="auto"/>
        <w:ind w:firstLine="602"/>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甲方作为学位论文质量监测责任主体，依托乙方上述服务自主组织开展</w:t>
      </w:r>
      <w:r>
        <w:rPr>
          <w:color w:val="000000" w:themeColor="text1"/>
          <w:sz w:val="24"/>
          <w14:textFill>
            <w14:solidFill>
              <w14:schemeClr w14:val="tx1"/>
            </w14:solidFill>
          </w14:textFill>
        </w:rPr>
        <w:t>■</w:t>
      </w:r>
      <w:r>
        <w:rPr>
          <w:rFonts w:ascii="宋体" w:hAnsi="宋体"/>
          <w:color w:val="000000" w:themeColor="text1"/>
          <w:sz w:val="21"/>
          <w:szCs w:val="21"/>
          <w14:textFill>
            <w14:solidFill>
              <w14:schemeClr w14:val="tx1"/>
            </w14:solidFill>
          </w14:textFill>
        </w:rPr>
        <w:t>博士学位论文答辩前评议、</w:t>
      </w:r>
      <w:r>
        <w:rPr>
          <w:color w:val="000000" w:themeColor="text1"/>
          <w:sz w:val="24"/>
          <w14:textFill>
            <w14:solidFill>
              <w14:schemeClr w14:val="tx1"/>
            </w14:solidFill>
          </w14:textFill>
        </w:rPr>
        <w:t>■</w:t>
      </w:r>
      <w:r>
        <w:rPr>
          <w:rFonts w:ascii="宋体" w:hAnsi="宋体"/>
          <w:color w:val="000000" w:themeColor="text1"/>
          <w:sz w:val="21"/>
          <w:szCs w:val="21"/>
          <w14:textFill>
            <w14:solidFill>
              <w14:schemeClr w14:val="tx1"/>
            </w14:solidFill>
          </w14:textFill>
        </w:rPr>
        <w:t>硕士学位论文答辩前评议、</w:t>
      </w:r>
      <w:r>
        <w:rPr>
          <w:color w:val="000000" w:themeColor="text1"/>
          <w:sz w:val="24"/>
          <w14:textFill>
            <w14:solidFill>
              <w14:schemeClr w14:val="tx1"/>
            </w14:solidFill>
          </w14:textFill>
        </w:rPr>
        <w:t>■</w:t>
      </w:r>
      <w:r>
        <w:rPr>
          <w:rFonts w:ascii="宋体" w:hAnsi="宋体"/>
          <w:color w:val="000000" w:themeColor="text1"/>
          <w:sz w:val="21"/>
          <w:szCs w:val="21"/>
          <w14:textFill>
            <w14:solidFill>
              <w14:schemeClr w14:val="tx1"/>
            </w14:solidFill>
          </w14:textFill>
        </w:rPr>
        <w:t>博士学位论文答辩后抽检评议、</w:t>
      </w:r>
      <w:r>
        <w:rPr>
          <w:color w:val="000000" w:themeColor="text1"/>
          <w:sz w:val="24"/>
          <w14:textFill>
            <w14:solidFill>
              <w14:schemeClr w14:val="tx1"/>
            </w14:solidFill>
          </w14:textFill>
        </w:rPr>
        <w:t>■</w:t>
      </w:r>
      <w:r>
        <w:rPr>
          <w:rFonts w:ascii="宋体" w:hAnsi="宋体"/>
          <w:color w:val="000000" w:themeColor="text1"/>
          <w:sz w:val="21"/>
          <w:szCs w:val="21"/>
          <w14:textFill>
            <w14:solidFill>
              <w14:schemeClr w14:val="tx1"/>
            </w14:solidFill>
          </w14:textFill>
        </w:rPr>
        <w:t>硕士学位论文答辩后抽检评议。</w:t>
      </w:r>
    </w:p>
    <w:bookmarkEnd w:id="1"/>
    <w:p>
      <w:pPr>
        <w:spacing w:line="360" w:lineRule="auto"/>
        <w:ind w:firstLine="602"/>
        <w:rPr>
          <w:rFonts w:ascii="宋体" w:hAnsi="宋体"/>
          <w:b/>
          <w:bCs/>
          <w:sz w:val="21"/>
          <w:szCs w:val="21"/>
        </w:rPr>
      </w:pPr>
      <w:r>
        <w:rPr>
          <w:rFonts w:ascii="宋体" w:hAnsi="宋体"/>
          <w:b/>
          <w:bCs/>
          <w:sz w:val="21"/>
          <w:szCs w:val="21"/>
        </w:rPr>
        <w:t>第二条甲方权利与义务</w:t>
      </w:r>
    </w:p>
    <w:p>
      <w:pPr>
        <w:spacing w:line="360" w:lineRule="auto"/>
        <w:ind w:firstLine="602"/>
        <w:rPr>
          <w:rFonts w:ascii="宋体" w:hAnsi="宋体"/>
          <w:sz w:val="21"/>
          <w:szCs w:val="21"/>
        </w:rPr>
      </w:pPr>
      <w:r>
        <w:rPr>
          <w:rFonts w:ascii="宋体" w:hAnsi="宋体"/>
          <w:sz w:val="21"/>
          <w:szCs w:val="21"/>
        </w:rPr>
        <w:t>（一）甲方有权自行采用学位论文初评、复评、增评、减评等环节的送评流程和专家评议结果使用办法。</w:t>
      </w:r>
    </w:p>
    <w:p>
      <w:pPr>
        <w:spacing w:line="360" w:lineRule="auto"/>
        <w:ind w:firstLine="602"/>
        <w:rPr>
          <w:rFonts w:ascii="宋体" w:hAnsi="宋体"/>
          <w:sz w:val="21"/>
          <w:szCs w:val="21"/>
        </w:rPr>
      </w:pPr>
      <w:r>
        <w:rPr>
          <w:rFonts w:ascii="宋体" w:hAnsi="宋体"/>
          <w:sz w:val="21"/>
          <w:szCs w:val="21"/>
        </w:rPr>
        <w:t>（二）甲方有权依据国家及本单位研究生学位论文有关规定，自主制定学位论文评议要求，在平台中自主设置和配置博士、硕士学位论文评阅书模板。</w:t>
      </w:r>
    </w:p>
    <w:p>
      <w:pPr>
        <w:spacing w:line="360" w:lineRule="auto"/>
        <w:ind w:firstLine="602"/>
        <w:rPr>
          <w:rFonts w:ascii="宋体" w:hAnsi="宋体"/>
          <w:sz w:val="21"/>
          <w:szCs w:val="21"/>
        </w:rPr>
      </w:pPr>
      <w:r>
        <w:rPr>
          <w:rFonts w:ascii="宋体" w:hAnsi="宋体"/>
          <w:sz w:val="21"/>
          <w:szCs w:val="21"/>
        </w:rPr>
        <w:t>（三）甲方应按照乙方平台对学位论文评议格式规范要求填写学位论文信息并上传，上传的学位论文评议信息及材料是专家遴选和评议的重要依据，不得上传涉密的学位论文相关评议信息及材料。</w:t>
      </w:r>
    </w:p>
    <w:p>
      <w:pPr>
        <w:spacing w:line="360" w:lineRule="auto"/>
        <w:ind w:firstLine="602"/>
        <w:rPr>
          <w:rFonts w:ascii="宋体" w:hAnsi="宋体"/>
          <w:sz w:val="21"/>
          <w:szCs w:val="21"/>
        </w:rPr>
      </w:pPr>
      <w:r>
        <w:rPr>
          <w:rFonts w:ascii="宋体" w:hAnsi="宋体"/>
          <w:sz w:val="21"/>
          <w:szCs w:val="21"/>
        </w:rPr>
        <w:t>（四）甲方确定按如下规则遴选确认学位论文评议专家。</w:t>
      </w:r>
    </w:p>
    <w:p>
      <w:pPr>
        <w:spacing w:line="360" w:lineRule="auto"/>
        <w:ind w:firstLine="602"/>
        <w:rPr>
          <w:rFonts w:ascii="宋体" w:hAnsi="宋体"/>
          <w:sz w:val="21"/>
          <w:szCs w:val="21"/>
        </w:rPr>
      </w:pPr>
      <w:r>
        <w:rPr>
          <w:rFonts w:ascii="宋体" w:hAnsi="宋体"/>
          <w:b/>
          <w:sz w:val="21"/>
          <w:szCs w:val="21"/>
        </w:rPr>
        <w:t>自动遴选规则：</w:t>
      </w:r>
    </w:p>
    <w:p>
      <w:pPr>
        <w:spacing w:line="360" w:lineRule="auto"/>
        <w:ind w:firstLine="602"/>
        <w:rPr>
          <w:rFonts w:ascii="宋体" w:hAnsi="宋体"/>
          <w:sz w:val="21"/>
          <w:szCs w:val="21"/>
        </w:rPr>
      </w:pPr>
      <w:r>
        <w:rPr>
          <w:rFonts w:ascii="宋体" w:hAnsi="宋体"/>
          <w:sz w:val="21"/>
          <w:szCs w:val="21"/>
        </w:rPr>
        <w:t>1.学术学位论文和专业学位论文分别按学位论文所属一级学科名称和专业学位类别名称遴选专家。</w:t>
      </w:r>
    </w:p>
    <w:p>
      <w:pPr>
        <w:spacing w:line="360" w:lineRule="auto"/>
        <w:ind w:firstLine="602"/>
        <w:rPr>
          <w:rFonts w:ascii="宋体" w:hAnsi="宋体"/>
          <w:sz w:val="21"/>
          <w:szCs w:val="21"/>
        </w:rPr>
      </w:pPr>
      <w:r>
        <w:rPr>
          <w:rFonts w:ascii="宋体" w:hAnsi="宋体"/>
          <w:sz w:val="21"/>
          <w:szCs w:val="21"/>
        </w:rPr>
        <w:t>2.遴选专家所在单位类型：①一流大学建设高校②一流学科建设高校和科研院所③非“双一流”建设高校。注：选项单选，且所选选项必须包含甲方所在单位类型，当所选选项所在单位类型专家无法满足遴选需求时，平台自动在其他类型单位专家中遴选。</w:t>
      </w:r>
    </w:p>
    <w:p>
      <w:pPr>
        <w:spacing w:line="360" w:lineRule="auto"/>
        <w:ind w:firstLine="420" w:firstLineChars="200"/>
        <w:rPr>
          <w:rFonts w:ascii="宋体" w:hAnsi="宋体"/>
          <w:sz w:val="21"/>
          <w:szCs w:val="21"/>
        </w:rPr>
      </w:pPr>
      <w:r>
        <w:rPr>
          <w:rFonts w:ascii="宋体" w:hAnsi="宋体"/>
          <w:sz w:val="21"/>
          <w:szCs w:val="21"/>
        </w:rPr>
        <w:sym w:font="Wingdings 2" w:char="00A3"/>
      </w:r>
      <w:r>
        <w:rPr>
          <w:rFonts w:ascii="宋体" w:hAnsi="宋体"/>
          <w:sz w:val="21"/>
          <w:szCs w:val="21"/>
        </w:rPr>
        <w:t>优先①</w:t>
      </w:r>
      <w:r>
        <w:rPr>
          <w:rFonts w:ascii="宋体" w:hAnsi="宋体"/>
          <w:sz w:val="21"/>
          <w:szCs w:val="21"/>
        </w:rPr>
        <w:sym w:font="Wingdings 2" w:char="00A3"/>
      </w:r>
      <w:r>
        <w:rPr>
          <w:rFonts w:ascii="宋体" w:hAnsi="宋体"/>
          <w:sz w:val="21"/>
          <w:szCs w:val="21"/>
        </w:rPr>
        <w:t>优先①②</w:t>
      </w:r>
      <w:r>
        <w:rPr>
          <w:color w:val="000000" w:themeColor="text1"/>
          <w:sz w:val="24"/>
          <w14:textFill>
            <w14:solidFill>
              <w14:schemeClr w14:val="tx1"/>
            </w14:solidFill>
          </w14:textFill>
        </w:rPr>
        <w:t>■</w:t>
      </w:r>
      <w:r>
        <w:rPr>
          <w:rFonts w:ascii="宋体" w:hAnsi="宋体"/>
          <w:sz w:val="21"/>
          <w:szCs w:val="21"/>
        </w:rPr>
        <w:t>优先②③</w:t>
      </w:r>
      <w:r>
        <w:rPr>
          <w:rFonts w:ascii="宋体" w:hAnsi="宋体"/>
          <w:sz w:val="21"/>
          <w:szCs w:val="21"/>
        </w:rPr>
        <w:sym w:font="Wingdings 2" w:char="00A3"/>
      </w:r>
      <w:r>
        <w:rPr>
          <w:rFonts w:ascii="宋体" w:hAnsi="宋体"/>
          <w:sz w:val="21"/>
          <w:szCs w:val="21"/>
        </w:rPr>
        <w:t>①②③</w:t>
      </w:r>
    </w:p>
    <w:p>
      <w:pPr>
        <w:spacing w:line="360" w:lineRule="auto"/>
        <w:ind w:firstLine="602"/>
        <w:rPr>
          <w:rFonts w:ascii="宋体" w:hAnsi="宋体"/>
          <w:sz w:val="21"/>
          <w:szCs w:val="21"/>
        </w:rPr>
      </w:pPr>
      <w:r>
        <w:rPr>
          <w:rFonts w:ascii="宋体" w:hAnsi="宋体"/>
          <w:sz w:val="21"/>
          <w:szCs w:val="21"/>
        </w:rPr>
        <w:t>3.专家与学位论文匹配规则：按学位论文的</w:t>
      </w:r>
      <w:r>
        <w:rPr>
          <w:color w:val="000000" w:themeColor="text1"/>
          <w:sz w:val="24"/>
          <w14:textFill>
            <w14:solidFill>
              <w14:schemeClr w14:val="tx1"/>
            </w14:solidFill>
          </w14:textFill>
        </w:rPr>
        <w:t>■</w:t>
      </w:r>
      <w:r>
        <w:rPr>
          <w:rFonts w:ascii="宋体" w:hAnsi="宋体"/>
          <w:sz w:val="21"/>
          <w:szCs w:val="21"/>
        </w:rPr>
        <w:t>研究方向</w:t>
      </w:r>
      <w:r>
        <w:rPr>
          <w:color w:val="000000" w:themeColor="text1"/>
          <w:sz w:val="24"/>
          <w14:textFill>
            <w14:solidFill>
              <w14:schemeClr w14:val="tx1"/>
            </w14:solidFill>
          </w14:textFill>
        </w:rPr>
        <w:t>■</w:t>
      </w:r>
      <w:r>
        <w:rPr>
          <w:rFonts w:ascii="宋体" w:hAnsi="宋体"/>
          <w:sz w:val="21"/>
          <w:szCs w:val="21"/>
        </w:rPr>
        <w:t>关键词</w:t>
      </w:r>
      <w:r>
        <w:rPr>
          <w:color w:val="000000" w:themeColor="text1"/>
          <w:sz w:val="24"/>
          <w14:textFill>
            <w14:solidFill>
              <w14:schemeClr w14:val="tx1"/>
            </w14:solidFill>
          </w14:textFill>
        </w:rPr>
        <w:t>■</w:t>
      </w:r>
      <w:r>
        <w:rPr>
          <w:rFonts w:ascii="宋体" w:hAnsi="宋体"/>
          <w:sz w:val="21"/>
          <w:szCs w:val="21"/>
        </w:rPr>
        <w:t>题目与专家研究方向进行匹配。</w:t>
      </w:r>
    </w:p>
    <w:p>
      <w:pPr>
        <w:spacing w:line="360" w:lineRule="auto"/>
        <w:ind w:firstLine="602"/>
        <w:rPr>
          <w:rFonts w:ascii="宋体" w:hAnsi="宋体"/>
          <w:sz w:val="21"/>
          <w:szCs w:val="21"/>
        </w:rPr>
      </w:pPr>
      <w:r>
        <w:rPr>
          <w:rFonts w:ascii="宋体" w:hAnsi="宋体"/>
          <w:sz w:val="21"/>
          <w:szCs w:val="21"/>
        </w:rPr>
        <w:t>4.</w:t>
      </w:r>
      <w:r>
        <w:rPr>
          <w:color w:val="000000" w:themeColor="text1"/>
          <w:sz w:val="24"/>
          <w14:textFill>
            <w14:solidFill>
              <w14:schemeClr w14:val="tx1"/>
            </w14:solidFill>
          </w14:textFill>
        </w:rPr>
        <w:t xml:space="preserve"> ■</w:t>
      </w:r>
      <w:r>
        <w:rPr>
          <w:rFonts w:ascii="宋体" w:hAnsi="宋体"/>
          <w:sz w:val="21"/>
          <w:szCs w:val="21"/>
        </w:rPr>
        <w:t>回避甲方专家（含兼职）。</w:t>
      </w:r>
    </w:p>
    <w:p>
      <w:pPr>
        <w:widowControl/>
        <w:spacing w:line="360" w:lineRule="auto"/>
        <w:ind w:firstLine="602"/>
        <w:rPr>
          <w:rFonts w:ascii="宋体" w:hAnsi="宋体"/>
          <w:sz w:val="21"/>
          <w:szCs w:val="21"/>
        </w:rPr>
      </w:pPr>
      <w:r>
        <w:rPr>
          <w:rFonts w:ascii="宋体" w:hAnsi="宋体"/>
          <w:sz w:val="21"/>
          <w:szCs w:val="21"/>
        </w:rPr>
        <w:t>5.博士学位论文聘请</w:t>
      </w:r>
      <w:r>
        <w:rPr>
          <w:color w:val="000000" w:themeColor="text1"/>
          <w:sz w:val="24"/>
          <w14:textFill>
            <w14:solidFill>
              <w14:schemeClr w14:val="tx1"/>
            </w14:solidFill>
          </w14:textFill>
        </w:rPr>
        <w:t>■</w:t>
      </w:r>
      <w:r>
        <w:rPr>
          <w:rFonts w:ascii="宋体" w:hAnsi="宋体"/>
          <w:sz w:val="21"/>
          <w:szCs w:val="21"/>
        </w:rPr>
        <w:t>博士生导师</w:t>
      </w:r>
      <w:r>
        <w:rPr>
          <w:sz w:val="24"/>
        </w:rPr>
        <w:sym w:font="Wingdings 2" w:char="00A3"/>
      </w:r>
      <w:r>
        <w:rPr>
          <w:rFonts w:ascii="宋体" w:hAnsi="宋体"/>
          <w:sz w:val="21"/>
          <w:szCs w:val="21"/>
        </w:rPr>
        <w:t>硕士生导师（教授）；硕士学位论文聘请</w:t>
      </w:r>
      <w:r>
        <w:rPr>
          <w:sz w:val="24"/>
        </w:rPr>
        <w:t>■</w:t>
      </w:r>
      <w:r>
        <w:rPr>
          <w:rFonts w:ascii="宋体" w:hAnsi="宋体"/>
          <w:sz w:val="21"/>
          <w:szCs w:val="21"/>
        </w:rPr>
        <w:t>硕士生导师</w:t>
      </w:r>
      <w:r>
        <w:rPr>
          <w:sz w:val="24"/>
        </w:rPr>
        <w:t>■</w:t>
      </w:r>
      <w:r>
        <w:rPr>
          <w:rFonts w:ascii="宋体" w:hAnsi="宋体"/>
          <w:sz w:val="21"/>
          <w:szCs w:val="21"/>
        </w:rPr>
        <w:t>博士生导师。</w:t>
      </w:r>
    </w:p>
    <w:p>
      <w:pPr>
        <w:widowControl/>
        <w:spacing w:line="360" w:lineRule="auto"/>
        <w:ind w:firstLine="602"/>
        <w:rPr>
          <w:rFonts w:ascii="宋体" w:hAnsi="宋体"/>
          <w:sz w:val="21"/>
          <w:szCs w:val="21"/>
        </w:rPr>
      </w:pPr>
      <w:r>
        <w:rPr>
          <w:rFonts w:ascii="宋体" w:hAnsi="宋体"/>
          <w:sz w:val="21"/>
          <w:szCs w:val="21"/>
        </w:rPr>
        <w:t>6.</w:t>
      </w:r>
      <w:r>
        <w:rPr>
          <w:sz w:val="24"/>
        </w:rPr>
        <w:t xml:space="preserve"> ■</w:t>
      </w:r>
      <w:r>
        <w:rPr>
          <w:rFonts w:ascii="宋体" w:hAnsi="宋体"/>
          <w:sz w:val="21"/>
          <w:szCs w:val="21"/>
        </w:rPr>
        <w:t>学术学位论文优先聘请学术学位研究生导师；</w:t>
      </w:r>
      <w:r>
        <w:rPr>
          <w:sz w:val="24"/>
        </w:rPr>
        <w:t>■</w:t>
      </w:r>
      <w:r>
        <w:rPr>
          <w:rFonts w:ascii="宋体" w:hAnsi="宋体"/>
          <w:sz w:val="21"/>
          <w:szCs w:val="21"/>
        </w:rPr>
        <w:t>专业学位论文优先聘请专业学位研究生导师；</w:t>
      </w:r>
      <w:r>
        <w:rPr>
          <w:sz w:val="24"/>
        </w:rPr>
        <w:t>■</w:t>
      </w:r>
      <w:r>
        <w:rPr>
          <w:rFonts w:ascii="宋体" w:hAnsi="宋体"/>
          <w:sz w:val="21"/>
          <w:szCs w:val="21"/>
        </w:rPr>
        <w:t>当专业学位论文遴选专业学位研究生导师不足时，聘请相近学术学位研究生导师或副教授；</w:t>
      </w:r>
      <w:r>
        <w:rPr>
          <w:sz w:val="24"/>
        </w:rPr>
        <w:t>■</w:t>
      </w:r>
      <w:r>
        <w:rPr>
          <w:rFonts w:ascii="宋体" w:hAnsi="宋体"/>
          <w:sz w:val="21"/>
          <w:szCs w:val="21"/>
        </w:rPr>
        <w:t>当学术学位论文遴选学术学位研究生导师不足时，聘请相近专业学位研究生导师或副教授。</w:t>
      </w:r>
    </w:p>
    <w:p>
      <w:pPr>
        <w:widowControl/>
        <w:spacing w:line="360" w:lineRule="auto"/>
        <w:ind w:firstLine="420" w:firstLineChars="200"/>
        <w:rPr>
          <w:rFonts w:ascii="宋体" w:hAnsi="宋体"/>
          <w:sz w:val="21"/>
          <w:szCs w:val="21"/>
        </w:rPr>
      </w:pPr>
      <w:r>
        <w:rPr>
          <w:rFonts w:ascii="宋体" w:hAnsi="宋体"/>
          <w:sz w:val="21"/>
          <w:szCs w:val="21"/>
        </w:rPr>
        <w:t>7.在根据1-6的规则遴选出的专家中随机匹配学位论文评议专家。</w:t>
      </w:r>
    </w:p>
    <w:p>
      <w:pPr>
        <w:widowControl/>
        <w:spacing w:line="360" w:lineRule="auto"/>
        <w:ind w:firstLine="602"/>
        <w:rPr>
          <w:rFonts w:ascii="宋体" w:hAnsi="宋体"/>
          <w:bCs/>
          <w:sz w:val="21"/>
          <w:szCs w:val="21"/>
        </w:rPr>
      </w:pPr>
      <w:r>
        <w:rPr>
          <w:rFonts w:ascii="宋体" w:hAnsi="宋体"/>
          <w:b/>
          <w:sz w:val="21"/>
          <w:szCs w:val="21"/>
        </w:rPr>
        <w:t>补充遴选规则</w:t>
      </w:r>
      <w:r>
        <w:rPr>
          <w:rFonts w:ascii="宋体" w:hAnsi="宋体"/>
          <w:bCs/>
          <w:sz w:val="21"/>
          <w:szCs w:val="21"/>
        </w:rPr>
        <w:t>：</w:t>
      </w:r>
    </w:p>
    <w:p>
      <w:pPr>
        <w:widowControl/>
        <w:numPr>
          <w:ilvl w:val="255"/>
          <w:numId w:val="0"/>
        </w:numPr>
        <w:spacing w:line="360" w:lineRule="auto"/>
        <w:ind w:firstLine="420" w:firstLineChars="200"/>
        <w:rPr>
          <w:rFonts w:ascii="宋体" w:hAnsi="宋体"/>
          <w:sz w:val="21"/>
          <w:szCs w:val="21"/>
        </w:rPr>
      </w:pPr>
      <w:r>
        <w:rPr>
          <w:rFonts w:ascii="宋体" w:hAnsi="宋体"/>
          <w:sz w:val="21"/>
          <w:szCs w:val="21"/>
        </w:rPr>
        <w:t>8.在满足“自动遴选规则”1和7条和必选项的前提下，对遴选规则进行删减或补充，形成个性化补充遴选方案。</w:t>
      </w:r>
    </w:p>
    <w:p>
      <w:pPr>
        <w:widowControl/>
        <w:numPr>
          <w:ilvl w:val="255"/>
          <w:numId w:val="0"/>
        </w:numPr>
        <w:spacing w:line="360" w:lineRule="auto"/>
        <w:ind w:firstLine="420" w:firstLineChars="200"/>
        <w:rPr>
          <w:rFonts w:ascii="宋体" w:hAnsi="宋体"/>
          <w:sz w:val="21"/>
          <w:szCs w:val="21"/>
        </w:rPr>
      </w:pPr>
      <w:r>
        <w:rPr>
          <w:rFonts w:ascii="宋体" w:hAnsi="宋体"/>
          <w:sz w:val="21"/>
          <w:szCs w:val="21"/>
        </w:rPr>
        <w:t>9.在保证科学性的前提下，可对本单位学位论文“研究方向”内容进行补充、修正，修正的吻合性责任由甲方承担。</w:t>
      </w:r>
    </w:p>
    <w:p>
      <w:pPr>
        <w:widowControl/>
        <w:numPr>
          <w:ilvl w:val="0"/>
          <w:numId w:val="4"/>
        </w:numPr>
        <w:spacing w:line="360" w:lineRule="auto"/>
        <w:ind w:firstLine="602"/>
        <w:rPr>
          <w:rFonts w:ascii="宋体" w:hAnsi="宋体"/>
          <w:sz w:val="21"/>
          <w:szCs w:val="21"/>
        </w:rPr>
      </w:pPr>
      <w:r>
        <w:rPr>
          <w:rFonts w:ascii="宋体" w:hAnsi="宋体"/>
          <w:sz w:val="21"/>
          <w:szCs w:val="21"/>
        </w:rPr>
        <w:t>甲方可自行选择评议专家遴选方式。</w:t>
      </w:r>
    </w:p>
    <w:p>
      <w:pPr>
        <w:widowControl/>
        <w:spacing w:line="360" w:lineRule="auto"/>
        <w:ind w:firstLine="420" w:firstLineChars="200"/>
        <w:rPr>
          <w:rFonts w:ascii="宋体" w:hAnsi="宋体"/>
          <w:sz w:val="21"/>
          <w:szCs w:val="21"/>
        </w:rPr>
      </w:pPr>
      <w:r>
        <w:rPr>
          <w:rFonts w:ascii="宋体" w:hAnsi="宋体"/>
          <w:sz w:val="21"/>
          <w:szCs w:val="21"/>
        </w:rPr>
        <w:t>1.如甲方选择“自动遴选”，表示认可第（四）款的“自动遴选规则”，平台将按此规则自动遴选出专家，并自动发出评议邀请。</w:t>
      </w:r>
    </w:p>
    <w:p>
      <w:pPr>
        <w:widowControl/>
        <w:spacing w:line="360" w:lineRule="auto"/>
        <w:ind w:firstLine="420" w:firstLineChars="200"/>
        <w:rPr>
          <w:rFonts w:ascii="宋体" w:hAnsi="宋体"/>
          <w:sz w:val="21"/>
          <w:szCs w:val="21"/>
        </w:rPr>
      </w:pPr>
      <w:r>
        <w:rPr>
          <w:rFonts w:ascii="宋体" w:hAnsi="宋体"/>
          <w:sz w:val="21"/>
          <w:szCs w:val="21"/>
        </w:rPr>
        <w:t>2.如甲方选择“补充遴选”，即认可按第（四）款的“补充遴选规则”，通过调整学位论文“研究方向”后再次转入“自动遴选”，或通过自行设置的补充遴选方案对平台“补充遴选”出的专家进行确认，再通过平台发出评议邀请。</w:t>
      </w:r>
    </w:p>
    <w:p>
      <w:pPr>
        <w:spacing w:line="360" w:lineRule="auto"/>
        <w:ind w:firstLine="420" w:firstLineChars="200"/>
        <w:rPr>
          <w:rFonts w:ascii="宋体" w:hAnsi="宋体"/>
          <w:sz w:val="21"/>
          <w:szCs w:val="21"/>
        </w:rPr>
      </w:pPr>
      <w:r>
        <w:rPr>
          <w:rFonts w:ascii="宋体" w:hAnsi="宋体"/>
          <w:sz w:val="21"/>
          <w:szCs w:val="21"/>
        </w:rPr>
        <w:t>（六）甲方须跟踪、把控学位论文送评进度。</w:t>
      </w:r>
    </w:p>
    <w:p>
      <w:pPr>
        <w:spacing w:line="360" w:lineRule="auto"/>
        <w:ind w:firstLine="420" w:firstLineChars="200"/>
        <w:rPr>
          <w:rFonts w:ascii="宋体" w:hAnsi="宋体"/>
          <w:sz w:val="21"/>
          <w:szCs w:val="21"/>
        </w:rPr>
      </w:pPr>
      <w:bookmarkStart w:id="2" w:name="_Hlk80098294"/>
      <w:r>
        <w:rPr>
          <w:rFonts w:ascii="宋体" w:hAnsi="宋体"/>
          <w:sz w:val="21"/>
          <w:szCs w:val="21"/>
        </w:rPr>
        <w:t>1.对当前存在评议专家数量不足情况的学位论文及时补充遴选专家；</w:t>
      </w:r>
    </w:p>
    <w:p>
      <w:pPr>
        <w:spacing w:line="360" w:lineRule="auto"/>
        <w:ind w:firstLine="420" w:firstLineChars="200"/>
        <w:rPr>
          <w:rFonts w:ascii="宋体" w:hAnsi="宋体"/>
          <w:sz w:val="21"/>
          <w:szCs w:val="21"/>
        </w:rPr>
      </w:pPr>
      <w:r>
        <w:rPr>
          <w:rFonts w:ascii="宋体" w:hAnsi="宋体"/>
          <w:sz w:val="21"/>
          <w:szCs w:val="21"/>
        </w:rPr>
        <w:t>2.对因专家个人原因超过评议时限未提交评议意见、经平台自动解除评议关系后仍存在评议专家数量不足情况的学位论文及时补充遴选专家；</w:t>
      </w:r>
    </w:p>
    <w:p>
      <w:pPr>
        <w:spacing w:line="360" w:lineRule="auto"/>
        <w:ind w:firstLine="420" w:firstLineChars="200"/>
        <w:rPr>
          <w:rFonts w:ascii="宋体" w:hAnsi="宋体"/>
          <w:bCs/>
          <w:sz w:val="21"/>
          <w:szCs w:val="21"/>
        </w:rPr>
      </w:pPr>
      <w:r>
        <w:rPr>
          <w:rFonts w:ascii="宋体" w:hAnsi="宋体"/>
          <w:sz w:val="21"/>
          <w:szCs w:val="21"/>
        </w:rPr>
        <w:t>3.对</w:t>
      </w:r>
      <w:r>
        <w:rPr>
          <w:rFonts w:ascii="宋体" w:hAnsi="宋体"/>
          <w:bCs/>
          <w:sz w:val="21"/>
          <w:szCs w:val="21"/>
        </w:rPr>
        <w:t>需个性化送评或小语种、小学科等存在特殊情况的</w:t>
      </w:r>
      <w:r>
        <w:rPr>
          <w:rFonts w:ascii="宋体" w:hAnsi="宋体"/>
          <w:sz w:val="21"/>
          <w:szCs w:val="21"/>
        </w:rPr>
        <w:t>学位</w:t>
      </w:r>
      <w:r>
        <w:rPr>
          <w:rFonts w:ascii="宋体" w:hAnsi="宋体"/>
          <w:bCs/>
          <w:sz w:val="21"/>
          <w:szCs w:val="21"/>
        </w:rPr>
        <w:t>论文，当甲方在平台进行</w:t>
      </w:r>
      <w:r>
        <w:rPr>
          <w:rFonts w:ascii="宋体" w:hAnsi="宋体"/>
          <w:sz w:val="21"/>
          <w:szCs w:val="21"/>
        </w:rPr>
        <w:t>10次以上遴选专家操作，评议专家数量仍不足时，甲方须及时终止平台送评，并通过平台以外的方式另行处理</w:t>
      </w:r>
      <w:r>
        <w:rPr>
          <w:rFonts w:ascii="宋体" w:hAnsi="宋体"/>
          <w:bCs/>
          <w:sz w:val="21"/>
          <w:szCs w:val="21"/>
        </w:rPr>
        <w:t>。</w:t>
      </w:r>
    </w:p>
    <w:bookmarkEnd w:id="2"/>
    <w:p>
      <w:pPr>
        <w:numPr>
          <w:ilvl w:val="0"/>
          <w:numId w:val="5"/>
        </w:numPr>
        <w:spacing w:line="360" w:lineRule="auto"/>
        <w:ind w:firstLine="602"/>
        <w:rPr>
          <w:rFonts w:ascii="宋体" w:hAnsi="宋体"/>
          <w:sz w:val="21"/>
          <w:szCs w:val="21"/>
        </w:rPr>
      </w:pPr>
      <w:bookmarkStart w:id="3" w:name="_Hlk79424086"/>
      <w:r>
        <w:rPr>
          <w:rFonts w:ascii="宋体" w:hAnsi="宋体"/>
          <w:sz w:val="21"/>
          <w:szCs w:val="21"/>
        </w:rPr>
        <w:t>甲方自行决定如何使用专家评议意见。如对评议意见存在异议，可在评议意见提交后一个月内向乙方提出并协商解决，但不得就平台评议意见与评议专家直接联系和沟通。</w:t>
      </w:r>
    </w:p>
    <w:bookmarkEnd w:id="3"/>
    <w:p>
      <w:pPr>
        <w:numPr>
          <w:ilvl w:val="0"/>
          <w:numId w:val="5"/>
        </w:numPr>
        <w:spacing w:line="360" w:lineRule="auto"/>
        <w:ind w:firstLine="602"/>
        <w:rPr>
          <w:rFonts w:ascii="宋体" w:hAnsi="宋体"/>
          <w:sz w:val="21"/>
          <w:szCs w:val="21"/>
        </w:rPr>
      </w:pPr>
      <w:r>
        <w:rPr>
          <w:rFonts w:ascii="宋体" w:hAnsi="宋体"/>
          <w:sz w:val="21"/>
          <w:szCs w:val="21"/>
        </w:rPr>
        <w:t>甲方一级账户管理员须参加乙方组织的平台操作培训，且在通过培训考核后方可开展平台学位论文送评工作，并负责本单位后续一级账户新管理员及二级账户管理员的操作培训。</w:t>
      </w:r>
    </w:p>
    <w:p>
      <w:pPr>
        <w:numPr>
          <w:ilvl w:val="0"/>
          <w:numId w:val="5"/>
        </w:numPr>
        <w:spacing w:line="360" w:lineRule="auto"/>
        <w:ind w:firstLine="602"/>
        <w:rPr>
          <w:rFonts w:ascii="宋体" w:hAnsi="宋体"/>
          <w:sz w:val="21"/>
          <w:szCs w:val="21"/>
        </w:rPr>
      </w:pPr>
      <w:r>
        <w:rPr>
          <w:rFonts w:ascii="宋体" w:hAnsi="宋体"/>
          <w:sz w:val="21"/>
          <w:szCs w:val="21"/>
        </w:rPr>
        <w:t>甲方负责管理本单位全部平台账户（含二级账户），一级账户负责对二级账户的操作进行管控，每个二级学院（系）只可设置一个二级账户，原则上二级账户数量不得超过甲方二级学院（系）总数。</w:t>
      </w:r>
    </w:p>
    <w:p>
      <w:pPr>
        <w:numPr>
          <w:ilvl w:val="0"/>
          <w:numId w:val="5"/>
        </w:numPr>
        <w:spacing w:line="360" w:lineRule="auto"/>
        <w:ind w:firstLine="602"/>
        <w:rPr>
          <w:rFonts w:ascii="宋体" w:hAnsi="宋体"/>
          <w:sz w:val="21"/>
          <w:szCs w:val="21"/>
        </w:rPr>
      </w:pPr>
      <w:r>
        <w:rPr>
          <w:rFonts w:ascii="宋体" w:hAnsi="宋体"/>
          <w:sz w:val="21"/>
          <w:szCs w:val="21"/>
        </w:rPr>
        <w:t>甲方负责管理本单位账户（含二级账户）账号和密码，账户仅限本单位（部门）负责博士、硕士学位授予工作且在平台完成信息登记的管理人员使用，不得向平台登记管理员以外的个人及单位转借，一经发现违反以上约定，将暂停甲方全部用户平台使用权限。</w:t>
      </w:r>
    </w:p>
    <w:p>
      <w:pPr>
        <w:numPr>
          <w:ilvl w:val="0"/>
          <w:numId w:val="5"/>
        </w:numPr>
        <w:spacing w:line="360" w:lineRule="auto"/>
        <w:ind w:firstLine="602"/>
        <w:rPr>
          <w:rFonts w:ascii="宋体" w:hAnsi="宋体"/>
          <w:sz w:val="21"/>
          <w:szCs w:val="21"/>
        </w:rPr>
      </w:pPr>
      <w:r>
        <w:rPr>
          <w:rFonts w:ascii="宋体" w:hAnsi="宋体"/>
          <w:sz w:val="21"/>
          <w:szCs w:val="21"/>
        </w:rPr>
        <w:t>甲方须确保上传平台学位论文信息及材料的真实性和准确性，若因甲方上传学位论文信息及材料不准确或不真实，影响评议进度等情况，后果由甲方承担。</w:t>
      </w:r>
    </w:p>
    <w:p>
      <w:pPr>
        <w:numPr>
          <w:ilvl w:val="0"/>
          <w:numId w:val="5"/>
        </w:numPr>
        <w:spacing w:line="360" w:lineRule="auto"/>
        <w:ind w:firstLine="602"/>
        <w:rPr>
          <w:rFonts w:ascii="宋体" w:hAnsi="宋体"/>
          <w:sz w:val="21"/>
          <w:szCs w:val="21"/>
        </w:rPr>
      </w:pPr>
      <w:r>
        <w:rPr>
          <w:rFonts w:ascii="宋体" w:hAnsi="宋体"/>
          <w:sz w:val="21"/>
          <w:szCs w:val="21"/>
        </w:rPr>
        <w:t>甲方向乙方提供本单位专业技术职务为副高级及以上的博士生导师、硕士生导师及专业学位校外行业导师作为学位论文评议专家，并在协议有效期内无偿协助乙方对本单位上述专家资源进行更新及维护。</w:t>
      </w:r>
    </w:p>
    <w:p>
      <w:pPr>
        <w:numPr>
          <w:ilvl w:val="0"/>
          <w:numId w:val="5"/>
        </w:numPr>
        <w:spacing w:line="360" w:lineRule="auto"/>
        <w:ind w:firstLine="602"/>
        <w:rPr>
          <w:rFonts w:ascii="宋体" w:hAnsi="宋体"/>
          <w:sz w:val="21"/>
          <w:szCs w:val="21"/>
        </w:rPr>
      </w:pPr>
      <w:r>
        <w:rPr>
          <w:rFonts w:ascii="宋体" w:hAnsi="宋体"/>
          <w:sz w:val="21"/>
          <w:szCs w:val="21"/>
        </w:rPr>
        <w:t>甲方为本单位学位论文质量监测行为的责任主体，须按本协议条款，正确认识乙方提供的第三方服务性质，不得误导相关利益方，曲解、转移学位论文送评的主体责任。</w:t>
      </w:r>
    </w:p>
    <w:p>
      <w:pPr>
        <w:numPr>
          <w:ilvl w:val="0"/>
          <w:numId w:val="5"/>
        </w:numPr>
        <w:spacing w:line="360" w:lineRule="auto"/>
        <w:ind w:firstLine="602"/>
        <w:rPr>
          <w:rFonts w:ascii="宋体" w:hAnsi="宋体"/>
          <w:sz w:val="21"/>
          <w:szCs w:val="21"/>
        </w:rPr>
      </w:pPr>
      <w:r>
        <w:rPr>
          <w:rFonts w:ascii="宋体" w:hAnsi="宋体"/>
          <w:sz w:val="21"/>
          <w:szCs w:val="21"/>
        </w:rPr>
        <w:t>甲方应按协议约定的质量监测服务费标准及时向乙方支付服务费用。</w:t>
      </w:r>
    </w:p>
    <w:p>
      <w:pPr>
        <w:numPr>
          <w:ilvl w:val="255"/>
          <w:numId w:val="0"/>
        </w:numPr>
        <w:spacing w:line="360" w:lineRule="auto"/>
        <w:ind w:firstLine="422" w:firstLineChars="200"/>
        <w:rPr>
          <w:rFonts w:ascii="宋体" w:hAnsi="宋体"/>
          <w:b/>
          <w:bCs/>
          <w:sz w:val="21"/>
          <w:szCs w:val="21"/>
        </w:rPr>
      </w:pPr>
      <w:r>
        <w:rPr>
          <w:rFonts w:ascii="宋体" w:hAnsi="宋体"/>
          <w:b/>
          <w:bCs/>
          <w:sz w:val="21"/>
          <w:szCs w:val="21"/>
        </w:rPr>
        <w:t>第三条乙方权利与义务</w:t>
      </w:r>
    </w:p>
    <w:p>
      <w:pPr>
        <w:spacing w:line="360" w:lineRule="auto"/>
        <w:ind w:firstLine="420" w:firstLineChars="200"/>
        <w:rPr>
          <w:rFonts w:ascii="宋体" w:hAnsi="宋体"/>
          <w:sz w:val="21"/>
          <w:szCs w:val="21"/>
        </w:rPr>
      </w:pPr>
      <w:r>
        <w:rPr>
          <w:rFonts w:ascii="宋体" w:hAnsi="宋体"/>
          <w:sz w:val="21"/>
          <w:szCs w:val="21"/>
        </w:rPr>
        <w:t>（一）乙方为甲方提供平</w:t>
      </w:r>
      <w:r>
        <w:rPr>
          <w:rFonts w:ascii="宋体" w:hAnsi="宋体"/>
          <w:bCs/>
          <w:sz w:val="21"/>
          <w:szCs w:val="21"/>
        </w:rPr>
        <w:t>台服务，并负责平台功能</w:t>
      </w:r>
      <w:r>
        <w:rPr>
          <w:rFonts w:ascii="宋体" w:hAnsi="宋体"/>
          <w:sz w:val="21"/>
          <w:szCs w:val="21"/>
        </w:rPr>
        <w:t>的维护和优化，解决送评过程中遇到的平台技术问题，为甲方论文评议工作提供技术支持保障。</w:t>
      </w:r>
    </w:p>
    <w:p>
      <w:pPr>
        <w:spacing w:line="360" w:lineRule="auto"/>
        <w:ind w:firstLine="420" w:firstLineChars="200"/>
        <w:rPr>
          <w:rFonts w:ascii="宋体" w:hAnsi="宋体"/>
          <w:sz w:val="21"/>
          <w:szCs w:val="21"/>
        </w:rPr>
      </w:pPr>
      <w:r>
        <w:rPr>
          <w:rFonts w:ascii="宋体" w:hAnsi="宋体"/>
          <w:sz w:val="21"/>
          <w:szCs w:val="21"/>
        </w:rPr>
        <w:t>（二）乙方为甲方提供全国范围内博士、硕士学位论文评议专家资源，保证专家信息的准确性，并定期对专家信息进行更新和维护。</w:t>
      </w:r>
    </w:p>
    <w:p>
      <w:pPr>
        <w:numPr>
          <w:ilvl w:val="0"/>
          <w:numId w:val="6"/>
        </w:numPr>
        <w:spacing w:line="360" w:lineRule="auto"/>
        <w:ind w:firstLine="420" w:firstLineChars="200"/>
        <w:rPr>
          <w:rFonts w:ascii="宋体" w:hAnsi="宋体"/>
          <w:sz w:val="21"/>
          <w:szCs w:val="21"/>
        </w:rPr>
      </w:pPr>
      <w:r>
        <w:rPr>
          <w:rFonts w:ascii="宋体" w:hAnsi="宋体"/>
          <w:sz w:val="21"/>
          <w:szCs w:val="21"/>
        </w:rPr>
        <w:t>乙方负责提供必要的平台操作培训，及时提供和更新平台操作视频、规程等资料，并保证资料准确清晰。</w:t>
      </w:r>
    </w:p>
    <w:p>
      <w:pPr>
        <w:numPr>
          <w:ilvl w:val="0"/>
          <w:numId w:val="6"/>
        </w:numPr>
        <w:spacing w:line="360" w:lineRule="auto"/>
        <w:ind w:firstLine="415" w:firstLineChars="198"/>
        <w:rPr>
          <w:rFonts w:ascii="宋体" w:hAnsi="宋体"/>
          <w:sz w:val="21"/>
          <w:szCs w:val="21"/>
        </w:rPr>
      </w:pPr>
      <w:r>
        <w:rPr>
          <w:rFonts w:ascii="宋体" w:hAnsi="宋体"/>
          <w:sz w:val="21"/>
          <w:szCs w:val="21"/>
        </w:rPr>
        <w:t>乙方根据甲方确定的学位论文评议专家遴选规则提供自动遴选或补充遴选服务。</w:t>
      </w:r>
    </w:p>
    <w:p>
      <w:pPr>
        <w:tabs>
          <w:tab w:val="left" w:pos="312"/>
        </w:tabs>
        <w:spacing w:line="360" w:lineRule="auto"/>
        <w:ind w:firstLine="420" w:firstLineChars="200"/>
        <w:rPr>
          <w:rFonts w:ascii="宋体" w:hAnsi="宋体"/>
          <w:sz w:val="21"/>
          <w:szCs w:val="21"/>
        </w:rPr>
      </w:pPr>
      <w:r>
        <w:rPr>
          <w:rFonts w:hint="eastAsia" w:ascii="宋体" w:hAnsi="宋体"/>
          <w:sz w:val="21"/>
          <w:szCs w:val="21"/>
        </w:rPr>
        <w:t>1.</w:t>
      </w:r>
      <w:r>
        <w:rPr>
          <w:rFonts w:ascii="宋体" w:hAnsi="宋体"/>
          <w:sz w:val="21"/>
          <w:szCs w:val="21"/>
        </w:rPr>
        <w:t>自动遴选服务，即平台按“甲方权利与义务”之第（四）款的“自动遴选规则”，按“甲方权利与义务”之第（五）款的第1点要求，提供自动专家遴选功能。</w:t>
      </w:r>
    </w:p>
    <w:p>
      <w:pPr>
        <w:tabs>
          <w:tab w:val="left" w:pos="312"/>
        </w:tabs>
        <w:spacing w:line="360" w:lineRule="auto"/>
        <w:ind w:firstLine="420" w:firstLineChars="200"/>
        <w:rPr>
          <w:rFonts w:ascii="宋体" w:hAnsi="宋体"/>
          <w:sz w:val="21"/>
          <w:szCs w:val="21"/>
        </w:rPr>
      </w:pPr>
      <w:r>
        <w:rPr>
          <w:rFonts w:hint="eastAsia" w:ascii="宋体" w:hAnsi="宋体"/>
          <w:sz w:val="21"/>
          <w:szCs w:val="21"/>
        </w:rPr>
        <w:t>2.</w:t>
      </w:r>
      <w:r>
        <w:rPr>
          <w:rFonts w:ascii="宋体" w:hAnsi="宋体"/>
          <w:sz w:val="21"/>
          <w:szCs w:val="21"/>
        </w:rPr>
        <w:t>补充遴选服务，即平台按“甲方权利与义务”之第（四）款的“补充遴选规则”，按“甲方权利与义务”之第（五）款的第2点要求，提供补充专家遴选功能。</w:t>
      </w:r>
    </w:p>
    <w:p>
      <w:pPr>
        <w:numPr>
          <w:ilvl w:val="0"/>
          <w:numId w:val="6"/>
        </w:numPr>
        <w:spacing w:line="360" w:lineRule="auto"/>
        <w:ind w:firstLine="415" w:firstLineChars="198"/>
        <w:jc w:val="left"/>
        <w:rPr>
          <w:rFonts w:ascii="宋体" w:hAnsi="宋体"/>
          <w:sz w:val="21"/>
          <w:szCs w:val="21"/>
        </w:rPr>
      </w:pPr>
      <w:r>
        <w:rPr>
          <w:rFonts w:ascii="宋体" w:hAnsi="宋体"/>
          <w:sz w:val="21"/>
          <w:szCs w:val="21"/>
        </w:rPr>
        <w:t>乙方负责保障平台与评议专家的信息交互，保证平台为甲方学位论文评议工作向专家发送参评邀请、取消超过确认期限未确认参评专家邀请，评议意见提交提醒，解除超过评议期限未提交评议意见专家评议关系等。</w:t>
      </w:r>
    </w:p>
    <w:p>
      <w:pPr>
        <w:numPr>
          <w:ilvl w:val="0"/>
          <w:numId w:val="6"/>
        </w:numPr>
        <w:spacing w:line="360" w:lineRule="auto"/>
        <w:ind w:firstLine="415" w:firstLineChars="198"/>
        <w:rPr>
          <w:rFonts w:ascii="宋体" w:hAnsi="宋体"/>
          <w:sz w:val="21"/>
          <w:szCs w:val="21"/>
        </w:rPr>
      </w:pPr>
      <w:r>
        <w:rPr>
          <w:rFonts w:ascii="宋体" w:hAnsi="宋体"/>
          <w:sz w:val="21"/>
          <w:szCs w:val="21"/>
        </w:rPr>
        <w:t>乙方提供专家参评确认功能，并要求专家在收到评议邀请后对学位论文研究内容熟悉程度进行选择，当专家选择“不熟悉”时，平台将自动解除该专家邀请，并将该专家排除在遴选范围之外。</w:t>
      </w:r>
    </w:p>
    <w:p>
      <w:pPr>
        <w:numPr>
          <w:ilvl w:val="0"/>
          <w:numId w:val="6"/>
        </w:numPr>
        <w:spacing w:line="360" w:lineRule="auto"/>
        <w:ind w:firstLine="415" w:firstLineChars="198"/>
        <w:rPr>
          <w:rFonts w:ascii="宋体" w:hAnsi="宋体"/>
          <w:sz w:val="21"/>
          <w:szCs w:val="21"/>
        </w:rPr>
      </w:pPr>
      <w:r>
        <w:rPr>
          <w:rFonts w:ascii="宋体" w:hAnsi="宋体"/>
          <w:sz w:val="21"/>
          <w:szCs w:val="21"/>
        </w:rPr>
        <w:t>乙方负责协助甲方与参评专家沟通解决学术意见以外的评议意见问题，乙方不得在学位论文评议过程中与专家联系，干扰专家评议。</w:t>
      </w:r>
    </w:p>
    <w:p>
      <w:pPr>
        <w:numPr>
          <w:ilvl w:val="0"/>
          <w:numId w:val="6"/>
        </w:numPr>
        <w:spacing w:line="360" w:lineRule="auto"/>
        <w:ind w:firstLine="415" w:firstLineChars="198"/>
        <w:rPr>
          <w:rFonts w:ascii="宋体" w:hAnsi="宋体"/>
          <w:sz w:val="21"/>
          <w:szCs w:val="21"/>
        </w:rPr>
      </w:pPr>
      <w:r>
        <w:rPr>
          <w:rFonts w:ascii="宋体" w:hAnsi="宋体"/>
          <w:sz w:val="21"/>
          <w:szCs w:val="21"/>
        </w:rPr>
        <w:t>乙方负责对甲方开始专家遴选操作25天以上的博士学位论文、20天以上的硕士学位论文进行跟踪提醒。</w:t>
      </w:r>
    </w:p>
    <w:p>
      <w:pPr>
        <w:numPr>
          <w:ilvl w:val="0"/>
          <w:numId w:val="6"/>
        </w:numPr>
        <w:spacing w:line="360" w:lineRule="auto"/>
        <w:ind w:firstLine="420" w:firstLineChars="200"/>
        <w:rPr>
          <w:rFonts w:ascii="宋体" w:hAnsi="宋体"/>
          <w:sz w:val="21"/>
          <w:szCs w:val="21"/>
        </w:rPr>
      </w:pPr>
      <w:r>
        <w:rPr>
          <w:rFonts w:ascii="宋体" w:hAnsi="宋体"/>
          <w:sz w:val="21"/>
          <w:szCs w:val="21"/>
        </w:rPr>
        <w:t>乙方不受理任何学生、导师个人对评议结果提出的异议。</w:t>
      </w:r>
    </w:p>
    <w:p>
      <w:pPr>
        <w:numPr>
          <w:ilvl w:val="0"/>
          <w:numId w:val="6"/>
        </w:numPr>
        <w:spacing w:line="360" w:lineRule="auto"/>
        <w:ind w:firstLine="420" w:firstLineChars="200"/>
        <w:rPr>
          <w:rFonts w:ascii="宋体" w:hAnsi="宋体"/>
          <w:sz w:val="21"/>
          <w:szCs w:val="21"/>
        </w:rPr>
      </w:pPr>
      <w:r>
        <w:rPr>
          <w:rFonts w:ascii="宋体" w:hAnsi="宋体"/>
          <w:sz w:val="21"/>
          <w:szCs w:val="21"/>
        </w:rPr>
        <w:t>乙方在服务过程中严格履行“四个绝不”，即绝不指定学位论文评议专家、绝不干扰学位论文评议专家工作、绝不透露甲方学位论文评议专家，绝不篡改甲方学位论文专家评议结果。</w:t>
      </w:r>
    </w:p>
    <w:p>
      <w:pPr>
        <w:numPr>
          <w:ilvl w:val="0"/>
          <w:numId w:val="6"/>
        </w:numPr>
        <w:spacing w:line="360" w:lineRule="auto"/>
        <w:ind w:firstLine="420" w:firstLineChars="200"/>
        <w:rPr>
          <w:rFonts w:ascii="宋体" w:hAnsi="宋体"/>
          <w:sz w:val="21"/>
          <w:szCs w:val="21"/>
        </w:rPr>
      </w:pPr>
      <w:r>
        <w:rPr>
          <w:rFonts w:ascii="宋体" w:hAnsi="宋体"/>
          <w:sz w:val="21"/>
          <w:szCs w:val="21"/>
        </w:rPr>
        <w:t>乙方负责向本协议有效期内实际参与甲方学位论文评议的专家支付专家劳务费。</w:t>
      </w:r>
    </w:p>
    <w:p>
      <w:pPr>
        <w:numPr>
          <w:ilvl w:val="255"/>
          <w:numId w:val="0"/>
        </w:numPr>
        <w:spacing w:line="360" w:lineRule="auto"/>
        <w:ind w:firstLine="422" w:firstLineChars="200"/>
        <w:rPr>
          <w:rFonts w:ascii="宋体" w:hAnsi="宋体"/>
          <w:sz w:val="21"/>
          <w:szCs w:val="21"/>
        </w:rPr>
      </w:pPr>
      <w:r>
        <w:rPr>
          <w:rFonts w:ascii="宋体" w:hAnsi="宋体"/>
          <w:b/>
          <w:bCs/>
          <w:sz w:val="21"/>
          <w:szCs w:val="21"/>
        </w:rPr>
        <w:t>第四条重大失误处理办法</w:t>
      </w:r>
    </w:p>
    <w:p>
      <w:pPr>
        <w:numPr>
          <w:ilvl w:val="0"/>
          <w:numId w:val="7"/>
        </w:numPr>
        <w:spacing w:line="360" w:lineRule="auto"/>
        <w:ind w:firstLine="420" w:firstLineChars="200"/>
        <w:rPr>
          <w:rFonts w:ascii="宋体" w:hAnsi="宋体"/>
          <w:sz w:val="21"/>
          <w:szCs w:val="21"/>
        </w:rPr>
      </w:pPr>
      <w:r>
        <w:rPr>
          <w:rFonts w:ascii="宋体" w:hAnsi="宋体"/>
          <w:sz w:val="21"/>
          <w:szCs w:val="21"/>
        </w:rPr>
        <w:t>甲方如在协议有效期内出现重大操作失误，可以正式公函形式申请乙方协助解决，公函须经甲方部门领导签字并加盖公章，乙方在收到甲方正式公函后，协助甲方处理。</w:t>
      </w:r>
    </w:p>
    <w:p>
      <w:pPr>
        <w:numPr>
          <w:ilvl w:val="255"/>
          <w:numId w:val="0"/>
        </w:numPr>
        <w:spacing w:line="360" w:lineRule="auto"/>
        <w:ind w:firstLine="420" w:firstLineChars="200"/>
        <w:rPr>
          <w:rFonts w:ascii="宋体" w:hAnsi="宋体"/>
          <w:sz w:val="21"/>
          <w:szCs w:val="21"/>
        </w:rPr>
      </w:pPr>
      <w:r>
        <w:rPr>
          <w:rFonts w:ascii="宋体" w:hAnsi="宋体"/>
          <w:sz w:val="21"/>
          <w:szCs w:val="21"/>
        </w:rPr>
        <w:t>重大操作失误包括但不限于单批次送评出现10篇以上学位论文信息及材料错误、评阅书模板设置错误、评阅书模板与学位论文信息及材料匹配错误等。</w:t>
      </w:r>
    </w:p>
    <w:p>
      <w:pPr>
        <w:numPr>
          <w:ilvl w:val="0"/>
          <w:numId w:val="7"/>
        </w:numPr>
        <w:spacing w:line="360" w:lineRule="auto"/>
        <w:ind w:firstLine="420" w:firstLineChars="200"/>
        <w:rPr>
          <w:rFonts w:ascii="宋体" w:hAnsi="宋体"/>
          <w:sz w:val="21"/>
          <w:szCs w:val="21"/>
        </w:rPr>
      </w:pPr>
      <w:r>
        <w:rPr>
          <w:rFonts w:ascii="宋体" w:hAnsi="宋体"/>
          <w:sz w:val="21"/>
          <w:szCs w:val="21"/>
        </w:rPr>
        <w:t>当甲方出现两次及以上重大操作失误，严重影响专家评议工作时，乙方将暂停甲方平台使用权限，甲方一级账户管理员须重新参加乙方组织的培训，通过考核后继续平台送评工作。</w:t>
      </w:r>
    </w:p>
    <w:p>
      <w:pPr>
        <w:spacing w:line="360" w:lineRule="auto"/>
        <w:ind w:firstLine="517" w:firstLineChars="245"/>
        <w:rPr>
          <w:rFonts w:ascii="宋体" w:hAnsi="宋体"/>
          <w:b/>
          <w:bCs/>
          <w:sz w:val="21"/>
          <w:szCs w:val="21"/>
        </w:rPr>
      </w:pPr>
      <w:r>
        <w:rPr>
          <w:rFonts w:ascii="宋体" w:hAnsi="宋体"/>
          <w:b/>
          <w:bCs/>
          <w:sz w:val="21"/>
          <w:szCs w:val="21"/>
        </w:rPr>
        <w:t>第五条服务费标准与金额</w:t>
      </w:r>
    </w:p>
    <w:p>
      <w:pPr>
        <w:spacing w:line="360" w:lineRule="auto"/>
        <w:ind w:firstLine="420" w:firstLineChars="200"/>
        <w:rPr>
          <w:rFonts w:ascii="宋体" w:hAnsi="宋体"/>
          <w:sz w:val="21"/>
          <w:szCs w:val="21"/>
        </w:rPr>
      </w:pPr>
      <w:r>
        <w:rPr>
          <w:rFonts w:ascii="宋体" w:hAnsi="宋体"/>
          <w:sz w:val="21"/>
          <w:szCs w:val="21"/>
        </w:rPr>
        <w:t>（一）服务费标准：硕士学位论文质量监测服务费（含初评、复评、增评）为￥</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元/篇次；博士学位论文质量监测服务费（含初评、复评、增评）为￥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元/篇次。</w:t>
      </w:r>
    </w:p>
    <w:p>
      <w:pPr>
        <w:spacing w:line="360" w:lineRule="auto"/>
        <w:ind w:firstLine="602"/>
        <w:rPr>
          <w:rFonts w:ascii="宋体" w:hAnsi="宋体"/>
          <w:sz w:val="21"/>
          <w:szCs w:val="21"/>
        </w:rPr>
      </w:pPr>
      <w:r>
        <w:rPr>
          <w:rFonts w:ascii="宋体" w:hAnsi="宋体"/>
          <w:sz w:val="21"/>
          <w:szCs w:val="21"/>
        </w:rPr>
        <w:t>（二）甲方年度送评学位论文篇次数量根据上年度实际送评学位论文数量及每篇学位论文送评专家数量预估；如甲方上年度未送评，则由甲方预估本协议有效期内送评学位论文篇次数量。</w:t>
      </w:r>
    </w:p>
    <w:p>
      <w:pPr>
        <w:spacing w:line="360" w:lineRule="auto"/>
        <w:ind w:firstLine="602"/>
        <w:rPr>
          <w:rFonts w:ascii="宋体" w:hAnsi="宋体"/>
          <w:sz w:val="21"/>
          <w:szCs w:val="21"/>
        </w:rPr>
      </w:pPr>
      <w:r>
        <w:rPr>
          <w:rFonts w:ascii="宋体" w:hAnsi="宋体"/>
          <w:sz w:val="21"/>
          <w:szCs w:val="21"/>
        </w:rPr>
        <w:t>（三）本协议服务费总额依据服务费标准与预估送评学位论文篇次数量进行计算；当甲方采取单一来源采购时，本协议服务费总额须与中标成交通知书金额一致。</w:t>
      </w:r>
    </w:p>
    <w:p>
      <w:pPr>
        <w:spacing w:line="360" w:lineRule="auto"/>
        <w:ind w:left="129" w:leftChars="46" w:firstLine="420" w:firstLineChars="200"/>
        <w:rPr>
          <w:rFonts w:ascii="宋体" w:hAnsi="宋体"/>
          <w:color w:val="FF0000"/>
          <w:sz w:val="21"/>
          <w:szCs w:val="21"/>
        </w:rPr>
      </w:pPr>
      <w:r>
        <w:rPr>
          <w:rFonts w:ascii="宋体" w:hAnsi="宋体"/>
          <w:sz w:val="21"/>
          <w:szCs w:val="21"/>
        </w:rPr>
        <w:t>（四）</w:t>
      </w:r>
      <w:r>
        <w:rPr>
          <w:rFonts w:ascii="宋体" w:hAnsi="宋体"/>
          <w:color w:val="000000" w:themeColor="text1"/>
          <w:sz w:val="21"/>
          <w:szCs w:val="21"/>
          <w14:textFill>
            <w14:solidFill>
              <w14:schemeClr w14:val="tx1"/>
            </w14:solidFill>
          </w14:textFill>
        </w:rPr>
        <w:t>本协议预</w:t>
      </w:r>
      <w:r>
        <w:rPr>
          <w:rFonts w:ascii="宋体" w:hAnsi="宋体"/>
          <w:sz w:val="21"/>
          <w:szCs w:val="21"/>
        </w:rPr>
        <w:t>估甲方支付服务费总额为￥</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元（大写：人民币</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元整）。</w:t>
      </w:r>
    </w:p>
    <w:p>
      <w:pPr>
        <w:spacing w:line="360" w:lineRule="auto"/>
        <w:ind w:firstLine="602"/>
        <w:rPr>
          <w:rFonts w:ascii="宋体" w:hAnsi="宋体"/>
          <w:sz w:val="21"/>
          <w:szCs w:val="21"/>
        </w:rPr>
      </w:pPr>
      <w:r>
        <w:rPr>
          <w:rFonts w:ascii="宋体" w:hAnsi="宋体"/>
          <w:b/>
          <w:bCs/>
          <w:sz w:val="21"/>
          <w:szCs w:val="21"/>
        </w:rPr>
        <w:t>第六条服务费支付与结算</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（一）甲方服务费支付可采取一次性支付或分期支付方式，甲方须在协议签署后，开始上传学位论文前，支付服务费。若甲方采取分期支付方式，本协议有效期内支付次数不超过3次。</w:t>
      </w:r>
      <w:r>
        <w:rPr>
          <w:rFonts w:hint="eastAsia" w:ascii="宋体" w:hAnsi="宋体"/>
          <w:color w:val="000000" w:themeColor="text1"/>
          <w:sz w:val="21"/>
          <w:szCs w:val="21"/>
          <w14:textFill>
            <w14:solidFill>
              <w14:schemeClr w14:val="tx1"/>
            </w14:solidFill>
          </w14:textFill>
        </w:rPr>
        <w:t>每年度</w:t>
      </w:r>
      <w:r>
        <w:rPr>
          <w:rFonts w:ascii="宋体" w:hAnsi="宋体"/>
          <w:color w:val="000000" w:themeColor="text1"/>
          <w:sz w:val="21"/>
          <w:szCs w:val="21"/>
          <w14:textFill>
            <w14:solidFill>
              <w14:schemeClr w14:val="tx1"/>
            </w14:solidFill>
          </w14:textFill>
        </w:rPr>
        <w:t>第一笔服务费支付金额</w:t>
      </w:r>
      <w:r>
        <w:rPr>
          <w:rFonts w:hint="eastAsia" w:ascii="宋体" w:hAnsi="宋体"/>
          <w:color w:val="000000" w:themeColor="text1"/>
          <w:sz w:val="21"/>
          <w:szCs w:val="21"/>
          <w14:textFill>
            <w14:solidFill>
              <w14:schemeClr w14:val="tx1"/>
            </w14:solidFill>
          </w14:textFill>
        </w:rPr>
        <w:t>为</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20.00</w:t>
      </w:r>
      <w:r>
        <w:rPr>
          <w:rFonts w:ascii="宋体" w:hAnsi="宋体"/>
          <w:color w:val="000000" w:themeColor="text1"/>
          <w:sz w:val="21"/>
          <w:szCs w:val="21"/>
          <w:u w:val="single"/>
          <w14:textFill>
            <w14:solidFill>
              <w14:schemeClr w14:val="tx1"/>
            </w14:solidFill>
          </w14:textFill>
        </w:rPr>
        <w:t>万</w:t>
      </w:r>
      <w:r>
        <w:rPr>
          <w:rFonts w:ascii="宋体" w:hAnsi="宋体"/>
          <w:color w:val="000000" w:themeColor="text1"/>
          <w:sz w:val="21"/>
          <w:szCs w:val="21"/>
          <w14:textFill>
            <w14:solidFill>
              <w14:schemeClr w14:val="tx1"/>
            </w14:solidFill>
          </w14:textFill>
        </w:rPr>
        <w:t>元（大写：人民币</w:t>
      </w:r>
      <w:r>
        <w:rPr>
          <w:rFonts w:ascii="宋体" w:hAnsi="宋体"/>
          <w:color w:val="000000" w:themeColor="text1"/>
          <w:sz w:val="21"/>
          <w:szCs w:val="21"/>
          <w:u w:val="single"/>
          <w14:textFill>
            <w14:solidFill>
              <w14:schemeClr w14:val="tx1"/>
            </w14:solidFill>
          </w14:textFill>
        </w:rPr>
        <w:t>拾贰万</w:t>
      </w:r>
      <w:r>
        <w:rPr>
          <w:rFonts w:ascii="宋体" w:hAnsi="宋体"/>
          <w:color w:val="000000" w:themeColor="text1"/>
          <w:sz w:val="21"/>
          <w:szCs w:val="21"/>
          <w14:textFill>
            <w14:solidFill>
              <w14:schemeClr w14:val="tx1"/>
            </w14:solidFill>
          </w14:textFill>
        </w:rPr>
        <w:t>元整）。</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二）服务费根据甲方学位论文送评进度由平台自动计费。当账户服务费余额低于本协议预估服务费总额的10%时，乙方将通过平台向甲方发送提醒信息，甲方须及时补充账户费用；当账户服务费余额为“0”元时，平台将暂停甲方学位论文送评工作，直至甲方补足账户费用后继续平台送评工作。</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三）甲方可在平台实时查看服务费用使用情况，完成送评后，可在线申请下载《学位论文质量监测服务结算说明》（以下简称《结算说明》），《结算说明》中的服务费金额以实际返回评议意见的学位论文篇次数量计算，乙方根据实际产生的服务费用向甲方开具增值税普通发票。</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四）甲方可通过网银或支票汇款，汇款时须在“附言”处填入“甲方名称（及所属学院）+年度+学位论文质量监测”字样，并在平台“合同管理”中填写汇款信息，上传汇款凭证扫描件，经乙方确认款项到达乙方指定银行账户后，视为完成汇款；若平台收到甲方汇款凭证扫描件但乙方未查询到款项，甲方有义务配合乙方完成汇款情况确认。</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（五）</w:t>
      </w:r>
      <w:r>
        <w:rPr>
          <w:rFonts w:ascii="宋体" w:hAnsi="宋体"/>
          <w:color w:val="000000" w:themeColor="text1"/>
          <w:sz w:val="21"/>
          <w:szCs w:val="21"/>
          <w14:textFill>
            <w14:solidFill>
              <w14:schemeClr w14:val="tx1"/>
            </w14:solidFill>
          </w14:textFill>
        </w:rPr>
        <w:t>服务费根据</w:t>
      </w:r>
      <w:r>
        <w:rPr>
          <w:rFonts w:hint="eastAsia" w:ascii="宋体" w:hAnsi="宋体"/>
          <w:color w:val="000000" w:themeColor="text1"/>
          <w:sz w:val="21"/>
          <w:szCs w:val="21"/>
          <w14:textFill>
            <w14:solidFill>
              <w14:schemeClr w14:val="tx1"/>
            </w14:solidFill>
          </w14:textFill>
        </w:rPr>
        <w:t>甲方</w:t>
      </w:r>
      <w:r>
        <w:rPr>
          <w:rFonts w:ascii="宋体" w:hAnsi="宋体"/>
          <w:color w:val="000000" w:themeColor="text1"/>
          <w:sz w:val="21"/>
          <w:szCs w:val="21"/>
          <w14:textFill>
            <w14:solidFill>
              <w14:schemeClr w14:val="tx1"/>
            </w14:solidFill>
          </w14:textFill>
        </w:rPr>
        <w:t>学位论文送评进度</w:t>
      </w:r>
      <w:r>
        <w:rPr>
          <w:rFonts w:hint="eastAsia" w:ascii="宋体" w:hAnsi="宋体"/>
          <w:color w:val="000000" w:themeColor="text1"/>
          <w:sz w:val="21"/>
          <w:szCs w:val="21"/>
          <w14:textFill>
            <w14:solidFill>
              <w14:schemeClr w14:val="tx1"/>
            </w14:solidFill>
          </w14:textFill>
        </w:rPr>
        <w:t>、成交综合单价</w:t>
      </w:r>
      <w:r>
        <w:rPr>
          <w:rFonts w:ascii="宋体" w:hAnsi="宋体"/>
          <w:color w:val="000000" w:themeColor="text1"/>
          <w:sz w:val="21"/>
          <w:szCs w:val="21"/>
          <w14:textFill>
            <w14:solidFill>
              <w14:schemeClr w14:val="tx1"/>
            </w14:solidFill>
          </w14:textFill>
        </w:rPr>
        <w:t>由平台自动计费。</w:t>
      </w:r>
      <w:r>
        <w:rPr>
          <w:rFonts w:hint="eastAsia" w:ascii="宋体" w:hAnsi="宋体"/>
          <w:color w:val="000000" w:themeColor="text1"/>
          <w:sz w:val="21"/>
          <w:szCs w:val="21"/>
          <w14:textFill>
            <w14:solidFill>
              <w14:schemeClr w14:val="tx1"/>
            </w14:solidFill>
          </w14:textFill>
        </w:rPr>
        <w:t>甲方</w:t>
      </w:r>
      <w:r>
        <w:rPr>
          <w:rFonts w:ascii="宋体" w:hAnsi="宋体"/>
          <w:color w:val="000000" w:themeColor="text1"/>
          <w:sz w:val="21"/>
          <w:szCs w:val="21"/>
          <w14:textFill>
            <w14:solidFill>
              <w14:schemeClr w14:val="tx1"/>
            </w14:solidFill>
          </w14:textFill>
        </w:rPr>
        <w:t>完成送评后，可在线申请下载《学位论文质量监测服务结算说明》（以下简称《结算说明》），《结算说明》中的服务费金额以实际返回评议意见的学位论文篇次数量计算，</w:t>
      </w:r>
      <w:r>
        <w:rPr>
          <w:rFonts w:hint="eastAsia" w:ascii="宋体" w:hAnsi="宋体"/>
          <w:color w:val="000000" w:themeColor="text1"/>
          <w:sz w:val="21"/>
          <w:szCs w:val="21"/>
          <w14:textFill>
            <w14:solidFill>
              <w14:schemeClr w14:val="tx1"/>
            </w14:solidFill>
          </w14:textFill>
        </w:rPr>
        <w:t>乙方</w:t>
      </w:r>
      <w:r>
        <w:rPr>
          <w:rFonts w:ascii="宋体" w:hAnsi="宋体"/>
          <w:color w:val="000000" w:themeColor="text1"/>
          <w:sz w:val="21"/>
          <w:szCs w:val="21"/>
          <w14:textFill>
            <w14:solidFill>
              <w14:schemeClr w14:val="tx1"/>
            </w14:solidFill>
          </w14:textFill>
        </w:rPr>
        <w:t>根据实际产生的服务费用向</w:t>
      </w:r>
      <w:r>
        <w:rPr>
          <w:rFonts w:hint="eastAsia" w:ascii="宋体" w:hAnsi="宋体"/>
          <w:color w:val="000000" w:themeColor="text1"/>
          <w:sz w:val="21"/>
          <w:szCs w:val="21"/>
          <w14:textFill>
            <w14:solidFill>
              <w14:schemeClr w14:val="tx1"/>
            </w14:solidFill>
          </w14:textFill>
        </w:rPr>
        <w:t>甲方</w:t>
      </w:r>
      <w:r>
        <w:rPr>
          <w:rFonts w:ascii="宋体" w:hAnsi="宋体"/>
          <w:color w:val="000000" w:themeColor="text1"/>
          <w:sz w:val="21"/>
          <w:szCs w:val="21"/>
          <w14:textFill>
            <w14:solidFill>
              <w14:schemeClr w14:val="tx1"/>
            </w14:solidFill>
          </w14:textFill>
        </w:rPr>
        <w:t>开具增值税普通发票。</w:t>
      </w:r>
    </w:p>
    <w:p>
      <w:pPr>
        <w:spacing w:line="360" w:lineRule="auto"/>
        <w:ind w:firstLine="413" w:firstLineChars="196"/>
        <w:rPr>
          <w:rFonts w:ascii="宋体" w:hAnsi="宋体"/>
          <w:b/>
          <w:bCs/>
          <w:sz w:val="21"/>
          <w:szCs w:val="21"/>
        </w:rPr>
      </w:pPr>
      <w:r>
        <w:rPr>
          <w:rFonts w:ascii="宋体" w:hAnsi="宋体"/>
          <w:b/>
          <w:bCs/>
          <w:sz w:val="21"/>
          <w:szCs w:val="21"/>
        </w:rPr>
        <w:t>第七条保密条款</w:t>
      </w:r>
    </w:p>
    <w:p>
      <w:pPr>
        <w:spacing w:line="360" w:lineRule="auto"/>
        <w:ind w:firstLine="420" w:firstLineChars="200"/>
        <w:rPr>
          <w:rFonts w:ascii="宋体" w:hAnsi="宋体"/>
          <w:sz w:val="21"/>
          <w:szCs w:val="21"/>
        </w:rPr>
      </w:pPr>
      <w:r>
        <w:rPr>
          <w:rFonts w:ascii="宋体" w:hAnsi="宋体"/>
          <w:sz w:val="21"/>
          <w:szCs w:val="21"/>
        </w:rPr>
        <w:t>（一）甲方不得向被评议学位论文作者和导师透露任何乙方有关信息，包括但不限于乙方服务内容、平台使用规则、评议专家信息以及乙方联系方式等。</w:t>
      </w:r>
    </w:p>
    <w:p>
      <w:pPr>
        <w:spacing w:line="360" w:lineRule="auto"/>
        <w:ind w:firstLine="420" w:firstLineChars="200"/>
        <w:rPr>
          <w:rFonts w:ascii="宋体" w:hAnsi="宋体"/>
          <w:sz w:val="21"/>
          <w:szCs w:val="21"/>
        </w:rPr>
      </w:pPr>
      <w:r>
        <w:rPr>
          <w:rFonts w:ascii="宋体" w:hAnsi="宋体"/>
          <w:sz w:val="21"/>
          <w:szCs w:val="21"/>
        </w:rPr>
        <w:t>（二）甲方不得向第三方机构或他人以任何形式展示平台，包括但不限于信息拷贝、录制视频、页面截图、操作规则、送评数据、专家信息以及乙方信息。</w:t>
      </w:r>
    </w:p>
    <w:p>
      <w:pPr>
        <w:numPr>
          <w:ilvl w:val="255"/>
          <w:numId w:val="0"/>
        </w:numPr>
        <w:spacing w:line="360" w:lineRule="auto"/>
        <w:ind w:firstLine="602"/>
        <w:rPr>
          <w:rFonts w:ascii="宋体" w:hAnsi="宋体"/>
          <w:sz w:val="21"/>
          <w:szCs w:val="21"/>
        </w:rPr>
      </w:pPr>
      <w:r>
        <w:rPr>
          <w:rFonts w:ascii="宋体" w:hAnsi="宋体"/>
          <w:sz w:val="21"/>
          <w:szCs w:val="21"/>
        </w:rPr>
        <w:t>（三）乙方不得向除评议专家外的其他个人或第三方机构提供甲方任何材料和信息，包括但不限于评阅书内容、评议规则、学位论文信息、评议意见等，不得向任何第三方透露参评专家信息。</w:t>
      </w:r>
    </w:p>
    <w:p>
      <w:pPr>
        <w:spacing w:line="360" w:lineRule="auto"/>
        <w:ind w:firstLine="420" w:firstLineChars="200"/>
        <w:rPr>
          <w:rFonts w:ascii="宋体" w:hAnsi="宋体"/>
          <w:sz w:val="21"/>
          <w:szCs w:val="21"/>
        </w:rPr>
      </w:pPr>
      <w:r>
        <w:rPr>
          <w:rFonts w:ascii="宋体" w:hAnsi="宋体"/>
          <w:sz w:val="21"/>
          <w:szCs w:val="21"/>
        </w:rPr>
        <w:t>（四）甲乙双方应保证其账户管理员、相关工作人员等知悉本协议保密约定，并保证其履行保密义务。未经一方的书面许可，另一方违反以上保密约定造成损失的，全部责任由违约一方承担。</w:t>
      </w:r>
    </w:p>
    <w:p>
      <w:pPr>
        <w:spacing w:line="360" w:lineRule="auto"/>
        <w:ind w:firstLine="420" w:firstLineChars="200"/>
        <w:rPr>
          <w:rFonts w:ascii="宋体" w:hAnsi="宋体"/>
          <w:sz w:val="21"/>
          <w:szCs w:val="21"/>
        </w:rPr>
      </w:pPr>
      <w:r>
        <w:rPr>
          <w:rFonts w:ascii="宋体" w:hAnsi="宋体"/>
          <w:sz w:val="21"/>
          <w:szCs w:val="21"/>
        </w:rPr>
        <w:t>（五）本保密条款在本协议有效期满、解除或终止后仍然有效。</w:t>
      </w:r>
    </w:p>
    <w:p>
      <w:pPr>
        <w:spacing w:line="360" w:lineRule="auto"/>
        <w:ind w:firstLine="413" w:firstLineChars="196"/>
        <w:rPr>
          <w:rFonts w:ascii="宋体" w:hAnsi="宋体"/>
          <w:b/>
          <w:bCs/>
          <w:sz w:val="21"/>
          <w:szCs w:val="21"/>
        </w:rPr>
      </w:pPr>
      <w:r>
        <w:rPr>
          <w:rFonts w:ascii="宋体" w:hAnsi="宋体"/>
          <w:b/>
          <w:bCs/>
          <w:sz w:val="21"/>
          <w:szCs w:val="21"/>
        </w:rPr>
        <w:t>第八条协议的有效期及变更与终止</w:t>
      </w:r>
    </w:p>
    <w:p>
      <w:pPr>
        <w:spacing w:line="360" w:lineRule="auto"/>
        <w:ind w:firstLine="420" w:firstLineChars="200"/>
        <w:rPr>
          <w:rFonts w:ascii="宋体" w:hAnsi="宋体"/>
          <w:sz w:val="21"/>
          <w:szCs w:val="21"/>
        </w:rPr>
      </w:pPr>
      <w:r>
        <w:rPr>
          <w:rFonts w:ascii="宋体" w:hAnsi="宋体"/>
          <w:sz w:val="21"/>
          <w:szCs w:val="21"/>
        </w:rPr>
        <w:t>（一）本协议有效期为</w:t>
      </w:r>
      <w:r>
        <w:rPr>
          <w:rFonts w:hint="eastAsia" w:ascii="宋体" w:hAnsi="宋体"/>
          <w:sz w:val="21"/>
          <w:szCs w:val="21"/>
          <w:u w:val="single"/>
        </w:rPr>
        <w:t>协议签订之日</w:t>
      </w:r>
      <w:r>
        <w:rPr>
          <w:rFonts w:ascii="宋体" w:hAnsi="宋体"/>
          <w:sz w:val="21"/>
          <w:szCs w:val="21"/>
        </w:rPr>
        <w:t>至</w:t>
      </w:r>
      <w:r>
        <w:rPr>
          <w:rFonts w:ascii="宋体" w:hAnsi="宋体"/>
          <w:color w:val="000000" w:themeColor="text1"/>
          <w:sz w:val="21"/>
          <w:szCs w:val="21"/>
          <w:u w:val="single"/>
          <w14:textFill>
            <w14:solidFill>
              <w14:schemeClr w14:val="tx1"/>
            </w14:solidFill>
          </w14:textFill>
        </w:rPr>
        <w:t>2024年9</w:t>
      </w:r>
      <w:r>
        <w:rPr>
          <w:rFonts w:ascii="宋体" w:hAnsi="宋体"/>
          <w:sz w:val="21"/>
          <w:szCs w:val="21"/>
          <w:u w:val="single"/>
        </w:rPr>
        <w:t>月30日</w:t>
      </w:r>
      <w:r>
        <w:rPr>
          <w:rFonts w:ascii="宋体" w:hAnsi="宋体"/>
          <w:sz w:val="21"/>
          <w:szCs w:val="21"/>
        </w:rPr>
        <w:t>，协议有效期满后自动终止</w:t>
      </w:r>
      <w:r>
        <w:rPr>
          <w:rFonts w:ascii="宋体" w:hAnsi="宋体"/>
          <w:color w:val="000000" w:themeColor="text1"/>
          <w:sz w:val="21"/>
          <w:szCs w:val="21"/>
          <w14:textFill>
            <w14:solidFill>
              <w14:schemeClr w14:val="tx1"/>
            </w14:solidFill>
          </w14:textFill>
        </w:rPr>
        <w:t>，如需继续开展服务合作须另行签订协议。</w:t>
      </w:r>
    </w:p>
    <w:p>
      <w:pPr>
        <w:spacing w:line="360" w:lineRule="auto"/>
        <w:ind w:firstLine="420" w:firstLineChars="200"/>
        <w:rPr>
          <w:rFonts w:ascii="宋体" w:hAnsi="宋体"/>
          <w:sz w:val="21"/>
          <w:szCs w:val="21"/>
        </w:rPr>
      </w:pPr>
      <w:r>
        <w:rPr>
          <w:rFonts w:ascii="宋体" w:hAnsi="宋体"/>
          <w:sz w:val="21"/>
          <w:szCs w:val="21"/>
        </w:rPr>
        <w:t>（二）本协议条款不得随意变更或删除，如确须变更协议内容须经双方协商同意后，另行签订服务协议。</w:t>
      </w:r>
    </w:p>
    <w:p>
      <w:pPr>
        <w:spacing w:line="360" w:lineRule="auto"/>
        <w:ind w:firstLine="420" w:firstLineChars="200"/>
        <w:rPr>
          <w:rFonts w:ascii="宋体" w:hAnsi="宋体"/>
          <w:sz w:val="21"/>
          <w:szCs w:val="21"/>
        </w:rPr>
      </w:pPr>
      <w:r>
        <w:rPr>
          <w:rFonts w:ascii="宋体" w:hAnsi="宋体"/>
          <w:sz w:val="21"/>
          <w:szCs w:val="21"/>
        </w:rPr>
        <w:t>（三）因自然灾害、战争、政策调整等不可抗力等原因导致本协议无法履行，本协议将自动终止。协议终止后乙方应于一个月内将扣除实际产生费用后的剩余费用退回甲方。</w:t>
      </w:r>
    </w:p>
    <w:p>
      <w:pPr>
        <w:spacing w:line="360" w:lineRule="auto"/>
        <w:ind w:firstLine="413" w:firstLineChars="196"/>
        <w:rPr>
          <w:rFonts w:ascii="宋体" w:hAnsi="宋体"/>
          <w:b/>
          <w:bCs/>
          <w:sz w:val="21"/>
          <w:szCs w:val="21"/>
        </w:rPr>
      </w:pPr>
      <w:r>
        <w:rPr>
          <w:rFonts w:ascii="宋体" w:hAnsi="宋体"/>
          <w:b/>
          <w:bCs/>
          <w:sz w:val="21"/>
          <w:szCs w:val="21"/>
        </w:rPr>
        <w:t>第九条违约责任</w:t>
      </w:r>
    </w:p>
    <w:p>
      <w:pPr>
        <w:spacing w:line="360" w:lineRule="auto"/>
        <w:ind w:firstLine="420" w:firstLineChars="200"/>
        <w:rPr>
          <w:rFonts w:ascii="宋体" w:hAnsi="宋体"/>
          <w:sz w:val="21"/>
          <w:szCs w:val="21"/>
        </w:rPr>
      </w:pPr>
      <w:r>
        <w:rPr>
          <w:rFonts w:ascii="宋体" w:hAnsi="宋体"/>
          <w:sz w:val="21"/>
          <w:szCs w:val="21"/>
        </w:rPr>
        <w:t>（一）若因甲方操作失误或未按照平台使用规范等原因导致送评工作无法顺利进行，影响学位论文送评工作进度以及专家评议结果的，责任由甲方承担，因此产生的质量监测服务费由甲方支付。</w:t>
      </w:r>
    </w:p>
    <w:p>
      <w:pPr>
        <w:spacing w:line="360" w:lineRule="auto"/>
        <w:ind w:firstLine="420" w:firstLineChars="200"/>
        <w:rPr>
          <w:rFonts w:ascii="宋体" w:hAnsi="宋体"/>
          <w:sz w:val="21"/>
          <w:szCs w:val="21"/>
        </w:rPr>
      </w:pPr>
      <w:r>
        <w:rPr>
          <w:rFonts w:ascii="宋体" w:hAnsi="宋体"/>
          <w:sz w:val="21"/>
          <w:szCs w:val="21"/>
        </w:rPr>
        <w:t>（二）若因甲方未按约定支付质量监测服务费，导致平台送评服务中断，责任由甲方承担。</w:t>
      </w:r>
    </w:p>
    <w:p>
      <w:pPr>
        <w:spacing w:line="360" w:lineRule="auto"/>
        <w:ind w:firstLine="602"/>
        <w:rPr>
          <w:rFonts w:ascii="宋体" w:hAnsi="宋体"/>
          <w:sz w:val="21"/>
          <w:szCs w:val="21"/>
        </w:rPr>
      </w:pPr>
      <w:r>
        <w:rPr>
          <w:rFonts w:ascii="宋体" w:hAnsi="宋体"/>
          <w:sz w:val="21"/>
          <w:szCs w:val="21"/>
        </w:rPr>
        <w:t>（三）若因平台技术等原因导致送评工作无法顺利进行，责任由乙方承担，因此产生的相关费用由乙方支付。</w:t>
      </w:r>
    </w:p>
    <w:p>
      <w:pPr>
        <w:spacing w:line="360" w:lineRule="auto"/>
        <w:ind w:firstLine="413" w:firstLineChars="196"/>
        <w:rPr>
          <w:rFonts w:ascii="宋体" w:hAnsi="宋体"/>
          <w:b/>
          <w:bCs/>
          <w:sz w:val="21"/>
          <w:szCs w:val="21"/>
        </w:rPr>
      </w:pPr>
      <w:r>
        <w:rPr>
          <w:rFonts w:ascii="宋体" w:hAnsi="宋体"/>
          <w:b/>
          <w:bCs/>
          <w:sz w:val="21"/>
          <w:szCs w:val="21"/>
        </w:rPr>
        <w:t>第十条争议解决办法</w:t>
      </w:r>
    </w:p>
    <w:p>
      <w:pPr>
        <w:spacing w:line="360" w:lineRule="auto"/>
        <w:ind w:firstLine="420" w:firstLineChars="200"/>
        <w:rPr>
          <w:rFonts w:ascii="宋体" w:hAnsi="宋体"/>
          <w:sz w:val="21"/>
          <w:szCs w:val="21"/>
        </w:rPr>
      </w:pPr>
      <w:r>
        <w:rPr>
          <w:rFonts w:ascii="宋体" w:hAnsi="宋体"/>
          <w:sz w:val="21"/>
          <w:szCs w:val="21"/>
        </w:rPr>
        <w:t>若双方就本协议内容或在执行过程中发生任何争议，由双方协商或请有关部门调解解决；如协商或调解不成，提交乙方所在地的仲裁委员会仲裁解决。</w:t>
      </w:r>
    </w:p>
    <w:p>
      <w:pPr>
        <w:numPr>
          <w:ilvl w:val="0"/>
          <w:numId w:val="8"/>
        </w:numPr>
        <w:spacing w:line="360" w:lineRule="auto"/>
        <w:ind w:firstLine="602"/>
        <w:rPr>
          <w:rFonts w:ascii="宋体" w:hAnsi="宋体"/>
          <w:b/>
          <w:bCs/>
          <w:sz w:val="21"/>
          <w:szCs w:val="21"/>
        </w:rPr>
      </w:pPr>
      <w:r>
        <w:rPr>
          <w:rFonts w:ascii="宋体" w:hAnsi="宋体"/>
          <w:b/>
          <w:bCs/>
          <w:sz w:val="21"/>
          <w:szCs w:val="21"/>
        </w:rPr>
        <w:t>其他</w:t>
      </w:r>
    </w:p>
    <w:p>
      <w:pPr>
        <w:numPr>
          <w:ilvl w:val="0"/>
          <w:numId w:val="9"/>
        </w:numPr>
        <w:spacing w:line="360" w:lineRule="auto"/>
        <w:ind w:firstLine="602"/>
        <w:rPr>
          <w:rFonts w:ascii="宋体" w:hAnsi="宋体"/>
          <w:sz w:val="21"/>
          <w:szCs w:val="21"/>
        </w:rPr>
      </w:pPr>
      <w:r>
        <w:rPr>
          <w:rFonts w:ascii="宋体" w:hAnsi="宋体"/>
          <w:sz w:val="21"/>
          <w:szCs w:val="21"/>
        </w:rPr>
        <w:t>本协议一式</w:t>
      </w:r>
      <w:r>
        <w:rPr>
          <w:rFonts w:hint="eastAsia" w:ascii="宋体" w:hAnsi="宋体"/>
          <w:color w:val="000000" w:themeColor="text1"/>
          <w:sz w:val="21"/>
          <w:szCs w:val="21"/>
          <w14:textFill>
            <w14:solidFill>
              <w14:schemeClr w14:val="tx1"/>
            </w14:solidFill>
          </w14:textFill>
        </w:rPr>
        <w:t>七</w:t>
      </w:r>
      <w:r>
        <w:rPr>
          <w:rFonts w:ascii="宋体" w:hAnsi="宋体"/>
          <w:color w:val="000000" w:themeColor="text1"/>
          <w:sz w:val="21"/>
          <w:szCs w:val="21"/>
          <w14:textFill>
            <w14:solidFill>
              <w14:schemeClr w14:val="tx1"/>
            </w14:solidFill>
          </w14:textFill>
        </w:rPr>
        <w:t>份，甲、乙双方各执三份</w:t>
      </w:r>
      <w:r>
        <w:rPr>
          <w:rFonts w:hint="eastAsia" w:ascii="宋体" w:hAnsi="宋体"/>
          <w:color w:val="000000" w:themeColor="text1"/>
          <w:sz w:val="21"/>
          <w:szCs w:val="21"/>
          <w14:textFill>
            <w14:solidFill>
              <w14:schemeClr w14:val="tx1"/>
            </w14:solidFill>
          </w14:textFill>
        </w:rPr>
        <w:t>、鉴证方一份</w:t>
      </w:r>
      <w:r>
        <w:rPr>
          <w:rFonts w:ascii="宋体" w:hAnsi="宋体"/>
          <w:color w:val="000000" w:themeColor="text1"/>
          <w:sz w:val="21"/>
          <w:szCs w:val="21"/>
          <w14:textFill>
            <w14:solidFill>
              <w14:schemeClr w14:val="tx1"/>
            </w14:solidFill>
          </w14:textFill>
        </w:rPr>
        <w:t>。</w:t>
      </w:r>
      <w:r>
        <w:rPr>
          <w:rFonts w:ascii="宋体" w:hAnsi="宋体"/>
          <w:sz w:val="21"/>
          <w:szCs w:val="21"/>
        </w:rPr>
        <w:t>公章须为双方法人公章或合同专用章，签字须为双方法定代表人或委托代理人，由委托代理人签字的须提供本单位法定代表人授权的书面证明。</w:t>
      </w:r>
    </w:p>
    <w:tbl>
      <w:tblPr>
        <w:tblStyle w:val="23"/>
        <w:tblpPr w:leftFromText="180" w:rightFromText="180" w:vertAnchor="text" w:horzAnchor="margin" w:tblpY="1178"/>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9"/>
        <w:gridCol w:w="1111"/>
        <w:gridCol w:w="879"/>
        <w:gridCol w:w="1134"/>
        <w:gridCol w:w="283"/>
        <w:gridCol w:w="1236"/>
        <w:gridCol w:w="1134"/>
        <w:gridCol w:w="776"/>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360" w:lineRule="auto"/>
              <w:rPr>
                <w:rFonts w:ascii="宋体" w:hAnsi="宋体"/>
                <w:kern w:val="0"/>
                <w:sz w:val="21"/>
                <w:szCs w:val="21"/>
              </w:rPr>
            </w:pPr>
            <w:r>
              <w:rPr>
                <w:rFonts w:ascii="宋体" w:hAnsi="宋体"/>
                <w:kern w:val="0"/>
                <w:sz w:val="21"/>
                <w:szCs w:val="21"/>
              </w:rPr>
              <w:t>甲方（名称、公章/合同专用章）：</w:t>
            </w:r>
          </w:p>
        </w:tc>
        <w:tc>
          <w:tcPr>
            <w:tcW w:w="283" w:type="dxa"/>
          </w:tcPr>
          <w:p>
            <w:pPr>
              <w:spacing w:line="360" w:lineRule="auto"/>
              <w:rPr>
                <w:rFonts w:ascii="宋体" w:hAnsi="宋体"/>
                <w:kern w:val="0"/>
                <w:sz w:val="21"/>
                <w:szCs w:val="21"/>
              </w:rPr>
            </w:pPr>
          </w:p>
        </w:tc>
        <w:tc>
          <w:tcPr>
            <w:tcW w:w="4253" w:type="dxa"/>
            <w:gridSpan w:val="4"/>
          </w:tcPr>
          <w:p>
            <w:pPr>
              <w:spacing w:line="360" w:lineRule="auto"/>
              <w:rPr>
                <w:rFonts w:ascii="宋体" w:hAnsi="宋体"/>
                <w:kern w:val="0"/>
                <w:sz w:val="21"/>
                <w:szCs w:val="21"/>
              </w:rPr>
            </w:pPr>
            <w:r>
              <w:rPr>
                <w:rFonts w:ascii="宋体" w:hAnsi="宋体"/>
                <w:kern w:val="0"/>
                <w:sz w:val="21"/>
                <w:szCs w:val="21"/>
              </w:rPr>
              <w:t>乙方（名称、公章/合同专用章）：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360" w:lineRule="auto"/>
              <w:rPr>
                <w:rFonts w:ascii="宋体" w:hAnsi="宋体"/>
                <w:kern w:val="0"/>
                <w:sz w:val="21"/>
                <w:szCs w:val="21"/>
                <w:u w:val="single"/>
              </w:rPr>
            </w:pPr>
            <w:r>
              <w:rPr>
                <w:rFonts w:hint="eastAsia" w:ascii="宋体" w:hAnsi="宋体"/>
                <w:kern w:val="0"/>
                <w:sz w:val="21"/>
                <w:szCs w:val="21"/>
                <w:u w:val="single"/>
              </w:rPr>
              <w:t>浙江工商大学</w:t>
            </w:r>
          </w:p>
        </w:tc>
        <w:tc>
          <w:tcPr>
            <w:tcW w:w="283" w:type="dxa"/>
          </w:tcPr>
          <w:p>
            <w:pPr>
              <w:spacing w:line="360" w:lineRule="auto"/>
              <w:rPr>
                <w:rFonts w:ascii="宋体" w:hAnsi="宋体"/>
                <w:kern w:val="0"/>
                <w:sz w:val="21"/>
                <w:szCs w:val="21"/>
                <w:u w:val="single"/>
              </w:rPr>
            </w:pPr>
          </w:p>
        </w:tc>
        <w:tc>
          <w:tcPr>
            <w:tcW w:w="4253" w:type="dxa"/>
            <w:gridSpan w:val="4"/>
          </w:tcPr>
          <w:p>
            <w:pPr>
              <w:spacing w:line="360" w:lineRule="auto"/>
              <w:rPr>
                <w:rFonts w:ascii="宋体" w:hAnsi="宋体"/>
                <w:kern w:val="0"/>
                <w:sz w:val="21"/>
                <w:szCs w:val="21"/>
                <w:u w:val="single"/>
              </w:rPr>
            </w:pPr>
            <w:r>
              <w:rPr>
                <w:rFonts w:ascii="宋体" w:hAnsi="宋体"/>
                <w:kern w:val="0"/>
                <w:sz w:val="21"/>
                <w:szCs w:val="21"/>
                <w:u w:val="single"/>
              </w:rPr>
              <w:t>教育部学位与研究生教育发展中心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360" w:lineRule="auto"/>
              <w:rPr>
                <w:rFonts w:ascii="宋体" w:hAnsi="宋体"/>
                <w:kern w:val="0"/>
                <w:sz w:val="21"/>
                <w:szCs w:val="21"/>
              </w:rPr>
            </w:pPr>
          </w:p>
        </w:tc>
        <w:tc>
          <w:tcPr>
            <w:tcW w:w="283" w:type="dxa"/>
          </w:tcPr>
          <w:p>
            <w:pPr>
              <w:spacing w:line="360" w:lineRule="auto"/>
              <w:rPr>
                <w:rFonts w:ascii="宋体" w:hAnsi="宋体"/>
                <w:kern w:val="0"/>
                <w:sz w:val="21"/>
                <w:szCs w:val="21"/>
              </w:rPr>
            </w:pPr>
          </w:p>
        </w:tc>
        <w:tc>
          <w:tcPr>
            <w:tcW w:w="4253" w:type="dxa"/>
            <w:gridSpan w:val="4"/>
          </w:tcPr>
          <w:p>
            <w:pPr>
              <w:spacing w:line="360" w:lineRule="auto"/>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exact"/>
        </w:trPr>
        <w:tc>
          <w:tcPr>
            <w:tcW w:w="4253" w:type="dxa"/>
            <w:gridSpan w:val="4"/>
          </w:tcPr>
          <w:p>
            <w:pPr>
              <w:spacing w:line="360" w:lineRule="auto"/>
              <w:rPr>
                <w:rFonts w:ascii="宋体" w:hAnsi="宋体"/>
                <w:kern w:val="0"/>
                <w:sz w:val="21"/>
                <w:szCs w:val="21"/>
              </w:rPr>
            </w:pPr>
            <w:r>
              <w:rPr>
                <w:rFonts w:ascii="宋体" w:hAnsi="宋体"/>
                <w:kern w:val="0"/>
                <w:sz w:val="21"/>
                <w:szCs w:val="21"/>
              </w:rPr>
              <w:t>甲方法定代表人或委托代理人（签字/盖章）：</w:t>
            </w:r>
          </w:p>
        </w:tc>
        <w:tc>
          <w:tcPr>
            <w:tcW w:w="283" w:type="dxa"/>
          </w:tcPr>
          <w:p>
            <w:pPr>
              <w:spacing w:line="360" w:lineRule="auto"/>
              <w:rPr>
                <w:rFonts w:ascii="宋体" w:hAnsi="宋体"/>
                <w:kern w:val="0"/>
                <w:sz w:val="21"/>
                <w:szCs w:val="21"/>
              </w:rPr>
            </w:pPr>
          </w:p>
        </w:tc>
        <w:tc>
          <w:tcPr>
            <w:tcW w:w="4253" w:type="dxa"/>
            <w:gridSpan w:val="4"/>
          </w:tcPr>
          <w:p>
            <w:pPr>
              <w:spacing w:line="360" w:lineRule="auto"/>
              <w:rPr>
                <w:rFonts w:ascii="宋体" w:hAnsi="宋体"/>
                <w:kern w:val="0"/>
                <w:sz w:val="21"/>
                <w:szCs w:val="21"/>
              </w:rPr>
            </w:pPr>
            <w:r>
              <w:rPr>
                <w:rFonts w:ascii="宋体" w:hAnsi="宋体"/>
                <w:kern w:val="0"/>
                <w:sz w:val="21"/>
                <w:szCs w:val="21"/>
              </w:rPr>
              <w:t>乙方法定代表人或委托代理人（签字/盖章）：</w:t>
            </w:r>
          </w:p>
          <w:p>
            <w:pPr>
              <w:spacing w:line="360" w:lineRule="auto"/>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360" w:lineRule="auto"/>
              <w:rPr>
                <w:rFonts w:ascii="宋体" w:hAnsi="宋体"/>
                <w:kern w:val="0"/>
                <w:sz w:val="21"/>
                <w:szCs w:val="21"/>
              </w:rPr>
            </w:pPr>
          </w:p>
        </w:tc>
        <w:tc>
          <w:tcPr>
            <w:tcW w:w="283" w:type="dxa"/>
          </w:tcPr>
          <w:p>
            <w:pPr>
              <w:spacing w:line="360" w:lineRule="auto"/>
              <w:rPr>
                <w:rFonts w:ascii="宋体" w:hAnsi="宋体"/>
                <w:kern w:val="0"/>
                <w:sz w:val="21"/>
                <w:szCs w:val="21"/>
              </w:rPr>
            </w:pPr>
          </w:p>
        </w:tc>
        <w:tc>
          <w:tcPr>
            <w:tcW w:w="4253" w:type="dxa"/>
            <w:gridSpan w:val="4"/>
          </w:tcPr>
          <w:p>
            <w:pPr>
              <w:spacing w:line="360" w:lineRule="auto"/>
              <w:rPr>
                <w:rFonts w:ascii="宋体" w:hAnsi="宋体"/>
                <w:kern w:val="0"/>
                <w:sz w:val="21"/>
                <w:szCs w:val="21"/>
              </w:rPr>
            </w:pPr>
          </w:p>
          <w:p>
            <w:pPr>
              <w:spacing w:line="360" w:lineRule="auto"/>
              <w:rPr>
                <w:rFonts w:ascii="宋体" w:hAnsi="宋体"/>
                <w:kern w:val="0"/>
                <w:sz w:val="21"/>
                <w:szCs w:val="21"/>
              </w:rPr>
            </w:pPr>
          </w:p>
          <w:p>
            <w:pPr>
              <w:spacing w:line="360" w:lineRule="auto"/>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29" w:type="dxa"/>
          </w:tcPr>
          <w:p>
            <w:pPr>
              <w:spacing w:line="360" w:lineRule="auto"/>
              <w:rPr>
                <w:rFonts w:ascii="宋体" w:hAnsi="宋体"/>
                <w:kern w:val="0"/>
                <w:sz w:val="21"/>
                <w:szCs w:val="21"/>
              </w:rPr>
            </w:pPr>
            <w:r>
              <w:rPr>
                <w:rFonts w:ascii="宋体" w:hAnsi="宋体"/>
                <w:kern w:val="0"/>
                <w:sz w:val="21"/>
                <w:szCs w:val="21"/>
              </w:rPr>
              <w:t>日期：</w:t>
            </w:r>
          </w:p>
        </w:tc>
        <w:tc>
          <w:tcPr>
            <w:tcW w:w="1111" w:type="dxa"/>
          </w:tcPr>
          <w:p>
            <w:pPr>
              <w:spacing w:line="360" w:lineRule="auto"/>
              <w:jc w:val="right"/>
              <w:rPr>
                <w:rFonts w:ascii="宋体" w:hAnsi="宋体"/>
                <w:kern w:val="0"/>
                <w:sz w:val="21"/>
                <w:szCs w:val="21"/>
              </w:rPr>
            </w:pPr>
            <w:r>
              <w:rPr>
                <w:rFonts w:ascii="宋体" w:hAnsi="宋体"/>
                <w:kern w:val="0"/>
                <w:sz w:val="21"/>
                <w:szCs w:val="21"/>
              </w:rPr>
              <w:t>2021年</w:t>
            </w:r>
          </w:p>
        </w:tc>
        <w:tc>
          <w:tcPr>
            <w:tcW w:w="879" w:type="dxa"/>
          </w:tcPr>
          <w:p>
            <w:pPr>
              <w:spacing w:line="360" w:lineRule="auto"/>
              <w:jc w:val="right"/>
              <w:rPr>
                <w:rFonts w:ascii="宋体" w:hAnsi="宋体"/>
                <w:kern w:val="0"/>
                <w:sz w:val="21"/>
                <w:szCs w:val="21"/>
              </w:rPr>
            </w:pPr>
            <w:r>
              <w:rPr>
                <w:rFonts w:ascii="宋体" w:hAnsi="宋体"/>
                <w:kern w:val="0"/>
                <w:sz w:val="21"/>
                <w:szCs w:val="21"/>
              </w:rPr>
              <w:t>月</w:t>
            </w:r>
          </w:p>
        </w:tc>
        <w:tc>
          <w:tcPr>
            <w:tcW w:w="1134" w:type="dxa"/>
          </w:tcPr>
          <w:p>
            <w:pPr>
              <w:spacing w:line="360" w:lineRule="auto"/>
              <w:jc w:val="right"/>
              <w:rPr>
                <w:rFonts w:ascii="宋体" w:hAnsi="宋体"/>
                <w:kern w:val="0"/>
                <w:sz w:val="21"/>
                <w:szCs w:val="21"/>
              </w:rPr>
            </w:pPr>
            <w:r>
              <w:rPr>
                <w:rFonts w:ascii="宋体" w:hAnsi="宋体"/>
                <w:kern w:val="0"/>
                <w:sz w:val="21"/>
                <w:szCs w:val="21"/>
              </w:rPr>
              <w:t>日</w:t>
            </w:r>
          </w:p>
        </w:tc>
        <w:tc>
          <w:tcPr>
            <w:tcW w:w="283" w:type="dxa"/>
          </w:tcPr>
          <w:p>
            <w:pPr>
              <w:spacing w:line="360" w:lineRule="auto"/>
              <w:rPr>
                <w:rFonts w:ascii="宋体" w:hAnsi="宋体"/>
                <w:kern w:val="0"/>
                <w:sz w:val="21"/>
                <w:szCs w:val="21"/>
              </w:rPr>
            </w:pPr>
          </w:p>
        </w:tc>
        <w:tc>
          <w:tcPr>
            <w:tcW w:w="1236" w:type="dxa"/>
          </w:tcPr>
          <w:p>
            <w:pPr>
              <w:spacing w:line="360" w:lineRule="auto"/>
              <w:rPr>
                <w:rFonts w:ascii="宋体" w:hAnsi="宋体"/>
                <w:kern w:val="0"/>
                <w:sz w:val="21"/>
                <w:szCs w:val="21"/>
              </w:rPr>
            </w:pPr>
            <w:r>
              <w:rPr>
                <w:rFonts w:ascii="宋体" w:hAnsi="宋体"/>
                <w:kern w:val="0"/>
                <w:sz w:val="21"/>
                <w:szCs w:val="21"/>
              </w:rPr>
              <w:t>日期：</w:t>
            </w:r>
          </w:p>
        </w:tc>
        <w:tc>
          <w:tcPr>
            <w:tcW w:w="1134" w:type="dxa"/>
          </w:tcPr>
          <w:p>
            <w:pPr>
              <w:spacing w:line="360" w:lineRule="auto"/>
              <w:jc w:val="right"/>
              <w:rPr>
                <w:rFonts w:ascii="宋体" w:hAnsi="宋体"/>
                <w:kern w:val="0"/>
                <w:sz w:val="21"/>
                <w:szCs w:val="21"/>
              </w:rPr>
            </w:pPr>
            <w:r>
              <w:rPr>
                <w:rFonts w:ascii="宋体" w:hAnsi="宋体"/>
                <w:kern w:val="0"/>
                <w:sz w:val="21"/>
                <w:szCs w:val="21"/>
              </w:rPr>
              <w:t>2021年</w:t>
            </w:r>
          </w:p>
        </w:tc>
        <w:tc>
          <w:tcPr>
            <w:tcW w:w="776" w:type="dxa"/>
          </w:tcPr>
          <w:p>
            <w:pPr>
              <w:spacing w:line="360" w:lineRule="auto"/>
              <w:jc w:val="right"/>
              <w:rPr>
                <w:rFonts w:ascii="宋体" w:hAnsi="宋体"/>
                <w:kern w:val="0"/>
                <w:sz w:val="21"/>
                <w:szCs w:val="21"/>
              </w:rPr>
            </w:pPr>
            <w:r>
              <w:rPr>
                <w:rFonts w:ascii="宋体" w:hAnsi="宋体"/>
                <w:kern w:val="0"/>
                <w:sz w:val="21"/>
                <w:szCs w:val="21"/>
              </w:rPr>
              <w:t>月</w:t>
            </w:r>
          </w:p>
        </w:tc>
        <w:tc>
          <w:tcPr>
            <w:tcW w:w="1107" w:type="dxa"/>
          </w:tcPr>
          <w:p>
            <w:pPr>
              <w:spacing w:line="360" w:lineRule="auto"/>
              <w:jc w:val="right"/>
              <w:rPr>
                <w:rFonts w:ascii="宋体" w:hAnsi="宋体"/>
                <w:kern w:val="0"/>
                <w:sz w:val="21"/>
                <w:szCs w:val="21"/>
              </w:rPr>
            </w:pPr>
            <w:r>
              <w:rPr>
                <w:rFonts w:ascii="宋体" w:hAnsi="宋体"/>
                <w:kern w:val="0"/>
                <w:sz w:val="21"/>
                <w:szCs w:val="21"/>
              </w:rPr>
              <w:t>日</w:t>
            </w:r>
          </w:p>
          <w:p>
            <w:pPr>
              <w:spacing w:line="360" w:lineRule="auto"/>
              <w:jc w:val="right"/>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29" w:type="dxa"/>
          </w:tcPr>
          <w:p>
            <w:pPr>
              <w:spacing w:line="360" w:lineRule="auto"/>
              <w:rPr>
                <w:rFonts w:ascii="宋体" w:hAnsi="宋体"/>
                <w:kern w:val="0"/>
                <w:sz w:val="21"/>
                <w:szCs w:val="21"/>
              </w:rPr>
            </w:pPr>
          </w:p>
          <w:p>
            <w:pPr>
              <w:spacing w:line="360" w:lineRule="auto"/>
              <w:rPr>
                <w:rFonts w:ascii="宋体" w:hAnsi="宋体"/>
                <w:kern w:val="0"/>
                <w:sz w:val="21"/>
                <w:szCs w:val="21"/>
              </w:rPr>
            </w:pPr>
          </w:p>
        </w:tc>
        <w:tc>
          <w:tcPr>
            <w:tcW w:w="1111" w:type="dxa"/>
          </w:tcPr>
          <w:p>
            <w:pPr>
              <w:spacing w:line="360" w:lineRule="auto"/>
              <w:jc w:val="right"/>
              <w:rPr>
                <w:rFonts w:ascii="宋体" w:hAnsi="宋体"/>
                <w:kern w:val="0"/>
                <w:sz w:val="21"/>
                <w:szCs w:val="21"/>
              </w:rPr>
            </w:pPr>
          </w:p>
        </w:tc>
        <w:tc>
          <w:tcPr>
            <w:tcW w:w="879" w:type="dxa"/>
          </w:tcPr>
          <w:p>
            <w:pPr>
              <w:spacing w:line="360" w:lineRule="auto"/>
              <w:jc w:val="right"/>
              <w:rPr>
                <w:rFonts w:ascii="宋体" w:hAnsi="宋体"/>
                <w:kern w:val="0"/>
                <w:sz w:val="21"/>
                <w:szCs w:val="21"/>
              </w:rPr>
            </w:pPr>
          </w:p>
        </w:tc>
        <w:tc>
          <w:tcPr>
            <w:tcW w:w="1134" w:type="dxa"/>
          </w:tcPr>
          <w:p>
            <w:pPr>
              <w:spacing w:line="360" w:lineRule="auto"/>
              <w:jc w:val="right"/>
              <w:rPr>
                <w:rFonts w:ascii="宋体" w:hAnsi="宋体"/>
                <w:kern w:val="0"/>
                <w:sz w:val="21"/>
                <w:szCs w:val="21"/>
              </w:rPr>
            </w:pPr>
          </w:p>
        </w:tc>
        <w:tc>
          <w:tcPr>
            <w:tcW w:w="283" w:type="dxa"/>
          </w:tcPr>
          <w:p>
            <w:pPr>
              <w:spacing w:line="360" w:lineRule="auto"/>
              <w:rPr>
                <w:rFonts w:ascii="宋体" w:hAnsi="宋体"/>
                <w:kern w:val="0"/>
                <w:sz w:val="21"/>
                <w:szCs w:val="21"/>
              </w:rPr>
            </w:pPr>
          </w:p>
        </w:tc>
        <w:tc>
          <w:tcPr>
            <w:tcW w:w="1236" w:type="dxa"/>
          </w:tcPr>
          <w:p>
            <w:pPr>
              <w:spacing w:line="360" w:lineRule="auto"/>
              <w:rPr>
                <w:rFonts w:ascii="宋体" w:hAnsi="宋体"/>
                <w:kern w:val="0"/>
                <w:sz w:val="21"/>
                <w:szCs w:val="21"/>
              </w:rPr>
            </w:pPr>
          </w:p>
        </w:tc>
        <w:tc>
          <w:tcPr>
            <w:tcW w:w="1134" w:type="dxa"/>
          </w:tcPr>
          <w:p>
            <w:pPr>
              <w:spacing w:line="360" w:lineRule="auto"/>
              <w:jc w:val="right"/>
              <w:rPr>
                <w:rFonts w:ascii="宋体" w:hAnsi="宋体"/>
                <w:kern w:val="0"/>
                <w:sz w:val="21"/>
                <w:szCs w:val="21"/>
              </w:rPr>
            </w:pPr>
          </w:p>
        </w:tc>
        <w:tc>
          <w:tcPr>
            <w:tcW w:w="776" w:type="dxa"/>
          </w:tcPr>
          <w:p>
            <w:pPr>
              <w:spacing w:line="360" w:lineRule="auto"/>
              <w:jc w:val="right"/>
              <w:rPr>
                <w:rFonts w:ascii="宋体" w:hAnsi="宋体"/>
                <w:kern w:val="0"/>
                <w:sz w:val="21"/>
                <w:szCs w:val="21"/>
              </w:rPr>
            </w:pPr>
          </w:p>
        </w:tc>
        <w:tc>
          <w:tcPr>
            <w:tcW w:w="1107" w:type="dxa"/>
          </w:tcPr>
          <w:p>
            <w:pPr>
              <w:spacing w:line="360" w:lineRule="auto"/>
              <w:jc w:val="right"/>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789" w:type="dxa"/>
            <w:gridSpan w:val="9"/>
            <w:vAlign w:val="center"/>
          </w:tcPr>
          <w:p>
            <w:pPr>
              <w:spacing w:line="360" w:lineRule="auto"/>
              <w:jc w:val="left"/>
              <w:rPr>
                <w:rFonts w:ascii="宋体" w:hAnsi="宋体"/>
                <w:kern w:val="0"/>
                <w:sz w:val="21"/>
                <w:szCs w:val="21"/>
              </w:rPr>
            </w:pPr>
            <w:r>
              <w:rPr>
                <w:rFonts w:ascii="宋体" w:hAnsi="宋体"/>
                <w:spacing w:val="-6"/>
                <w:sz w:val="21"/>
                <w:szCs w:val="21"/>
              </w:rPr>
              <w:t>合同鉴证方</w:t>
            </w:r>
            <w:r>
              <w:rPr>
                <w:rFonts w:ascii="宋体" w:hAnsi="宋体"/>
                <w:kern w:val="0"/>
                <w:sz w:val="21"/>
                <w:szCs w:val="21"/>
              </w:rPr>
              <w:t>（名称、公章/合同专用章）</w:t>
            </w:r>
            <w:r>
              <w:rPr>
                <w:rFonts w:ascii="宋体" w:hAnsi="宋体"/>
                <w:spacing w:val="-6"/>
                <w:sz w:val="21"/>
                <w:szCs w:val="21"/>
              </w:rPr>
              <w:t>：浙江求是招标代理有限公司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789" w:type="dxa"/>
            <w:gridSpan w:val="9"/>
            <w:vAlign w:val="center"/>
          </w:tcPr>
          <w:p>
            <w:pPr>
              <w:spacing w:line="360" w:lineRule="auto"/>
              <w:jc w:val="left"/>
              <w:rPr>
                <w:rFonts w:ascii="宋体" w:hAnsi="宋体"/>
                <w:kern w:val="0"/>
                <w:sz w:val="21"/>
                <w:szCs w:val="21"/>
              </w:rPr>
            </w:pPr>
            <w:r>
              <w:rPr>
                <w:rFonts w:ascii="宋体" w:hAnsi="宋体"/>
                <w:spacing w:val="-6"/>
                <w:sz w:val="21"/>
                <w:szCs w:val="21"/>
              </w:rPr>
              <w:t>地址：杭州市西湖区玉古路173号中田大厦11楼H室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789" w:type="dxa"/>
            <w:gridSpan w:val="9"/>
            <w:vAlign w:val="center"/>
          </w:tcPr>
          <w:p>
            <w:pPr>
              <w:spacing w:line="288" w:lineRule="auto"/>
              <w:jc w:val="left"/>
              <w:rPr>
                <w:rFonts w:ascii="宋体" w:hAnsi="宋体"/>
                <w:spacing w:val="-6"/>
                <w:sz w:val="21"/>
                <w:szCs w:val="21"/>
              </w:rPr>
            </w:pPr>
            <w:r>
              <w:rPr>
                <w:rFonts w:ascii="宋体" w:hAnsi="宋体"/>
                <w:spacing w:val="-6"/>
                <w:sz w:val="21"/>
                <w:szCs w:val="21"/>
              </w:rPr>
              <w:t>法定代表人或主要负责人</w:t>
            </w:r>
            <w:r>
              <w:rPr>
                <w:rFonts w:hint="eastAsia" w:ascii="宋体" w:hAnsi="宋体"/>
                <w:spacing w:val="-6"/>
                <w:sz w:val="21"/>
                <w:szCs w:val="21"/>
              </w:rPr>
              <w:t>（</w:t>
            </w:r>
            <w:r>
              <w:rPr>
                <w:rFonts w:ascii="宋体" w:hAnsi="宋体"/>
                <w:kern w:val="0"/>
                <w:sz w:val="21"/>
                <w:szCs w:val="21"/>
              </w:rPr>
              <w:t>签字/盖章）</w:t>
            </w:r>
            <w:r>
              <w:rPr>
                <w:rFonts w:ascii="宋体" w:hAnsi="宋体"/>
                <w:spacing w:val="-6"/>
                <w:sz w:val="21"/>
                <w:szCs w:val="21"/>
              </w:rPr>
              <w:t>：</w:t>
            </w:r>
            <w:r>
              <w:rPr>
                <w:rFonts w:ascii="宋体" w:hAnsi="宋体"/>
                <w:spacing w:val="-6"/>
                <w:sz w:val="21"/>
                <w:szCs w:val="21"/>
              </w:rPr>
              <w:tab/>
            </w:r>
          </w:p>
          <w:p>
            <w:pPr>
              <w:spacing w:line="360" w:lineRule="auto"/>
              <w:jc w:val="left"/>
              <w:rPr>
                <w:rFonts w:ascii="宋体" w:hAnsi="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789" w:type="dxa"/>
            <w:gridSpan w:val="9"/>
            <w:vAlign w:val="center"/>
          </w:tcPr>
          <w:p>
            <w:pPr>
              <w:spacing w:line="360" w:lineRule="auto"/>
              <w:jc w:val="left"/>
              <w:rPr>
                <w:rFonts w:ascii="宋体" w:hAnsi="宋体"/>
                <w:kern w:val="0"/>
                <w:sz w:val="21"/>
                <w:szCs w:val="21"/>
              </w:rPr>
            </w:pPr>
            <w:r>
              <w:rPr>
                <w:rFonts w:ascii="宋体" w:hAnsi="宋体"/>
                <w:spacing w:val="-6"/>
                <w:sz w:val="21"/>
                <w:szCs w:val="21"/>
              </w:rPr>
              <w:t>鉴证日期：</w:t>
            </w:r>
            <w:r>
              <w:rPr>
                <w:rFonts w:hint="eastAsia" w:ascii="宋体" w:hAnsi="宋体"/>
                <w:spacing w:val="-6"/>
                <w:sz w:val="21"/>
                <w:szCs w:val="21"/>
              </w:rPr>
              <w:t xml:space="preserve">  2021</w:t>
            </w:r>
            <w:r>
              <w:rPr>
                <w:rFonts w:ascii="宋体" w:hAnsi="宋体"/>
                <w:spacing w:val="-6"/>
                <w:sz w:val="21"/>
                <w:szCs w:val="21"/>
              </w:rPr>
              <w:t>年</w:t>
            </w:r>
            <w:r>
              <w:rPr>
                <w:rFonts w:hint="eastAsia" w:ascii="宋体" w:hAnsi="宋体"/>
                <w:spacing w:val="-6"/>
                <w:sz w:val="21"/>
                <w:szCs w:val="21"/>
              </w:rPr>
              <w:t xml:space="preserve">      </w:t>
            </w:r>
            <w:r>
              <w:rPr>
                <w:rFonts w:ascii="宋体" w:hAnsi="宋体"/>
                <w:spacing w:val="-6"/>
                <w:sz w:val="21"/>
                <w:szCs w:val="21"/>
              </w:rPr>
              <w:t>月</w:t>
            </w:r>
            <w:r>
              <w:rPr>
                <w:rFonts w:hint="eastAsia" w:ascii="宋体" w:hAnsi="宋体"/>
                <w:spacing w:val="-6"/>
                <w:sz w:val="21"/>
                <w:szCs w:val="21"/>
              </w:rPr>
              <w:t xml:space="preserve">       </w:t>
            </w:r>
            <w:r>
              <w:rPr>
                <w:rFonts w:ascii="宋体" w:hAnsi="宋体"/>
                <w:spacing w:val="-6"/>
                <w:sz w:val="21"/>
                <w:szCs w:val="21"/>
              </w:rPr>
              <w:t>日</w:t>
            </w:r>
          </w:p>
        </w:tc>
      </w:tr>
    </w:tbl>
    <w:p>
      <w:pPr>
        <w:spacing w:line="288" w:lineRule="auto"/>
        <w:jc w:val="center"/>
        <w:outlineLvl w:val="0"/>
        <w:rPr>
          <w:rFonts w:ascii="宋体" w:hAnsi="宋体"/>
          <w:spacing w:val="-6"/>
        </w:rPr>
      </w:pPr>
      <w:r>
        <w:rPr>
          <w:rFonts w:hAnsi="宋体"/>
          <w:b/>
          <w:spacing w:val="-6"/>
          <w:sz w:val="32"/>
          <w:szCs w:val="32"/>
        </w:rPr>
        <w:br w:type="page"/>
      </w: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0"/>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rPr>
        <w:t xml:space="preserve">QSZB-Z(F)-H21230(DY)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before="50" w:after="50" w:line="288" w:lineRule="auto"/>
        <w:rPr>
          <w:rFonts w:ascii="宋体" w:hAnsi="宋体"/>
          <w:spacing w:val="-6"/>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492"/>
        <w:gridCol w:w="1163"/>
        <w:gridCol w:w="830"/>
        <w:gridCol w:w="1494"/>
        <w:gridCol w:w="149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序号</w:t>
            </w:r>
          </w:p>
        </w:tc>
        <w:tc>
          <w:tcPr>
            <w:tcW w:w="129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hint="eastAsia" w:ascii="宋体" w:hAnsi="宋体"/>
                <w:spacing w:val="-6"/>
                <w:sz w:val="21"/>
                <w:szCs w:val="21"/>
              </w:rPr>
              <w:t>服务</w:t>
            </w:r>
            <w:r>
              <w:rPr>
                <w:rFonts w:ascii="宋体" w:hAnsi="宋体"/>
                <w:spacing w:val="-6"/>
                <w:sz w:val="21"/>
                <w:szCs w:val="21"/>
              </w:rPr>
              <w:t>内容</w:t>
            </w:r>
          </w:p>
        </w:tc>
        <w:tc>
          <w:tcPr>
            <w:tcW w:w="60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hint="eastAsia" w:ascii="宋体" w:hAnsi="宋体"/>
                <w:spacing w:val="-6"/>
                <w:sz w:val="21"/>
                <w:szCs w:val="21"/>
              </w:rPr>
              <w:t>预估</w:t>
            </w:r>
            <w:r>
              <w:rPr>
                <w:rFonts w:ascii="宋体" w:hAnsi="宋体"/>
                <w:spacing w:val="-6"/>
                <w:sz w:val="21"/>
                <w:szCs w:val="21"/>
              </w:rPr>
              <w:t>数量/年</w:t>
            </w:r>
          </w:p>
        </w:tc>
        <w:tc>
          <w:tcPr>
            <w:tcW w:w="43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单位</w:t>
            </w:r>
          </w:p>
        </w:tc>
        <w:tc>
          <w:tcPr>
            <w:tcW w:w="776"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hint="eastAsia" w:ascii="宋体" w:hAnsi="宋体"/>
                <w:spacing w:val="-6"/>
                <w:sz w:val="21"/>
                <w:szCs w:val="21"/>
              </w:rPr>
              <w:t>综合</w:t>
            </w:r>
            <w:r>
              <w:rPr>
                <w:rFonts w:ascii="宋体" w:hAnsi="宋体"/>
                <w:spacing w:val="-6"/>
                <w:sz w:val="21"/>
                <w:szCs w:val="21"/>
              </w:rPr>
              <w:t>单价</w:t>
            </w:r>
            <w:r>
              <w:rPr>
                <w:rFonts w:hint="eastAsia" w:ascii="宋体" w:hAnsi="宋体"/>
                <w:spacing w:val="-6"/>
                <w:sz w:val="21"/>
                <w:szCs w:val="21"/>
              </w:rPr>
              <w:t>（元/篇）</w:t>
            </w:r>
          </w:p>
        </w:tc>
        <w:tc>
          <w:tcPr>
            <w:tcW w:w="776"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金额</w:t>
            </w:r>
            <w:r>
              <w:rPr>
                <w:rFonts w:hint="eastAsia" w:ascii="宋体" w:hAnsi="宋体"/>
                <w:spacing w:val="-6"/>
                <w:sz w:val="21"/>
                <w:szCs w:val="21"/>
              </w:rPr>
              <w:t>（元</w:t>
            </w:r>
            <w:r>
              <w:rPr>
                <w:rFonts w:ascii="宋体" w:hAnsi="宋体"/>
                <w:spacing w:val="-6"/>
                <w:sz w:val="21"/>
                <w:szCs w:val="21"/>
              </w:rPr>
              <w:t>/年</w:t>
            </w:r>
            <w:r>
              <w:rPr>
                <w:rFonts w:hint="eastAsia" w:ascii="宋体" w:hAnsi="宋体"/>
                <w:spacing w:val="-6"/>
                <w:sz w:val="21"/>
                <w:szCs w:val="21"/>
              </w:rPr>
              <w:t>）</w:t>
            </w:r>
          </w:p>
        </w:tc>
        <w:tc>
          <w:tcPr>
            <w:tcW w:w="627"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hint="eastAsia" w:ascii="宋体" w:hAnsi="宋体"/>
                <w:spacing w:val="-6"/>
                <w:sz w:val="21"/>
                <w:szCs w:val="21"/>
              </w:rPr>
              <w:t>3年合计（元）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1</w:t>
            </w:r>
          </w:p>
        </w:tc>
        <w:tc>
          <w:tcPr>
            <w:tcW w:w="129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硕士学位论文</w:t>
            </w:r>
            <w:r>
              <w:rPr>
                <w:rFonts w:hint="eastAsia" w:ascii="宋体" w:hAnsi="宋体"/>
                <w:spacing w:val="-6"/>
                <w:sz w:val="21"/>
                <w:szCs w:val="21"/>
              </w:rPr>
              <w:t>送审</w:t>
            </w:r>
          </w:p>
        </w:tc>
        <w:tc>
          <w:tcPr>
            <w:tcW w:w="60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690</w:t>
            </w:r>
          </w:p>
        </w:tc>
        <w:tc>
          <w:tcPr>
            <w:tcW w:w="43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篇</w:t>
            </w:r>
            <w:r>
              <w:rPr>
                <w:rFonts w:hint="eastAsia" w:ascii="宋体" w:hAnsi="宋体"/>
                <w:spacing w:val="-6"/>
                <w:sz w:val="21"/>
                <w:szCs w:val="21"/>
              </w:rPr>
              <w:t>次</w:t>
            </w:r>
          </w:p>
        </w:tc>
        <w:tc>
          <w:tcPr>
            <w:tcW w:w="776"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p>
        </w:tc>
        <w:tc>
          <w:tcPr>
            <w:tcW w:w="776" w:type="pct"/>
            <w:vMerge w:val="restart"/>
            <w:tcBorders>
              <w:top w:val="single" w:color="auto" w:sz="4" w:space="0"/>
              <w:left w:val="single" w:color="auto" w:sz="4" w:space="0"/>
              <w:right w:val="single" w:color="auto" w:sz="4" w:space="0"/>
            </w:tcBorders>
            <w:vAlign w:val="center"/>
          </w:tcPr>
          <w:p>
            <w:pPr>
              <w:spacing w:line="300" w:lineRule="auto"/>
              <w:jc w:val="center"/>
              <w:rPr>
                <w:rFonts w:ascii="宋体" w:hAnsi="宋体"/>
                <w:spacing w:val="-6"/>
                <w:sz w:val="21"/>
                <w:szCs w:val="21"/>
              </w:rPr>
            </w:pPr>
          </w:p>
        </w:tc>
        <w:tc>
          <w:tcPr>
            <w:tcW w:w="627" w:type="pct"/>
            <w:vMerge w:val="restart"/>
            <w:tcBorders>
              <w:top w:val="single" w:color="auto" w:sz="4" w:space="0"/>
              <w:left w:val="single" w:color="auto" w:sz="4" w:space="0"/>
              <w:right w:val="single" w:color="auto" w:sz="4" w:space="0"/>
            </w:tcBorders>
            <w:vAlign w:val="center"/>
          </w:tcPr>
          <w:p>
            <w:pPr>
              <w:spacing w:line="300" w:lineRule="auto"/>
              <w:jc w:val="center"/>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2</w:t>
            </w:r>
          </w:p>
        </w:tc>
        <w:tc>
          <w:tcPr>
            <w:tcW w:w="129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博士学位论文</w:t>
            </w:r>
            <w:r>
              <w:rPr>
                <w:rFonts w:hint="eastAsia" w:ascii="宋体" w:hAnsi="宋体"/>
                <w:spacing w:val="-6"/>
                <w:sz w:val="21"/>
                <w:szCs w:val="21"/>
              </w:rPr>
              <w:t>送审</w:t>
            </w:r>
          </w:p>
        </w:tc>
        <w:tc>
          <w:tcPr>
            <w:tcW w:w="604"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150</w:t>
            </w:r>
          </w:p>
        </w:tc>
        <w:tc>
          <w:tcPr>
            <w:tcW w:w="431"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r>
              <w:rPr>
                <w:rFonts w:ascii="宋体" w:hAnsi="宋体"/>
                <w:spacing w:val="-6"/>
                <w:sz w:val="21"/>
                <w:szCs w:val="21"/>
              </w:rPr>
              <w:t>篇</w:t>
            </w:r>
            <w:r>
              <w:rPr>
                <w:rFonts w:hint="eastAsia" w:ascii="宋体" w:hAnsi="宋体"/>
                <w:spacing w:val="-6"/>
                <w:sz w:val="21"/>
                <w:szCs w:val="21"/>
              </w:rPr>
              <w:t>次</w:t>
            </w:r>
          </w:p>
        </w:tc>
        <w:tc>
          <w:tcPr>
            <w:tcW w:w="776"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pacing w:val="-6"/>
                <w:sz w:val="21"/>
                <w:szCs w:val="21"/>
              </w:rPr>
            </w:pPr>
          </w:p>
        </w:tc>
        <w:tc>
          <w:tcPr>
            <w:tcW w:w="776" w:type="pct"/>
            <w:vMerge w:val="continue"/>
            <w:tcBorders>
              <w:left w:val="single" w:color="auto" w:sz="4" w:space="0"/>
              <w:bottom w:val="single" w:color="auto" w:sz="4" w:space="0"/>
              <w:right w:val="single" w:color="auto" w:sz="4" w:space="0"/>
            </w:tcBorders>
            <w:vAlign w:val="center"/>
          </w:tcPr>
          <w:p>
            <w:pPr>
              <w:spacing w:line="300" w:lineRule="auto"/>
              <w:rPr>
                <w:rFonts w:ascii="宋体" w:hAnsi="宋体"/>
                <w:spacing w:val="-6"/>
                <w:sz w:val="21"/>
                <w:szCs w:val="21"/>
              </w:rPr>
            </w:pPr>
          </w:p>
        </w:tc>
        <w:tc>
          <w:tcPr>
            <w:tcW w:w="627" w:type="pct"/>
            <w:vMerge w:val="continue"/>
            <w:tcBorders>
              <w:left w:val="single" w:color="auto" w:sz="4" w:space="0"/>
              <w:bottom w:val="single" w:color="auto" w:sz="4" w:space="0"/>
              <w:right w:val="single" w:color="auto" w:sz="4" w:space="0"/>
            </w:tcBorders>
            <w:vAlign w:val="center"/>
          </w:tcPr>
          <w:p>
            <w:pPr>
              <w:spacing w:line="300" w:lineRule="auto"/>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pacing w:val="-6"/>
                <w:sz w:val="21"/>
                <w:szCs w:val="21"/>
              </w:rPr>
            </w:pPr>
            <w:r>
              <w:rPr>
                <w:rFonts w:ascii="宋体" w:hAnsi="宋体"/>
                <w:spacing w:val="-6"/>
                <w:sz w:val="21"/>
                <w:szCs w:val="21"/>
              </w:rPr>
              <w:t>合计</w:t>
            </w:r>
            <w:r>
              <w:rPr>
                <w:rFonts w:hint="eastAsia" w:ascii="宋体" w:hAnsi="宋体"/>
                <w:spacing w:val="-6"/>
                <w:sz w:val="21"/>
                <w:szCs w:val="21"/>
              </w:rPr>
              <w:t>金额大写：           整，小写：￥</w:t>
            </w:r>
          </w:p>
        </w:tc>
      </w:tr>
    </w:tbl>
    <w:p>
      <w:pPr>
        <w:snapToGrid w:val="0"/>
        <w:spacing w:before="50" w:after="50" w:line="288" w:lineRule="auto"/>
        <w:jc w:val="left"/>
        <w:rPr>
          <w:rFonts w:ascii="宋体" w:hAnsi="宋体"/>
          <w:spacing w:val="-6"/>
          <w:sz w:val="24"/>
          <w:szCs w:val="20"/>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120" w:beforeLines="50" w:after="50" w:line="288" w:lineRule="auto"/>
        <w:outlineLvl w:val="2"/>
        <w:rPr>
          <w:rFonts w:ascii="宋体" w:hAnsi="宋体"/>
          <w:spacing w:val="-6"/>
          <w:sz w:val="24"/>
        </w:rPr>
      </w:pPr>
    </w:p>
    <w:p>
      <w:pPr>
        <w:snapToGrid w:val="0"/>
        <w:spacing w:before="120" w:beforeLines="50" w:after="50" w:line="288" w:lineRule="auto"/>
        <w:jc w:val="center"/>
        <w:outlineLvl w:val="1"/>
        <w:rPr>
          <w:rFonts w:ascii="宋体" w:hAnsi="宋体"/>
          <w:b/>
          <w:spacing w:val="-6"/>
          <w:sz w:val="52"/>
          <w:szCs w:val="52"/>
        </w:rPr>
      </w:pPr>
      <w:r>
        <w:rPr>
          <w:rFonts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8"/>
        <w:spacing w:line="360" w:lineRule="auto"/>
        <w:ind w:left="458" w:hanging="458"/>
        <w:rPr>
          <w:rFonts w:ascii="宋体" w:hAnsi="宋体"/>
          <w:b/>
          <w:spacing w:val="-6"/>
          <w:sz w:val="24"/>
        </w:rPr>
      </w:pPr>
    </w:p>
    <w:p>
      <w:pPr>
        <w:snapToGrid w:val="0"/>
        <w:spacing w:before="120" w:beforeLines="50" w:after="50" w:line="288" w:lineRule="auto"/>
        <w:ind w:firstLine="1145" w:firstLineChars="500"/>
        <w:jc w:val="left"/>
        <w:outlineLvl w:val="2"/>
        <w:rPr>
          <w:rFonts w:ascii="宋体" w:hAnsi="宋体"/>
          <w:b/>
          <w:spacing w:val="-6"/>
          <w:sz w:val="24"/>
        </w:rPr>
      </w:pPr>
      <w:r>
        <w:rPr>
          <w:rFonts w:hint="eastAsia" w:ascii="宋体" w:hAnsi="宋体"/>
          <w:b/>
          <w:spacing w:val="-6"/>
          <w:sz w:val="24"/>
        </w:rPr>
        <w:t>有效的法人或者其他组织的营业执照等证明文件，自然人的身份证明；</w:t>
      </w:r>
    </w:p>
    <w:p>
      <w:pPr>
        <w:pStyle w:val="18"/>
        <w:spacing w:line="360" w:lineRule="auto"/>
        <w:ind w:left="0" w:firstLine="0" w:firstLineChars="0"/>
        <w:rPr>
          <w:rFonts w:ascii="宋体" w:hAnsi="宋体"/>
          <w:b/>
          <w:spacing w:val="-6"/>
          <w:sz w:val="24"/>
        </w:rPr>
      </w:pPr>
    </w:p>
    <w:p>
      <w:pPr>
        <w:pStyle w:val="18"/>
        <w:spacing w:line="360" w:lineRule="auto"/>
        <w:ind w:left="0" w:firstLine="0" w:firstLineChars="0"/>
        <w:jc w:val="center"/>
        <w:outlineLvl w:val="2"/>
        <w:rPr>
          <w:rFonts w:ascii="宋体" w:hAnsi="宋体"/>
          <w:b/>
          <w:spacing w:val="-6"/>
          <w:sz w:val="24"/>
        </w:rPr>
      </w:pPr>
      <w:r>
        <w:rPr>
          <w:rFonts w:ascii="宋体" w:hAnsi="宋体"/>
          <w:b/>
          <w:spacing w:val="-6"/>
          <w:sz w:val="24"/>
        </w:rPr>
        <w:br w:type="page"/>
      </w:r>
    </w:p>
    <w:p>
      <w:pPr>
        <w:pStyle w:val="18"/>
        <w:spacing w:line="360" w:lineRule="auto"/>
        <w:ind w:left="0" w:firstLine="0" w:firstLineChars="0"/>
        <w:jc w:val="center"/>
        <w:outlineLvl w:val="2"/>
        <w:rPr>
          <w:rFonts w:ascii="宋体" w:hAnsi="宋体"/>
          <w:b/>
          <w:spacing w:val="-6"/>
          <w:sz w:val="24"/>
        </w:rPr>
      </w:pPr>
      <w:r>
        <w:rPr>
          <w:rFonts w:hint="eastAsia" w:ascii="宋体" w:hAnsi="宋体"/>
          <w:b/>
          <w:spacing w:val="-6"/>
          <w:sz w:val="24"/>
        </w:rPr>
        <w:t>资格条件承诺函</w:t>
      </w:r>
    </w:p>
    <w:p>
      <w:pPr>
        <w:adjustRightInd w:val="0"/>
        <w:snapToGrid w:val="0"/>
        <w:spacing w:line="360" w:lineRule="auto"/>
        <w:rPr>
          <w:rFonts w:ascii="宋体" w:hAnsi="宋体"/>
          <w:b/>
          <w:bCs/>
          <w:spacing w:val="-6"/>
          <w:sz w:val="24"/>
        </w:rPr>
      </w:pPr>
      <w:r>
        <w:rPr>
          <w:rFonts w:hint="eastAsia" w:ascii="宋体" w:hAnsi="宋体"/>
          <w:b/>
          <w:bCs/>
          <w:spacing w:val="-6"/>
          <w:sz w:val="24"/>
        </w:rPr>
        <w:t>致：浙江工商大学、浙江求是招标代理有限公司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智能化学位论文送审及监测管理服务</w:t>
      </w:r>
      <w:r>
        <w:rPr>
          <w:rFonts w:hint="eastAsia" w:ascii="宋体" w:hAnsi="宋体"/>
          <w:spacing w:val="-6"/>
          <w:sz w:val="24"/>
        </w:rPr>
        <w:t>项目的采购活动并承诺如下：</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pPr>
        <w:adjustRightInd w:val="0"/>
        <w:snapToGrid w:val="0"/>
        <w:spacing w:line="360" w:lineRule="auto"/>
        <w:rPr>
          <w:rFonts w:ascii="宋体" w:hAnsi="宋体"/>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adjustRightInd w:val="0"/>
        <w:snapToGrid w:val="0"/>
        <w:spacing w:line="360" w:lineRule="auto"/>
        <w:rPr>
          <w:rFonts w:ascii="宋体" w:hAnsi="宋体"/>
          <w:b/>
          <w:bCs/>
          <w:spacing w:val="-6"/>
          <w:sz w:val="24"/>
        </w:rPr>
      </w:pPr>
    </w:p>
    <w:p>
      <w:pPr>
        <w:pStyle w:val="18"/>
        <w:spacing w:line="360" w:lineRule="auto"/>
        <w:ind w:left="0" w:firstLine="0" w:firstLineChars="0"/>
        <w:jc w:val="center"/>
        <w:outlineLvl w:val="2"/>
        <w:rPr>
          <w:rFonts w:ascii="宋体" w:hAnsi="宋体"/>
          <w:b/>
          <w:spacing w:val="-6"/>
          <w:sz w:val="24"/>
        </w:rPr>
      </w:pPr>
    </w:p>
    <w:p>
      <w:pPr>
        <w:pStyle w:val="18"/>
        <w:spacing w:line="360" w:lineRule="auto"/>
        <w:ind w:left="0" w:firstLine="0" w:firstLineChars="0"/>
        <w:jc w:val="center"/>
        <w:outlineLvl w:val="2"/>
        <w:rPr>
          <w:rFonts w:ascii="宋体" w:hAnsi="宋体" w:cs="宋体"/>
          <w:b/>
          <w:spacing w:val="-6"/>
          <w:sz w:val="24"/>
        </w:rPr>
      </w:pPr>
      <w:r>
        <w:rPr>
          <w:rFonts w:ascii="宋体" w:hAnsi="宋体"/>
          <w:b/>
          <w:spacing w:val="-6"/>
          <w:sz w:val="24"/>
        </w:rPr>
        <w:br w:type="page"/>
      </w:r>
      <w:r>
        <w:rPr>
          <w:rFonts w:hint="eastAsia" w:ascii="宋体" w:hAnsi="宋体" w:cs="宋体"/>
          <w:b/>
          <w:spacing w:val="-6"/>
          <w:sz w:val="24"/>
        </w:rPr>
        <w:t>中小企业声明函</w:t>
      </w:r>
    </w:p>
    <w:p>
      <w:pPr>
        <w:adjustRightInd w:val="0"/>
        <w:snapToGrid w:val="0"/>
        <w:spacing w:line="360" w:lineRule="auto"/>
        <w:ind w:firstLine="566" w:firstLineChars="236"/>
        <w:rPr>
          <w:rFonts w:ascii="宋体" w:hAnsi="宋体"/>
          <w:sz w:val="24"/>
        </w:rPr>
      </w:pPr>
      <w:r>
        <w:rPr>
          <w:rFonts w:ascii="宋体" w:hAnsi="宋体"/>
          <w:sz w:val="24"/>
        </w:rPr>
        <w:t>本公司郑重声明，根据《政府采购促进中小企业发展管理办法》（财库</w:t>
      </w:r>
      <w:r>
        <w:rPr>
          <w:rFonts w:hint="eastAsia" w:ascii="宋体" w:hAnsi="宋体"/>
          <w:sz w:val="24"/>
        </w:rPr>
        <w:t>﹝</w:t>
      </w:r>
      <w:r>
        <w:rPr>
          <w:rFonts w:ascii="宋体" w:hAnsi="宋体"/>
          <w:sz w:val="24"/>
        </w:rPr>
        <w:t>2020</w:t>
      </w:r>
      <w:r>
        <w:rPr>
          <w:rFonts w:hint="eastAsia" w:ascii="宋体" w:hAnsi="宋体"/>
          <w:sz w:val="24"/>
        </w:rPr>
        <w:t>﹞</w:t>
      </w:r>
      <w:r>
        <w:rPr>
          <w:rFonts w:ascii="宋体" w:hAnsi="宋体"/>
          <w:sz w:val="24"/>
        </w:rPr>
        <w:t>46 号）的规定，本公司参加</w:t>
      </w:r>
      <w:r>
        <w:rPr>
          <w:rFonts w:hint="eastAsia" w:ascii="宋体" w:hAnsi="宋体"/>
          <w:sz w:val="24"/>
          <w:u w:val="single"/>
        </w:rPr>
        <w:t>浙江工商大学</w:t>
      </w:r>
      <w:r>
        <w:rPr>
          <w:rFonts w:ascii="宋体" w:hAnsi="宋体"/>
          <w:sz w:val="24"/>
        </w:rPr>
        <w:t>的</w:t>
      </w:r>
      <w:r>
        <w:rPr>
          <w:rFonts w:hint="eastAsia" w:ascii="宋体" w:hAnsi="宋体"/>
          <w:sz w:val="24"/>
          <w:u w:val="single"/>
        </w:rPr>
        <w:t>智能化学位论文送审及监测管理服务</w:t>
      </w:r>
      <w:r>
        <w:rPr>
          <w:rFonts w:ascii="宋体" w:hAnsi="宋体"/>
          <w:sz w:val="24"/>
        </w:rPr>
        <w:t>采购活动，服务全部由符合政策要求的中小企业承接。相关企业的具体情况如下：</w:t>
      </w:r>
    </w:p>
    <w:p>
      <w:pPr>
        <w:adjustRightInd w:val="0"/>
        <w:snapToGrid w:val="0"/>
        <w:spacing w:line="360" w:lineRule="auto"/>
        <w:ind w:firstLine="566" w:firstLineChars="236"/>
        <w:rPr>
          <w:rFonts w:ascii="宋体" w:hAnsi="宋体"/>
          <w:i/>
          <w:sz w:val="24"/>
          <w:u w:val="single"/>
        </w:rPr>
      </w:pPr>
      <w:r>
        <w:rPr>
          <w:rFonts w:hint="eastAsia" w:ascii="宋体" w:hAnsi="宋体"/>
          <w:iCs/>
          <w:sz w:val="24"/>
        </w:rPr>
        <w:t>智能化学位论文送审及监测管理服务项目</w:t>
      </w:r>
      <w:r>
        <w:rPr>
          <w:rFonts w:ascii="宋体" w:hAnsi="宋体"/>
          <w:iCs/>
          <w:sz w:val="24"/>
          <w:u w:val="single"/>
        </w:rPr>
        <w:t>，属于</w:t>
      </w:r>
      <w:r>
        <w:rPr>
          <w:rFonts w:hint="eastAsia" w:ascii="宋体" w:hAnsi="宋体"/>
          <w:iCs/>
          <w:sz w:val="24"/>
          <w:u w:val="single"/>
        </w:rPr>
        <w:t>其他未列明行业</w:t>
      </w:r>
      <w:r>
        <w:rPr>
          <w:rFonts w:ascii="宋体" w:hAnsi="宋体"/>
          <w:iCs/>
          <w:sz w:val="24"/>
          <w:u w:val="single"/>
        </w:rPr>
        <w:t>；</w:t>
      </w:r>
      <w:r>
        <w:rPr>
          <w:rFonts w:ascii="宋体" w:hAnsi="宋体"/>
          <w:sz w:val="24"/>
        </w:rPr>
        <w:t>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u w:val="single"/>
        </w:rPr>
        <w:tab/>
      </w:r>
      <w:r>
        <w:rPr>
          <w:rFonts w:ascii="宋体" w:hAnsi="宋体"/>
          <w:sz w:val="24"/>
        </w:rPr>
        <w:t>人，营业收入为</w:t>
      </w:r>
      <w:r>
        <w:rPr>
          <w:rFonts w:ascii="宋体" w:hAnsi="宋体"/>
          <w:sz w:val="24"/>
          <w:u w:val="single"/>
        </w:rPr>
        <w:t xml:space="preserve"> </w:t>
      </w:r>
      <w:r>
        <w:rPr>
          <w:rFonts w:ascii="宋体" w:hAnsi="宋体"/>
          <w:sz w:val="24"/>
          <w:u w:val="single"/>
        </w:rPr>
        <w:tab/>
      </w:r>
      <w:r>
        <w:rPr>
          <w:rFonts w:ascii="宋体" w:hAnsi="宋体"/>
          <w:sz w:val="24"/>
        </w:rPr>
        <w:t>万元，资产总额为</w:t>
      </w:r>
      <w:r>
        <w:rPr>
          <w:rFonts w:ascii="宋体" w:hAnsi="宋体"/>
          <w:sz w:val="24"/>
          <w:u w:val="single"/>
        </w:rPr>
        <w:t xml:space="preserve"> </w:t>
      </w:r>
      <w:r>
        <w:rPr>
          <w:rFonts w:ascii="宋体" w:hAnsi="宋体"/>
          <w:sz w:val="24"/>
          <w:u w:val="single"/>
        </w:rPr>
        <w:tab/>
      </w:r>
      <w:r>
        <w:rPr>
          <w:rFonts w:ascii="宋体" w:hAnsi="宋体"/>
          <w:sz w:val="24"/>
        </w:rPr>
        <w:t>万元，属于</w:t>
      </w:r>
      <w:r>
        <w:rPr>
          <w:rFonts w:ascii="宋体" w:hAnsi="宋体"/>
          <w:i/>
          <w:sz w:val="24"/>
          <w:u w:val="single"/>
        </w:rPr>
        <w:t>（中型企业、小型企业、微型企业）</w:t>
      </w:r>
      <w:r>
        <w:rPr>
          <w:rFonts w:ascii="宋体" w:hAnsi="宋体"/>
          <w:sz w:val="24"/>
        </w:rPr>
        <w:t>；</w:t>
      </w:r>
    </w:p>
    <w:p>
      <w:pPr>
        <w:adjustRightInd w:val="0"/>
        <w:snapToGrid w:val="0"/>
        <w:spacing w:line="360" w:lineRule="auto"/>
        <w:ind w:firstLine="566" w:firstLineChars="236"/>
        <w:rPr>
          <w:rFonts w:ascii="宋体" w:hAnsi="宋体"/>
          <w:sz w:val="24"/>
        </w:rPr>
      </w:pPr>
      <w:r>
        <w:rPr>
          <w:rFonts w:ascii="宋体" w:hAnsi="宋体"/>
          <w:sz w:val="24"/>
        </w:rPr>
        <w:t>……</w:t>
      </w:r>
    </w:p>
    <w:p>
      <w:pPr>
        <w:adjustRightInd w:val="0"/>
        <w:snapToGrid w:val="0"/>
        <w:spacing w:line="360" w:lineRule="auto"/>
        <w:ind w:firstLine="566" w:firstLineChars="236"/>
        <w:rPr>
          <w:rFonts w:ascii="宋体" w:hAnsi="宋体"/>
          <w:sz w:val="24"/>
        </w:rPr>
      </w:pPr>
      <w:r>
        <w:rPr>
          <w:rFonts w:ascii="宋体" w:hAnsi="宋体"/>
          <w:sz w:val="24"/>
        </w:rPr>
        <w:t>以上企业，不属于大企业的分支机构，不存在控股股东为大企业的情形，也不存在与大企业的负责人为同一人的情形。</w:t>
      </w:r>
    </w:p>
    <w:p>
      <w:pPr>
        <w:adjustRightInd w:val="0"/>
        <w:snapToGrid w:val="0"/>
        <w:spacing w:line="360" w:lineRule="auto"/>
        <w:ind w:firstLine="566" w:firstLineChars="236"/>
        <w:rPr>
          <w:rFonts w:ascii="宋体" w:hAnsi="宋体"/>
          <w:sz w:val="24"/>
        </w:rPr>
      </w:pPr>
      <w:r>
        <w:rPr>
          <w:rFonts w:ascii="宋体" w:hAnsi="宋体"/>
          <w:sz w:val="24"/>
        </w:rPr>
        <w:t>本企业对上述声明内容的真实性负责。如有虚假，将依法承担相应责任。</w:t>
      </w:r>
    </w:p>
    <w:p>
      <w:pPr>
        <w:adjustRightInd w:val="0"/>
        <w:snapToGrid w:val="0"/>
        <w:spacing w:line="360" w:lineRule="auto"/>
        <w:ind w:firstLine="566" w:firstLineChars="236"/>
        <w:rPr>
          <w:rFonts w:ascii="宋体" w:hAnsi="宋体"/>
          <w:sz w:val="24"/>
        </w:rPr>
      </w:pPr>
      <w:r>
        <w:rPr>
          <w:rFonts w:ascii="宋体" w:hAnsi="宋体"/>
          <w:sz w:val="24"/>
        </w:rPr>
        <w:t>企业名称（盖章）：</w:t>
      </w:r>
    </w:p>
    <w:p>
      <w:pPr>
        <w:adjustRightInd w:val="0"/>
        <w:snapToGrid w:val="0"/>
        <w:spacing w:line="360" w:lineRule="auto"/>
        <w:ind w:firstLine="566" w:firstLineChars="236"/>
        <w:rPr>
          <w:rFonts w:ascii="宋体" w:hAnsi="宋体"/>
          <w:sz w:val="24"/>
        </w:rPr>
      </w:pPr>
      <w:r>
        <w:rPr>
          <w:rFonts w:ascii="宋体" w:hAnsi="宋体"/>
          <w:sz w:val="24"/>
        </w:rPr>
        <w:t>日期：</w:t>
      </w:r>
    </w:p>
    <w:p>
      <w:pPr>
        <w:adjustRightInd w:val="0"/>
        <w:snapToGrid w:val="0"/>
        <w:spacing w:line="360" w:lineRule="auto"/>
        <w:ind w:firstLine="566" w:firstLineChars="236"/>
        <w:rPr>
          <w:rFonts w:ascii="宋体" w:hAnsi="宋体"/>
          <w:sz w:val="24"/>
        </w:rPr>
      </w:pP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注：</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从业人员、营业收入、资产总额填报上一年度数据，无上一年度数据的新成立企业可不填报。</w:t>
      </w:r>
    </w:p>
    <w:p>
      <w:pPr>
        <w:adjustRightInd w:val="0"/>
        <w:snapToGrid w:val="0"/>
        <w:spacing w:line="360" w:lineRule="auto"/>
        <w:ind w:firstLine="495" w:firstLineChars="236"/>
        <w:rPr>
          <w:rFonts w:ascii="宋体" w:hAnsi="宋体"/>
          <w:sz w:val="21"/>
          <w:szCs w:val="21"/>
        </w:rPr>
      </w:pPr>
      <w:r>
        <w:rPr>
          <w:rFonts w:ascii="宋体" w:hAnsi="宋体"/>
          <w:sz w:val="21"/>
          <w:szCs w:val="21"/>
        </w:rPr>
        <w:t>3.</w:t>
      </w:r>
      <w:r>
        <w:rPr>
          <w:rFonts w:hint="eastAsia" w:ascii="宋体" w:hAnsi="宋体"/>
          <w:sz w:val="21"/>
          <w:szCs w:val="21"/>
        </w:rPr>
        <w:t>“中小企业声明函”填写不全的，视为未填报。</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4.其他未列明行业：从业人员300人以下的为中小微型企业。其中，从业人员100人及以上的为中型企业；从业人员10人及以上的为小型企业；从业人员10人以下的为微型企业。</w:t>
      </w:r>
    </w:p>
    <w:p>
      <w:pPr>
        <w:spacing w:line="360" w:lineRule="auto"/>
        <w:jc w:val="left"/>
        <w:rPr>
          <w:rFonts w:ascii="宋体" w:hAnsi="宋体" w:cs="宋体"/>
          <w:b/>
          <w:bCs/>
          <w:sz w:val="21"/>
          <w:szCs w:val="21"/>
        </w:rPr>
      </w:pPr>
      <w:r>
        <w:rPr>
          <w:rFonts w:hint="eastAsia" w:ascii="宋体" w:hAnsi="宋体"/>
          <w:sz w:val="21"/>
          <w:szCs w:val="21"/>
        </w:rPr>
        <w:t>5.供应商提供《中小企业声明函》内容不实的，属于提供虚假材料谋取中标、成交，依照《中华人民共和国政府采购法》等国家有关规定追究相应责任。</w:t>
      </w:r>
    </w:p>
    <w:p>
      <w:pPr>
        <w:spacing w:line="360" w:lineRule="auto"/>
        <w:jc w:val="cente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监狱企业资格证明材料</w:t>
      </w:r>
    </w:p>
    <w:p>
      <w:pPr>
        <w:spacing w:line="360" w:lineRule="auto"/>
        <w:jc w:val="center"/>
        <w:rPr>
          <w:rFonts w:ascii="宋体" w:hAnsi="宋体" w:cs="宋体"/>
          <w:b/>
          <w:bCs/>
          <w:sz w:val="21"/>
          <w:szCs w:val="21"/>
        </w:rPr>
      </w:pPr>
      <w:r>
        <w:rPr>
          <w:rFonts w:hint="eastAsia" w:ascii="宋体" w:hAnsi="宋体" w:cs="宋体"/>
          <w:b/>
          <w:bCs/>
          <w:sz w:val="21"/>
          <w:szCs w:val="21"/>
        </w:rPr>
        <w:t>【省级以上监狱管理局、戒毒管理局（含新疆生产建设兵团）出具的属于监狱企业的证明文件】</w:t>
      </w:r>
    </w:p>
    <w:p>
      <w:pPr>
        <w:spacing w:line="360" w:lineRule="auto"/>
        <w:ind w:firstLine="536" w:firstLineChars="200"/>
        <w:jc w:val="center"/>
        <w:outlineLvl w:val="2"/>
        <w:rPr>
          <w:rFonts w:ascii="宋体" w:hAnsi="宋体" w:cs="宋体"/>
          <w:b/>
          <w:spacing w:val="6"/>
          <w:sz w:val="24"/>
        </w:rPr>
      </w:pPr>
      <w:r>
        <w:rPr>
          <w:rFonts w:hint="eastAsia" w:ascii="宋体" w:hAnsi="宋体" w:cs="宋体"/>
          <w:spacing w:val="-6"/>
        </w:rPr>
        <w:br w:type="page"/>
      </w:r>
      <w:r>
        <w:rPr>
          <w:rFonts w:hint="eastAsia" w:ascii="宋体" w:hAnsi="宋体" w:cs="宋体"/>
          <w:b/>
          <w:spacing w:val="6"/>
          <w:sz w:val="24"/>
        </w:rPr>
        <w:t>残疾人福利性单位声明函</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z w:val="24"/>
        </w:rPr>
        <w:t>浙江工商大学</w:t>
      </w:r>
      <w:r>
        <w:rPr>
          <w:rFonts w:hint="eastAsia" w:ascii="宋体" w:hAnsi="宋体" w:cs="宋体"/>
          <w:spacing w:val="6"/>
          <w:sz w:val="24"/>
        </w:rPr>
        <w:t>的智能化学位论文送审及监测管理服务采购活动提供本单位制造的货物，或者提供其他残疾人福利性单位制造的货物（不包括使用非残疾人福利性单位注册商标的货物）。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pacing w:line="360" w:lineRule="auto"/>
        <w:rPr>
          <w:rFonts w:ascii="宋体" w:hAnsi="宋体" w:cs="宋体"/>
          <w:b/>
          <w:bCs/>
          <w:sz w:val="21"/>
          <w:szCs w:val="21"/>
        </w:rPr>
      </w:pPr>
    </w:p>
    <w:p>
      <w:pPr>
        <w:spacing w:line="360" w:lineRule="auto"/>
        <w:rPr>
          <w:rFonts w:ascii="宋体" w:hAnsi="宋体" w:cs="宋体"/>
          <w:b/>
          <w:bCs/>
          <w:sz w:val="21"/>
          <w:szCs w:val="21"/>
        </w:rPr>
      </w:pPr>
      <w:r>
        <w:rPr>
          <w:rFonts w:hint="eastAsia" w:ascii="宋体" w:hAnsi="宋体" w:cs="宋体"/>
          <w:b/>
          <w:bCs/>
          <w:sz w:val="21"/>
          <w:szCs w:val="21"/>
        </w:rPr>
        <w:t>说明：</w:t>
      </w:r>
    </w:p>
    <w:p>
      <w:pPr>
        <w:spacing w:line="360" w:lineRule="auto"/>
        <w:ind w:firstLine="420" w:firstLineChars="200"/>
        <w:jc w:val="left"/>
        <w:rPr>
          <w:rFonts w:ascii="宋体" w:hAnsi="宋体" w:cs="宋体"/>
          <w:spacing w:val="6"/>
          <w:sz w:val="21"/>
          <w:szCs w:val="21"/>
        </w:rPr>
      </w:pPr>
      <w:r>
        <w:rPr>
          <w:rFonts w:hint="eastAsia" w:ascii="宋体" w:hAnsi="宋体" w:cs="宋体"/>
          <w:bCs/>
          <w:sz w:val="21"/>
          <w:szCs w:val="21"/>
        </w:rPr>
        <w:t>1.</w:t>
      </w:r>
      <w:r>
        <w:rPr>
          <w:rFonts w:hint="eastAsia" w:ascii="宋体" w:hAnsi="宋体" w:cs="宋体"/>
          <w:spacing w:val="6"/>
          <w:sz w:val="21"/>
          <w:szCs w:val="21"/>
        </w:rPr>
        <w:t>若供应商同时满足以下条件，则属于依法享受政府采购支持政策的残疾人福利性单位，可提供《残疾人福利性单位声明函》，并对声明的真实性负责：</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（一）安置的残疾人占本单位在职职工人数的比例不低于25%（含25%），并且安置的残疾人人数不少于10人（含10人）；</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（二）依法与安置的每位残疾人签订了一年以上（含一年）的劳动合同或服务协议；</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（三）为安置的每位残疾人按月足额缴纳了基本养老保险、基本医疗保险、失业保险、工伤保险和生育保险等社会保险费；</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（四）通过银行等金融机构向安置的每位残疾人，按月支付了不低于单位所在区县适用的经省级人民政府批准的月最低工资标准的工资；</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0" w:firstLineChars="200"/>
        <w:jc w:val="left"/>
        <w:rPr>
          <w:rFonts w:ascii="宋体" w:hAnsi="宋体" w:cs="宋体"/>
          <w:bCs/>
          <w:sz w:val="21"/>
          <w:szCs w:val="21"/>
        </w:rPr>
      </w:pPr>
      <w:r>
        <w:rPr>
          <w:rFonts w:hint="eastAsia" w:ascii="宋体" w:hAnsi="宋体" w:cs="宋体"/>
          <w:bCs/>
          <w:sz w:val="21"/>
          <w:szCs w:val="21"/>
        </w:rPr>
        <w:t>2.中标人为残疾人福利性单位的，《残疾人福利性单位声明函》随中标结果同时公告，接受社会监督。</w:t>
      </w:r>
    </w:p>
    <w:p>
      <w:pPr>
        <w:pStyle w:val="6"/>
        <w:overflowPunct w:val="0"/>
        <w:spacing w:line="360" w:lineRule="auto"/>
        <w:ind w:firstLine="0"/>
        <w:jc w:val="center"/>
        <w:rPr>
          <w:rFonts w:ascii="宋体" w:hAnsi="宋体" w:cs="宋体"/>
          <w:bCs/>
          <w:szCs w:val="21"/>
        </w:rPr>
      </w:pPr>
      <w:r>
        <w:rPr>
          <w:rFonts w:hint="eastAsia" w:ascii="宋体" w:hAnsi="宋体" w:cs="宋体"/>
          <w:b/>
          <w:spacing w:val="6"/>
          <w:szCs w:val="21"/>
        </w:rPr>
        <w:t>供应商不属于残疾人福利性单位的，无需提供此声明函，如提供所引起的后果由供应商承担。</w:t>
      </w:r>
    </w:p>
    <w:p>
      <w:pPr>
        <w:widowControl/>
        <w:jc w:val="left"/>
        <w:rPr>
          <w:rFonts w:ascii="宋体" w:hAnsi="宋体"/>
          <w:b/>
          <w:spacing w:val="-6"/>
          <w:sz w:val="24"/>
        </w:rPr>
      </w:pP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我______</w:t>
      </w:r>
      <w:r>
        <w:rPr>
          <w:rFonts w:hint="eastAsia" w:ascii="宋体" w:hAnsi="宋体"/>
          <w:spacing w:val="-6"/>
          <w:sz w:val="24"/>
          <w:u w:val="single"/>
        </w:rPr>
        <w:t>_     _</w:t>
      </w:r>
      <w:r>
        <w:rPr>
          <w:rFonts w:hint="eastAsia" w:ascii="宋体" w:hAnsi="宋体"/>
          <w:spacing w:val="-6"/>
          <w:sz w:val="24"/>
        </w:rPr>
        <w:t>_（姓名）系______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以我方的名义参加浙江工商大学智能化学位论文送审及监测管理服务的单一来源采购活动，并代表我方全权办理针对上述项目的谈判、开标、评审、签约等具体事务和签署相关文件。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4"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gB71gAAAAUBAAAPAAAAAAAAAAEAIAAA&#10;ACIAAABkcnMvZG93bnJldi54bWxQSwECFAAUAAAACACHTuJAHTdbpQ4CAAA3BAAADgAAAAAAAAAB&#10;ACAAAAAlAQAAZHJzL2Uyb0RvYy54bWxQSwUGAAAAAAYABgBZAQAApQU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rPr>
        <w:t>浙江工商大学智能化学位论文送审及监测管理服务的单一</w:t>
      </w:r>
      <w:r>
        <w:rPr>
          <w:rFonts w:hint="eastAsia" w:ascii="宋体" w:hAnsi="宋体"/>
          <w:spacing w:val="-6"/>
          <w:sz w:val="24"/>
        </w:rPr>
        <w:t>来源采购公告（项目编号：</w:t>
      </w:r>
      <w:r>
        <w:rPr>
          <w:rFonts w:hint="eastAsia" w:ascii="宋体" w:hAnsi="宋体"/>
          <w:bCs/>
          <w:spacing w:val="-6"/>
          <w:sz w:val="24"/>
        </w:rPr>
        <w:t xml:space="preserve">QSZB-Z(F)-H21230(DY)  </w:t>
      </w:r>
      <w:r>
        <w:rPr>
          <w:rFonts w:hint="eastAsia" w:ascii="宋体" w:hAnsi="宋体"/>
          <w:spacing w:val="-6"/>
          <w:sz w:val="24"/>
        </w:rPr>
        <w:t>），我方______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w:t>
      </w:r>
      <w:r>
        <w:rPr>
          <w:rFonts w:hint="eastAsia" w:ascii="宋体" w:hAnsi="宋体"/>
          <w:spacing w:val="-6"/>
          <w:sz w:val="24"/>
          <w:u w:val="single"/>
        </w:rPr>
        <w:t xml:space="preserve">        _</w:t>
      </w:r>
      <w:r>
        <w:rPr>
          <w:rFonts w:hint="eastAsia" w:ascii="宋体" w:hAnsi="宋体"/>
          <w:spacing w:val="-6"/>
          <w:sz w:val="24"/>
        </w:rPr>
        <w:t>____</w:t>
      </w:r>
    </w:p>
    <w:p>
      <w:pPr>
        <w:snapToGrid w:val="0"/>
        <w:spacing w:line="288" w:lineRule="auto"/>
        <w:rPr>
          <w:rFonts w:ascii="宋体" w:hAnsi="宋体"/>
          <w:spacing w:val="-6"/>
          <w:sz w:val="24"/>
        </w:rPr>
      </w:pPr>
      <w:r>
        <w:rPr>
          <w:rFonts w:hint="eastAsia" w:ascii="宋体" w:hAnsi="宋体"/>
          <w:spacing w:val="-6"/>
          <w:sz w:val="24"/>
        </w:rPr>
        <w:t xml:space="preserve">邮编：__________   </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rPr>
        <w:t>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rPr>
        <w:t>浙江工商大学智能化学位论文送审及监测管理服务</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11"/>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1"/>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9"/>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8"/>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ascii="宋体" w:hAnsi="宋体"/>
          <w:bCs/>
          <w:spacing w:val="-6"/>
          <w:sz w:val="24"/>
        </w:rPr>
      </w:pPr>
      <w:r>
        <w:rPr>
          <w:rFonts w:hint="eastAsia" w:ascii="宋体" w:hAnsi="宋体"/>
          <w:bCs/>
          <w:spacing w:val="-6"/>
          <w:sz w:val="24"/>
        </w:rPr>
        <w:t>项目名称：浙江工商大学智能化学位论文送审及监测管理服务</w:t>
      </w:r>
    </w:p>
    <w:p>
      <w:pPr>
        <w:snapToGrid w:val="0"/>
        <w:spacing w:before="50" w:after="120" w:afterLines="50" w:line="288" w:lineRule="auto"/>
        <w:jc w:val="left"/>
        <w:rPr>
          <w:rFonts w:ascii="宋体" w:hAnsi="宋体"/>
          <w:bCs/>
          <w:spacing w:val="-6"/>
          <w:sz w:val="24"/>
        </w:rPr>
      </w:pPr>
      <w:r>
        <w:rPr>
          <w:rFonts w:hint="eastAsia" w:ascii="宋体" w:hAnsi="宋体"/>
          <w:bCs/>
          <w:spacing w:val="-6"/>
          <w:sz w:val="24"/>
        </w:rPr>
        <w:t xml:space="preserve">项目编号：QSZB-Z(F)-H21230(DY)      </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技术方案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优惠条件：响应方承诺给予采购人的各种优惠条件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响应方对本项目的合理化建议和改进措施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ヒラギノ角ゴ Pro W3">
    <w:altName w:val="MS UI Gothic"/>
    <w:panose1 w:val="00000000000000000000"/>
    <w:charset w:val="80"/>
    <w:family w:val="auto"/>
    <w:pitch w:val="default"/>
    <w:sig w:usb0="00000000" w:usb1="00000000" w:usb2="07040001" w:usb3="00000000" w:csb0="00020000" w:csb1="00000000"/>
  </w:font>
  <w:font w:name="MS UI Gothic">
    <w:panose1 w:val="020B0600070205080204"/>
    <w:charset w:val="80"/>
    <w:family w:val="auto"/>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11</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32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inline distT="0" distB="0" distL="0" distR="0">
          <wp:extent cx="5905500" cy="676275"/>
          <wp:effectExtent l="19050" t="0" r="0" b="0"/>
          <wp:docPr id="1" name="图片 1"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1217"/>
    <w:multiLevelType w:val="singleLevel"/>
    <w:tmpl w:val="817C1217"/>
    <w:lvl w:ilvl="0" w:tentative="0">
      <w:start w:val="7"/>
      <w:numFmt w:val="chineseCounting"/>
      <w:suff w:val="nothing"/>
      <w:lvlText w:val="（%1）"/>
      <w:lvlJc w:val="left"/>
      <w:rPr>
        <w:rFonts w:hint="eastAsia"/>
      </w:rPr>
    </w:lvl>
  </w:abstractNum>
  <w:abstractNum w:abstractNumId="1">
    <w:nsid w:val="8534605D"/>
    <w:multiLevelType w:val="singleLevel"/>
    <w:tmpl w:val="8534605D"/>
    <w:lvl w:ilvl="0" w:tentative="0">
      <w:start w:val="1"/>
      <w:numFmt w:val="chineseCounting"/>
      <w:suff w:val="nothing"/>
      <w:lvlText w:val="（%1）"/>
      <w:lvlJc w:val="left"/>
      <w:rPr>
        <w:rFonts w:hint="eastAsia"/>
      </w:rPr>
    </w:lvl>
  </w:abstractNum>
  <w:abstractNum w:abstractNumId="2">
    <w:nsid w:val="87E649C3"/>
    <w:multiLevelType w:val="singleLevel"/>
    <w:tmpl w:val="87E649C3"/>
    <w:lvl w:ilvl="0" w:tentative="0">
      <w:start w:val="5"/>
      <w:numFmt w:val="chineseCounting"/>
      <w:suff w:val="nothing"/>
      <w:lvlText w:val="（%1）"/>
      <w:lvlJc w:val="left"/>
      <w:rPr>
        <w:rFonts w:hint="eastAsia"/>
      </w:rPr>
    </w:lvl>
  </w:abstractNum>
  <w:abstractNum w:abstractNumId="3">
    <w:nsid w:val="FBE3A402"/>
    <w:multiLevelType w:val="singleLevel"/>
    <w:tmpl w:val="FBE3A402"/>
    <w:lvl w:ilvl="0" w:tentative="0">
      <w:start w:val="11"/>
      <w:numFmt w:val="chineseCounting"/>
      <w:suff w:val="space"/>
      <w:lvlText w:val="第%1条"/>
      <w:lvlJc w:val="left"/>
      <w:rPr>
        <w:rFonts w:hint="eastAsia"/>
      </w:rPr>
    </w:lvl>
  </w:abstractNum>
  <w:abstractNum w:abstractNumId="4">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470F39"/>
    <w:multiLevelType w:val="singleLevel"/>
    <w:tmpl w:val="10470F39"/>
    <w:lvl w:ilvl="0" w:tentative="0">
      <w:start w:val="2"/>
      <w:numFmt w:val="chineseCounting"/>
      <w:suff w:val="nothing"/>
      <w:lvlText w:val="%1、"/>
      <w:lvlJc w:val="left"/>
      <w:rPr>
        <w:rFonts w:hint="eastAsia"/>
      </w:rPr>
    </w:lvl>
  </w:abstractNum>
  <w:abstractNum w:abstractNumId="7">
    <w:nsid w:val="2B8E75AB"/>
    <w:multiLevelType w:val="singleLevel"/>
    <w:tmpl w:val="2B8E75AB"/>
    <w:lvl w:ilvl="0" w:tentative="0">
      <w:start w:val="1"/>
      <w:numFmt w:val="chineseCounting"/>
      <w:suff w:val="nothing"/>
      <w:lvlText w:val="（%1）"/>
      <w:lvlJc w:val="left"/>
      <w:rPr>
        <w:rFonts w:hint="eastAsia"/>
      </w:rPr>
    </w:lvl>
  </w:abstractNum>
  <w:abstractNum w:abstractNumId="8">
    <w:nsid w:val="3DD17471"/>
    <w:multiLevelType w:val="singleLevel"/>
    <w:tmpl w:val="3DD17471"/>
    <w:lvl w:ilvl="0" w:tentative="0">
      <w:start w:val="3"/>
      <w:numFmt w:val="chineseCounting"/>
      <w:suff w:val="nothing"/>
      <w:lvlText w:val="（%1）"/>
      <w:lvlJc w:val="left"/>
      <w:rPr>
        <w:rFonts w:hint="eastAsia"/>
        <w:lang w:val="en-US"/>
      </w:rPr>
    </w:lvl>
  </w:abstractNum>
  <w:num w:numId="1">
    <w:abstractNumId w:val="5"/>
  </w:num>
  <w:num w:numId="2">
    <w:abstractNumId w:val="4"/>
  </w:num>
  <w:num w:numId="3">
    <w:abstractNumId w:val="6"/>
  </w:num>
  <w:num w:numId="4">
    <w:abstractNumId w:val="2"/>
  </w:num>
  <w:num w:numId="5">
    <w:abstractNumId w:val="0"/>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CD"/>
    <w:rsid w:val="00013135"/>
    <w:rsid w:val="00047491"/>
    <w:rsid w:val="00090D7D"/>
    <w:rsid w:val="000A2BF2"/>
    <w:rsid w:val="000B60A1"/>
    <w:rsid w:val="0010434C"/>
    <w:rsid w:val="001345CD"/>
    <w:rsid w:val="0015251B"/>
    <w:rsid w:val="0015519E"/>
    <w:rsid w:val="001B113B"/>
    <w:rsid w:val="001B2A3C"/>
    <w:rsid w:val="00210D2B"/>
    <w:rsid w:val="00227C16"/>
    <w:rsid w:val="00270182"/>
    <w:rsid w:val="00275867"/>
    <w:rsid w:val="002E7B63"/>
    <w:rsid w:val="002F71D3"/>
    <w:rsid w:val="003537A4"/>
    <w:rsid w:val="00377C53"/>
    <w:rsid w:val="003A5E8D"/>
    <w:rsid w:val="00405904"/>
    <w:rsid w:val="0041427E"/>
    <w:rsid w:val="004308A9"/>
    <w:rsid w:val="00433FB6"/>
    <w:rsid w:val="004706BD"/>
    <w:rsid w:val="00491278"/>
    <w:rsid w:val="004A2C38"/>
    <w:rsid w:val="004C50C1"/>
    <w:rsid w:val="004F2A01"/>
    <w:rsid w:val="0052561A"/>
    <w:rsid w:val="00534EE3"/>
    <w:rsid w:val="00534FAB"/>
    <w:rsid w:val="00542157"/>
    <w:rsid w:val="00562830"/>
    <w:rsid w:val="00600C62"/>
    <w:rsid w:val="00631922"/>
    <w:rsid w:val="006770A0"/>
    <w:rsid w:val="00677CB9"/>
    <w:rsid w:val="006C2D0C"/>
    <w:rsid w:val="00712538"/>
    <w:rsid w:val="007234A2"/>
    <w:rsid w:val="00726A17"/>
    <w:rsid w:val="00776424"/>
    <w:rsid w:val="007D6118"/>
    <w:rsid w:val="007E004B"/>
    <w:rsid w:val="0080072E"/>
    <w:rsid w:val="008429B2"/>
    <w:rsid w:val="0085392C"/>
    <w:rsid w:val="008679C6"/>
    <w:rsid w:val="00886A69"/>
    <w:rsid w:val="008C5D22"/>
    <w:rsid w:val="008E5903"/>
    <w:rsid w:val="00922361"/>
    <w:rsid w:val="00972E37"/>
    <w:rsid w:val="0099427C"/>
    <w:rsid w:val="009B2BAC"/>
    <w:rsid w:val="009E7259"/>
    <w:rsid w:val="009F0353"/>
    <w:rsid w:val="00A00646"/>
    <w:rsid w:val="00A8334B"/>
    <w:rsid w:val="00AC3AFE"/>
    <w:rsid w:val="00AD575E"/>
    <w:rsid w:val="00AF4458"/>
    <w:rsid w:val="00B11E55"/>
    <w:rsid w:val="00B37446"/>
    <w:rsid w:val="00B773A4"/>
    <w:rsid w:val="00BD6B76"/>
    <w:rsid w:val="00BF246A"/>
    <w:rsid w:val="00C1749A"/>
    <w:rsid w:val="00C21006"/>
    <w:rsid w:val="00C310DD"/>
    <w:rsid w:val="00C75606"/>
    <w:rsid w:val="00D21108"/>
    <w:rsid w:val="00D27A33"/>
    <w:rsid w:val="00D32AA8"/>
    <w:rsid w:val="00D576F3"/>
    <w:rsid w:val="00D577B9"/>
    <w:rsid w:val="00D679D1"/>
    <w:rsid w:val="00D852C8"/>
    <w:rsid w:val="00DC678F"/>
    <w:rsid w:val="00DE2907"/>
    <w:rsid w:val="00E74D9E"/>
    <w:rsid w:val="00E90AD6"/>
    <w:rsid w:val="00EB2072"/>
    <w:rsid w:val="00ED2A12"/>
    <w:rsid w:val="00F25F78"/>
    <w:rsid w:val="00F65572"/>
    <w:rsid w:val="00F7792D"/>
    <w:rsid w:val="00F83A94"/>
    <w:rsid w:val="00FB0DFC"/>
    <w:rsid w:val="00FB41EC"/>
    <w:rsid w:val="00FE6769"/>
    <w:rsid w:val="00FE71F1"/>
    <w:rsid w:val="02D92A57"/>
    <w:rsid w:val="043932E5"/>
    <w:rsid w:val="05FC357B"/>
    <w:rsid w:val="071022EE"/>
    <w:rsid w:val="09113029"/>
    <w:rsid w:val="0BC05F06"/>
    <w:rsid w:val="0CFE5B84"/>
    <w:rsid w:val="0FC023BF"/>
    <w:rsid w:val="111317BC"/>
    <w:rsid w:val="11F241D1"/>
    <w:rsid w:val="12355B96"/>
    <w:rsid w:val="18870185"/>
    <w:rsid w:val="18E33BD3"/>
    <w:rsid w:val="1A026EA3"/>
    <w:rsid w:val="1A4855DD"/>
    <w:rsid w:val="1AC1225A"/>
    <w:rsid w:val="1B2F6CA3"/>
    <w:rsid w:val="1FBE6C5C"/>
    <w:rsid w:val="222A3A11"/>
    <w:rsid w:val="24FC7974"/>
    <w:rsid w:val="25DD1395"/>
    <w:rsid w:val="262133DB"/>
    <w:rsid w:val="28456055"/>
    <w:rsid w:val="295C1C5E"/>
    <w:rsid w:val="2AF74DF8"/>
    <w:rsid w:val="2B8A3FA7"/>
    <w:rsid w:val="2CD1423A"/>
    <w:rsid w:val="2E2A26CC"/>
    <w:rsid w:val="2F983A3F"/>
    <w:rsid w:val="2FDC446D"/>
    <w:rsid w:val="30104550"/>
    <w:rsid w:val="306453A0"/>
    <w:rsid w:val="35D2104D"/>
    <w:rsid w:val="3649336F"/>
    <w:rsid w:val="368E43AC"/>
    <w:rsid w:val="38DF2837"/>
    <w:rsid w:val="3C8C4F3D"/>
    <w:rsid w:val="3F21066D"/>
    <w:rsid w:val="3F77025D"/>
    <w:rsid w:val="44110752"/>
    <w:rsid w:val="48EA2B51"/>
    <w:rsid w:val="4AD00EAF"/>
    <w:rsid w:val="4ADA0065"/>
    <w:rsid w:val="4BDC7252"/>
    <w:rsid w:val="4C883E5C"/>
    <w:rsid w:val="4D581B77"/>
    <w:rsid w:val="4DCE66E9"/>
    <w:rsid w:val="4F2B5538"/>
    <w:rsid w:val="4FE96406"/>
    <w:rsid w:val="5176212D"/>
    <w:rsid w:val="518F28BE"/>
    <w:rsid w:val="52500B90"/>
    <w:rsid w:val="53835006"/>
    <w:rsid w:val="53AA37BE"/>
    <w:rsid w:val="54A5697C"/>
    <w:rsid w:val="5598480F"/>
    <w:rsid w:val="559B3F6F"/>
    <w:rsid w:val="55C73F37"/>
    <w:rsid w:val="564D3197"/>
    <w:rsid w:val="567F1689"/>
    <w:rsid w:val="57562126"/>
    <w:rsid w:val="58FF2C1A"/>
    <w:rsid w:val="59A61792"/>
    <w:rsid w:val="5ADF20AD"/>
    <w:rsid w:val="5C3A0C1E"/>
    <w:rsid w:val="5C6D3A3C"/>
    <w:rsid w:val="5E4F1D2C"/>
    <w:rsid w:val="5E893E92"/>
    <w:rsid w:val="63E33D01"/>
    <w:rsid w:val="650F606A"/>
    <w:rsid w:val="65136D13"/>
    <w:rsid w:val="66302A98"/>
    <w:rsid w:val="67CFCFED"/>
    <w:rsid w:val="67EC03C3"/>
    <w:rsid w:val="6A715B8C"/>
    <w:rsid w:val="6A9112FF"/>
    <w:rsid w:val="6AD53BBD"/>
    <w:rsid w:val="6BA673EF"/>
    <w:rsid w:val="6C6300A3"/>
    <w:rsid w:val="708421CA"/>
    <w:rsid w:val="7433389A"/>
    <w:rsid w:val="74FF4304"/>
    <w:rsid w:val="77853626"/>
    <w:rsid w:val="77B13E2D"/>
    <w:rsid w:val="78005010"/>
    <w:rsid w:val="7909574C"/>
    <w:rsid w:val="792701F6"/>
    <w:rsid w:val="7A000DBF"/>
    <w:rsid w:val="7FAC53BB"/>
    <w:rsid w:val="AD7E3ABE"/>
    <w:rsid w:val="DFDE28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Cambria" w:hAnsi="Cambria"/>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6">
    <w:name w:val="Normal Indent"/>
    <w:basedOn w:val="1"/>
    <w:link w:val="41"/>
    <w:qFormat/>
    <w:uiPriority w:val="0"/>
    <w:pPr>
      <w:ind w:firstLine="420"/>
    </w:pPr>
    <w:rPr>
      <w:sz w:val="21"/>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57"/>
    <w:qFormat/>
    <w:uiPriority w:val="0"/>
    <w:rPr>
      <w:rFonts w:ascii="宋体"/>
      <w:sz w:val="18"/>
      <w:szCs w:val="18"/>
    </w:rPr>
  </w:style>
  <w:style w:type="paragraph" w:styleId="9">
    <w:name w:val="annotation text"/>
    <w:basedOn w:val="1"/>
    <w:link w:val="61"/>
    <w:unhideWhenUsed/>
    <w:qFormat/>
    <w:uiPriority w:val="99"/>
    <w:pPr>
      <w:jc w:val="left"/>
    </w:pPr>
  </w:style>
  <w:style w:type="paragraph" w:styleId="10">
    <w:name w:val="Body Text"/>
    <w:basedOn w:val="1"/>
    <w:link w:val="73"/>
    <w:unhideWhenUsed/>
    <w:qFormat/>
    <w:uiPriority w:val="99"/>
    <w:pPr>
      <w:spacing w:after="120"/>
    </w:pPr>
  </w:style>
  <w:style w:type="paragraph" w:styleId="11">
    <w:name w:val="Body Text Indent"/>
    <w:basedOn w:val="1"/>
    <w:next w:val="1"/>
    <w:link w:val="37"/>
    <w:qFormat/>
    <w:uiPriority w:val="0"/>
    <w:pPr>
      <w:spacing w:line="200" w:lineRule="atLeast"/>
      <w:ind w:firstLine="301"/>
    </w:pPr>
    <w:rPr>
      <w:rFonts w:ascii="宋体" w:hAnsi="Courier New"/>
      <w:spacing w:val="-4"/>
      <w:sz w:val="18"/>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44"/>
    <w:qFormat/>
    <w:uiPriority w:val="0"/>
    <w:pPr>
      <w:spacing w:beforeLines="50" w:afterLines="50" w:line="400" w:lineRule="atLeast"/>
    </w:pPr>
    <w:rPr>
      <w:rFonts w:ascii="宋体" w:hAnsi="Courier New"/>
      <w:sz w:val="24"/>
    </w:rPr>
  </w:style>
  <w:style w:type="paragraph" w:styleId="14">
    <w:name w:val="Date"/>
    <w:basedOn w:val="1"/>
    <w:next w:val="1"/>
    <w:qFormat/>
    <w:uiPriority w:val="0"/>
    <w:pPr>
      <w:ind w:left="2500" w:leftChars="2500"/>
    </w:pPr>
    <w:rPr>
      <w:rFonts w:eastAsia="楷体_GB2312"/>
      <w:sz w:val="32"/>
      <w:szCs w:val="20"/>
    </w:r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qFormat/>
    <w:uiPriority w:val="0"/>
    <w:pP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0">
    <w:name w:val="Normal (Web)"/>
    <w:basedOn w:val="1"/>
    <w:qFormat/>
    <w:uiPriority w:val="0"/>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9"/>
    <w:next w:val="9"/>
    <w:link w:val="62"/>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unhideWhenUsed/>
    <w:qFormat/>
    <w:uiPriority w:val="99"/>
    <w:rPr>
      <w:color w:val="5579A7"/>
      <w:u w:val="none"/>
    </w:rPr>
  </w:style>
  <w:style w:type="character" w:styleId="28">
    <w:name w:val="Hyperlink"/>
    <w:basedOn w:val="24"/>
    <w:qFormat/>
    <w:uiPriority w:val="0"/>
    <w:rPr>
      <w:color w:val="5579A7"/>
      <w:u w:val="none"/>
    </w:rPr>
  </w:style>
  <w:style w:type="character" w:styleId="29">
    <w:name w:val="annotation reference"/>
    <w:basedOn w:val="24"/>
    <w:unhideWhenUsed/>
    <w:qFormat/>
    <w:uiPriority w:val="99"/>
    <w:rPr>
      <w:sz w:val="21"/>
      <w:szCs w:val="21"/>
    </w:rPr>
  </w:style>
  <w:style w:type="paragraph" w:customStyle="1" w:styleId="30">
    <w:name w:val="Default"/>
    <w:next w:val="3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2">
    <w:name w:val="标题 1 字符"/>
    <w:link w:val="3"/>
    <w:qFormat/>
    <w:uiPriority w:val="9"/>
    <w:rPr>
      <w:b/>
      <w:bCs/>
      <w:kern w:val="44"/>
      <w:sz w:val="44"/>
      <w:szCs w:val="44"/>
    </w:rPr>
  </w:style>
  <w:style w:type="character" w:customStyle="1" w:styleId="33">
    <w:name w:val="标题 2 字符"/>
    <w:link w:val="4"/>
    <w:semiHidden/>
    <w:qFormat/>
    <w:uiPriority w:val="9"/>
    <w:rPr>
      <w:rFonts w:ascii="Cambria" w:hAnsi="Cambria" w:eastAsia="宋体" w:cs="Times New Roman"/>
      <w:b/>
      <w:bCs/>
      <w:kern w:val="2"/>
      <w:sz w:val="32"/>
      <w:szCs w:val="32"/>
    </w:rPr>
  </w:style>
  <w:style w:type="character" w:customStyle="1" w:styleId="34">
    <w:name w:val="z-窗体底端 Char"/>
    <w:link w:val="35"/>
    <w:semiHidden/>
    <w:qFormat/>
    <w:uiPriority w:val="99"/>
    <w:rPr>
      <w:rFonts w:ascii="Arial" w:hAnsi="Arial"/>
      <w:vanish/>
      <w:sz w:val="16"/>
      <w:szCs w:val="16"/>
    </w:rPr>
  </w:style>
  <w:style w:type="paragraph" w:customStyle="1" w:styleId="35">
    <w:name w:val="z-窗体底端1"/>
    <w:basedOn w:val="1"/>
    <w:next w:val="1"/>
    <w:link w:val="34"/>
    <w:unhideWhenUsed/>
    <w:qFormat/>
    <w:uiPriority w:val="99"/>
    <w:pPr>
      <w:widowControl/>
      <w:pBdr>
        <w:top w:val="single" w:color="auto" w:sz="6" w:space="1"/>
      </w:pBdr>
      <w:jc w:val="center"/>
    </w:pPr>
    <w:rPr>
      <w:rFonts w:ascii="Arial" w:hAnsi="Arial"/>
      <w:vanish/>
      <w:kern w:val="0"/>
      <w:sz w:val="16"/>
      <w:szCs w:val="16"/>
    </w:rPr>
  </w:style>
  <w:style w:type="character" w:customStyle="1" w:styleId="36">
    <w:name w:val="标题 1 Char Char"/>
    <w:qFormat/>
    <w:uiPriority w:val="0"/>
    <w:rPr>
      <w:rFonts w:eastAsia="宋体"/>
      <w:b/>
      <w:spacing w:val="-2"/>
      <w:sz w:val="24"/>
      <w:lang w:val="en-US" w:eastAsia="zh-CN" w:bidi="ar-SA"/>
    </w:rPr>
  </w:style>
  <w:style w:type="character" w:customStyle="1" w:styleId="37">
    <w:name w:val="正文文本缩进 字符"/>
    <w:link w:val="11"/>
    <w:qFormat/>
    <w:uiPriority w:val="0"/>
    <w:rPr>
      <w:rFonts w:ascii="宋体" w:hAnsi="Courier New"/>
      <w:spacing w:val="-4"/>
      <w:kern w:val="2"/>
      <w:sz w:val="18"/>
    </w:rPr>
  </w:style>
  <w:style w:type="character" w:customStyle="1" w:styleId="38">
    <w:name w:val="z-窗体顶端 Char"/>
    <w:link w:val="39"/>
    <w:semiHidden/>
    <w:qFormat/>
    <w:uiPriority w:val="99"/>
    <w:rPr>
      <w:rFonts w:ascii="Arial" w:hAnsi="Arial"/>
      <w:vanish/>
      <w:sz w:val="16"/>
      <w:szCs w:val="16"/>
    </w:rPr>
  </w:style>
  <w:style w:type="paragraph" w:customStyle="1" w:styleId="39">
    <w:name w:val="z-窗体顶端1"/>
    <w:basedOn w:val="1"/>
    <w:next w:val="1"/>
    <w:link w:val="38"/>
    <w:unhideWhenUsed/>
    <w:qFormat/>
    <w:uiPriority w:val="99"/>
    <w:pPr>
      <w:widowControl/>
      <w:pBdr>
        <w:bottom w:val="single" w:color="auto" w:sz="6" w:space="1"/>
      </w:pBdr>
      <w:jc w:val="center"/>
    </w:pPr>
    <w:rPr>
      <w:rFonts w:ascii="Arial" w:hAnsi="Arial"/>
      <w:vanish/>
      <w:kern w:val="0"/>
      <w:sz w:val="16"/>
      <w:szCs w:val="16"/>
    </w:rPr>
  </w:style>
  <w:style w:type="character" w:customStyle="1" w:styleId="40">
    <w:name w:val="页脚 字符"/>
    <w:link w:val="16"/>
    <w:qFormat/>
    <w:uiPriority w:val="99"/>
    <w:rPr>
      <w:kern w:val="2"/>
      <w:sz w:val="18"/>
      <w:szCs w:val="18"/>
    </w:rPr>
  </w:style>
  <w:style w:type="character" w:customStyle="1" w:styleId="41">
    <w:name w:val="正文缩进 字符"/>
    <w:link w:val="6"/>
    <w:qFormat/>
    <w:uiPriority w:val="0"/>
    <w:rPr>
      <w:rFonts w:eastAsia="宋体"/>
      <w:kern w:val="2"/>
      <w:sz w:val="21"/>
      <w:lang w:val="en-US" w:eastAsia="zh-CN" w:bidi="ar-SA"/>
    </w:rPr>
  </w:style>
  <w:style w:type="character" w:customStyle="1" w:styleId="42">
    <w:name w:val="纯文本 Char1"/>
    <w:qFormat/>
    <w:uiPriority w:val="0"/>
    <w:rPr>
      <w:rFonts w:ascii="宋体" w:hAnsi="Courier New"/>
      <w:kern w:val="2"/>
      <w:sz w:val="21"/>
    </w:rPr>
  </w:style>
  <w:style w:type="character" w:customStyle="1" w:styleId="43">
    <w:name w:val="black601"/>
    <w:qFormat/>
    <w:uiPriority w:val="0"/>
    <w:rPr>
      <w:color w:val="666666"/>
    </w:rPr>
  </w:style>
  <w:style w:type="character" w:customStyle="1" w:styleId="44">
    <w:name w:val="纯文本 字符1"/>
    <w:link w:val="13"/>
    <w:qFormat/>
    <w:uiPriority w:val="0"/>
    <w:rPr>
      <w:rFonts w:ascii="宋体" w:hAnsi="Courier New"/>
      <w:kern w:val="2"/>
      <w:sz w:val="24"/>
      <w:szCs w:val="24"/>
    </w:rPr>
  </w:style>
  <w:style w:type="character" w:customStyle="1" w:styleId="45">
    <w:name w:val="maywed421"/>
    <w:qFormat/>
    <w:uiPriority w:val="0"/>
    <w:rPr>
      <w:color w:val="366FB6"/>
      <w:u w:val="none"/>
    </w:rPr>
  </w:style>
  <w:style w:type="paragraph" w:customStyle="1" w:styleId="46">
    <w:name w:val="正文段"/>
    <w:basedOn w:val="1"/>
    <w:qFormat/>
    <w:uiPriority w:val="0"/>
    <w:pPr>
      <w:widowControl/>
      <w:snapToGrid w:val="0"/>
      <w:spacing w:afterLines="50"/>
      <w:ind w:firstLine="200" w:firstLineChars="200"/>
    </w:pPr>
    <w:rPr>
      <w:kern w:val="0"/>
      <w:sz w:val="24"/>
      <w:szCs w:val="20"/>
    </w:rPr>
  </w:style>
  <w:style w:type="paragraph" w:customStyle="1" w:styleId="47">
    <w:name w:val="List Paragraph1"/>
    <w:basedOn w:val="1"/>
    <w:qFormat/>
    <w:uiPriority w:val="99"/>
    <w:pPr>
      <w:ind w:firstLine="420" w:firstLineChars="200"/>
    </w:pPr>
    <w:rPr>
      <w:sz w:val="21"/>
    </w:rPr>
  </w:style>
  <w:style w:type="paragraph" w:customStyle="1" w:styleId="48">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
    <w:name w:val="默认段落字体 Para Char Char Char Char Char Char Char Char Char1 Char Char Char Char"/>
    <w:basedOn w:val="1"/>
    <w:qFormat/>
    <w:uiPriority w:val="0"/>
    <w:rPr>
      <w:rFonts w:ascii="Tahoma" w:hAnsi="Tahoma"/>
      <w:sz w:val="24"/>
      <w:szCs w:val="20"/>
    </w:rPr>
  </w:style>
  <w:style w:type="paragraph" w:customStyle="1" w:styleId="50">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3">
    <w:name w:val="列出段落1"/>
    <w:basedOn w:val="1"/>
    <w:qFormat/>
    <w:uiPriority w:val="34"/>
    <w:pPr>
      <w:ind w:firstLine="420" w:firstLineChars="200"/>
    </w:pPr>
    <w:rPr>
      <w:rFonts w:ascii="Calibri" w:hAnsi="Calibri"/>
      <w:sz w:val="21"/>
      <w:szCs w:val="22"/>
    </w:rPr>
  </w:style>
  <w:style w:type="paragraph" w:customStyle="1" w:styleId="5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5">
    <w:name w:val="纯文本 字符"/>
    <w:qFormat/>
    <w:uiPriority w:val="0"/>
    <w:rPr>
      <w:rFonts w:ascii="宋体" w:hAnsi="Courier New"/>
      <w:sz w:val="24"/>
      <w:szCs w:val="24"/>
    </w:rPr>
  </w:style>
  <w:style w:type="paragraph" w:customStyle="1" w:styleId="56">
    <w:name w:val="列出段落11"/>
    <w:basedOn w:val="1"/>
    <w:qFormat/>
    <w:uiPriority w:val="34"/>
    <w:pPr>
      <w:ind w:firstLine="420" w:firstLineChars="200"/>
    </w:pPr>
    <w:rPr>
      <w:sz w:val="21"/>
      <w:szCs w:val="20"/>
    </w:rPr>
  </w:style>
  <w:style w:type="character" w:customStyle="1" w:styleId="57">
    <w:name w:val="文档结构图 字符"/>
    <w:link w:val="8"/>
    <w:qFormat/>
    <w:uiPriority w:val="0"/>
    <w:rPr>
      <w:rFonts w:ascii="宋体"/>
      <w:kern w:val="2"/>
      <w:sz w:val="18"/>
      <w:szCs w:val="18"/>
    </w:rPr>
  </w:style>
  <w:style w:type="character" w:customStyle="1" w:styleId="58">
    <w:name w:val="style31"/>
    <w:qFormat/>
    <w:uiPriority w:val="0"/>
    <w:rPr>
      <w:sz w:val="18"/>
      <w:szCs w:val="18"/>
    </w:rPr>
  </w:style>
  <w:style w:type="character" w:customStyle="1" w:styleId="59">
    <w:name w:val="文档结构图 Char1"/>
    <w:basedOn w:val="24"/>
    <w:semiHidden/>
    <w:qFormat/>
    <w:uiPriority w:val="99"/>
    <w:rPr>
      <w:rFonts w:ascii="宋体"/>
      <w:kern w:val="2"/>
      <w:sz w:val="18"/>
      <w:szCs w:val="18"/>
    </w:rPr>
  </w:style>
  <w:style w:type="paragraph" w:customStyle="1" w:styleId="60">
    <w:name w:val="自标题2"/>
    <w:basedOn w:val="1"/>
    <w:next w:val="1"/>
    <w:qFormat/>
    <w:uiPriority w:val="0"/>
    <w:pPr>
      <w:spacing w:beforeLines="100"/>
    </w:pPr>
    <w:rPr>
      <w:rFonts w:ascii="Calibri" w:hAnsi="Calibri"/>
      <w:b/>
      <w:bCs/>
      <w:sz w:val="24"/>
    </w:rPr>
  </w:style>
  <w:style w:type="character" w:customStyle="1" w:styleId="61">
    <w:name w:val="批注文字 字符"/>
    <w:basedOn w:val="24"/>
    <w:link w:val="9"/>
    <w:semiHidden/>
    <w:qFormat/>
    <w:uiPriority w:val="99"/>
    <w:rPr>
      <w:kern w:val="2"/>
      <w:sz w:val="28"/>
      <w:szCs w:val="24"/>
    </w:rPr>
  </w:style>
  <w:style w:type="character" w:customStyle="1" w:styleId="62">
    <w:name w:val="批注主题 字符"/>
    <w:basedOn w:val="61"/>
    <w:link w:val="21"/>
    <w:semiHidden/>
    <w:qFormat/>
    <w:uiPriority w:val="99"/>
    <w:rPr>
      <w:b/>
      <w:bCs/>
      <w:kern w:val="2"/>
      <w:sz w:val="28"/>
      <w:szCs w:val="24"/>
    </w:rPr>
  </w:style>
  <w:style w:type="paragraph" w:customStyle="1" w:styleId="63">
    <w:name w:val="首行缩进"/>
    <w:basedOn w:val="1"/>
    <w:qFormat/>
    <w:uiPriority w:val="0"/>
    <w:pPr>
      <w:spacing w:line="360" w:lineRule="auto"/>
      <w:ind w:firstLine="480" w:firstLineChars="200"/>
      <w:jc w:val="left"/>
    </w:pPr>
    <w:rPr>
      <w:rFonts w:ascii="宋体" w:hAnsi="宋体"/>
      <w:sz w:val="24"/>
    </w:rPr>
  </w:style>
  <w:style w:type="paragraph" w:customStyle="1" w:styleId="64">
    <w:name w:val="样式1"/>
    <w:basedOn w:val="1"/>
    <w:qFormat/>
    <w:uiPriority w:val="0"/>
    <w:pPr>
      <w:spacing w:line="360" w:lineRule="exact"/>
      <w:ind w:firstLine="200" w:firstLineChars="200"/>
    </w:pPr>
    <w:rPr>
      <w:rFonts w:ascii="Arial" w:hAnsi="Arial"/>
    </w:rPr>
  </w:style>
  <w:style w:type="character" w:customStyle="1" w:styleId="65">
    <w:name w:val="jbox-icon-info"/>
    <w:basedOn w:val="24"/>
    <w:qFormat/>
    <w:uiPriority w:val="0"/>
  </w:style>
  <w:style w:type="character" w:customStyle="1" w:styleId="66">
    <w:name w:val="jbox-icon-loading"/>
    <w:basedOn w:val="24"/>
    <w:qFormat/>
    <w:uiPriority w:val="0"/>
  </w:style>
  <w:style w:type="character" w:customStyle="1" w:styleId="67">
    <w:name w:val="jbox-icon"/>
    <w:basedOn w:val="24"/>
    <w:qFormat/>
    <w:uiPriority w:val="0"/>
  </w:style>
  <w:style w:type="character" w:customStyle="1" w:styleId="68">
    <w:name w:val="jbox-icon-question"/>
    <w:basedOn w:val="24"/>
    <w:qFormat/>
    <w:uiPriority w:val="0"/>
  </w:style>
  <w:style w:type="character" w:customStyle="1" w:styleId="69">
    <w:name w:val="jbox-icon-success"/>
    <w:basedOn w:val="24"/>
    <w:qFormat/>
    <w:uiPriority w:val="0"/>
  </w:style>
  <w:style w:type="character" w:customStyle="1" w:styleId="70">
    <w:name w:val="jbox-icon-warning"/>
    <w:basedOn w:val="24"/>
    <w:qFormat/>
    <w:uiPriority w:val="0"/>
  </w:style>
  <w:style w:type="character" w:customStyle="1" w:styleId="71">
    <w:name w:val="jbox-icon-error"/>
    <w:basedOn w:val="24"/>
    <w:qFormat/>
    <w:uiPriority w:val="0"/>
  </w:style>
  <w:style w:type="character" w:customStyle="1" w:styleId="72">
    <w:name w:val="jbox-icon-none"/>
    <w:basedOn w:val="24"/>
    <w:qFormat/>
    <w:uiPriority w:val="0"/>
    <w:rPr>
      <w:vanish/>
    </w:rPr>
  </w:style>
  <w:style w:type="character" w:customStyle="1" w:styleId="73">
    <w:name w:val="正文文本 字符"/>
    <w:basedOn w:val="24"/>
    <w:link w:val="10"/>
    <w:qFormat/>
    <w:uiPriority w:val="0"/>
    <w:rPr>
      <w:kern w:val="2"/>
      <w:sz w:val="28"/>
      <w:szCs w:val="24"/>
    </w:rPr>
  </w:style>
  <w:style w:type="paragraph" w:customStyle="1" w:styleId="7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2D41D-2D58-4BFB-9BB6-265ECE8F4845}">
  <ds:schemaRefs/>
</ds:datastoreItem>
</file>

<file path=docProps/app.xml><?xml version="1.0" encoding="utf-8"?>
<Properties xmlns="http://schemas.openxmlformats.org/officeDocument/2006/extended-properties" xmlns:vt="http://schemas.openxmlformats.org/officeDocument/2006/docPropsVTypes">
  <Template>Normal</Template>
  <Pages>33</Pages>
  <Words>3125</Words>
  <Characters>17816</Characters>
  <Lines>148</Lines>
  <Paragraphs>41</Paragraphs>
  <TotalTime>79</TotalTime>
  <ScaleCrop>false</ScaleCrop>
  <LinksUpToDate>false</LinksUpToDate>
  <CharactersWithSpaces>20900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2017-04-28T08:49:00Z</dcterms:created>
  <dc:creator>jj</dc:creator>
  <cp:lastModifiedBy>迈向破灭的圆舞曲</cp:lastModifiedBy>
  <cp:lastPrinted>2017-04-01T03:27:00Z</cp:lastPrinted>
  <dcterms:modified xsi:type="dcterms:W3CDTF">2021-09-15T08:33:10Z</dcterms:modified>
  <dc:title>求是招标代理有限公司</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95967901C79840B4A4335CF729FB5FA5</vt:lpwstr>
  </property>
</Properties>
</file>