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黑体" w:eastAsia="黑体"/>
          <w:sz w:val="32"/>
          <w:lang w:eastAsia="zh-CN"/>
        </w:rPr>
      </w:pPr>
      <w:bookmarkStart w:id="0" w:name="urgentLevel"/>
      <w:r>
        <w:rPr>
          <w:rFonts w:hint="eastAsia" w:ascii="黑体" w:eastAsia="黑体"/>
          <w:sz w:val="32"/>
          <w:lang w:eastAsia="zh-CN"/>
        </w:rPr>
        <w:t>加  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" w:right="0" w:rightChars="0" w:firstLine="2"/>
        <w:jc w:val="both"/>
        <w:textAlignment w:val="auto"/>
        <w:outlineLvl w:val="9"/>
        <w:rPr>
          <w:rFonts w:hint="eastAsia" w:ascii="黑体" w:eastAsia="黑体"/>
          <w:sz w:val="32"/>
        </w:rPr>
      </w:pPr>
    </w:p>
    <w:tbl>
      <w:tblPr>
        <w:tblStyle w:val="6"/>
        <w:tblW w:w="9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8"/>
        <w:gridCol w:w="2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6768" w:type="dxa"/>
            <w:vAlign w:val="top"/>
          </w:tcPr>
          <w:p>
            <w:pPr>
              <w:jc w:val="distribute"/>
              <w:rPr>
                <w:rFonts w:hint="eastAsia" w:ascii="方正小标宋简体" w:eastAsia="方正小标宋简体"/>
                <w:vanish w:val="0"/>
                <w:color w:val="FF000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eastAsia="方正小标宋简体"/>
                <w:vanish w:val="0"/>
                <w:color w:val="FF0000"/>
                <w:sz w:val="44"/>
                <w:szCs w:val="44"/>
                <w:lang w:eastAsia="zh-CN"/>
              </w:rPr>
              <w:t>浙江省财政厅</w:t>
            </w:r>
          </w:p>
        </w:tc>
        <w:tc>
          <w:tcPr>
            <w:tcW w:w="2292" w:type="dxa"/>
            <w:vAlign w:val="center"/>
          </w:tcPr>
          <w:p>
            <w:pPr>
              <w:jc w:val="distribute"/>
              <w:rPr>
                <w:rFonts w:hint="eastAsia" w:ascii="方正小标宋简体" w:eastAsia="方正小标宋简体"/>
                <w:vanish w:val="0"/>
                <w:color w:val="FF0000"/>
                <w:sz w:val="44"/>
                <w:szCs w:val="44"/>
                <w:lang w:eastAsia="zh-CN"/>
              </w:rPr>
            </w:pPr>
            <w:bookmarkStart w:id="1" w:name="fileType"/>
            <w:r>
              <w:rPr>
                <w:rFonts w:hint="eastAsia" w:ascii="方正小标宋简体" w:eastAsia="方正小标宋简体"/>
                <w:vanish w:val="0"/>
                <w:color w:val="FF0000"/>
                <w:sz w:val="44"/>
                <w:szCs w:val="44"/>
                <w:lang w:eastAsia="zh-CN"/>
              </w:rPr>
              <w:t>文件</w:t>
            </w:r>
            <w:bookmarkEnd w:id="1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lang w:eastAsia="zh-CN"/>
        </w:rPr>
      </w:pPr>
      <w:bookmarkStart w:id="2" w:name="_GoBack"/>
      <w:r>
        <w:rPr>
          <w:rFonts w:hint="eastAsia" w:ascii="仿宋_GB2312" w:hAnsi="仿宋_GB2312" w:eastAsia="仿宋_GB2312" w:cs="仿宋_GB2312"/>
          <w:sz w:val="32"/>
          <w:lang w:eastAsia="zh-CN"/>
        </w:rPr>
        <w:t>浙财采监〔2017〕5号</w:t>
      </w:r>
      <w:bookmarkEnd w:id="2"/>
    </w:p>
    <w:p>
      <w:pPr>
        <w:rPr>
          <w:rFonts w:hint="eastAsia" w:ascii="仿宋_GB2312" w:eastAsia="仿宋_GB2312"/>
          <w:vanish w:val="0"/>
          <w:szCs w:val="21"/>
        </w:rPr>
      </w:pPr>
      <w:r>
        <w:rPr>
          <w:rFonts w:ascii="仿宋_GB2312" w:eastAsia="仿宋_GB2312"/>
          <w:vanish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230505</wp:posOffset>
                </wp:positionV>
                <wp:extent cx="552958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18.15pt;height:0pt;width:435.4pt;z-index:251658240;mso-width-relative:page;mso-height-relative:page;" filled="f" stroked="t" coordsize="21600,21600" o:gfxdata="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AjK9XtQAAAAGAQAADwAAAAAAAAABACAAAAAiAAAAZHJzL2Rvd25yZXYueG1s&#10;UEsBAhQAFAAAAAgAh07iQLfSxg/DAQAAjAMAAA4AAAAAAAAAAQAgAAAAIwEAAGRycy9lMm9Eb2Mu&#10;eG1sUEsFBgAAAAAGAAYAWQEAAFg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21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21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lang w:eastAsia="zh-CN"/>
        </w:rPr>
      </w:pPr>
      <w:r>
        <w:rPr>
          <w:rFonts w:hint="eastAsia" w:ascii="方正小标宋简体" w:eastAsia="方正小标宋简体"/>
          <w:sz w:val="44"/>
          <w:lang w:eastAsia="zh-CN"/>
        </w:rPr>
        <w:t>浙江省财政厅关于公布2017-2018年度浙江省政府采购进口产品（教育科研类）清单的通知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各市、县（市、区）财政局，省级有关单位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beforeLines="0" w:afterLines="0" w:line="600" w:lineRule="exact"/>
        <w:ind w:firstLine="62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为规范进口产品采购管理，提高采购单位的采购效率，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根据《政府采购进口产品管理办法》和省财政厅《关于进一步加强政府采购进口产品管理的通知》（浙财采监〔2010〕51号）等有关规定，现将201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年度浙江省政府采购进口产品（教育科研类）清单予以公布（详见附件）。</w:t>
      </w:r>
    </w:p>
    <w:p>
      <w:pPr>
        <w:spacing w:beforeLines="0" w:afterLines="0" w:line="600" w:lineRule="exact"/>
        <w:ind w:firstLine="62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采购单位凡在有效期内向同级财政部门申请采购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列入本清单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产品时，无需再提供专家论证意见。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高校、科研院所拟采购本清单产品用于科研的，无需履行报经财政部门审核程序。但在组织允许采购进口产品项目的政府采购活动时，不能排斥国产同类产品参与竞争。</w:t>
      </w:r>
    </w:p>
    <w:p>
      <w:pPr>
        <w:spacing w:beforeLines="0" w:afterLines="0" w:line="600" w:lineRule="exact"/>
        <w:ind w:firstLine="62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2017年4月7日</w:t>
      </w:r>
      <w:r>
        <w:rPr>
          <w:rFonts w:hint="eastAsia" w:ascii="仿宋_GB2312" w:hAnsi="仿宋_GB2312" w:eastAsia="仿宋_GB2312" w:cs="仿宋_GB2312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执行，有效期</w:t>
      </w:r>
      <w:r>
        <w:rPr>
          <w:rFonts w:hint="eastAsia" w:ascii="仿宋_GB2312" w:hAnsi="仿宋_GB2312" w:eastAsia="仿宋_GB2312" w:cs="仿宋_GB2312"/>
          <w:sz w:val="32"/>
          <w:szCs w:val="32"/>
        </w:rPr>
        <w:t>一年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beforeLines="0" w:afterLines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请遵照执行。</w:t>
      </w:r>
    </w:p>
    <w:p>
      <w:pPr>
        <w:spacing w:beforeLines="0" w:afterLines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Lines="0" w:afterLines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附件：1.允许采购进口产品清单一（无国产品牌）</w:t>
      </w:r>
    </w:p>
    <w:p>
      <w:pPr>
        <w:spacing w:beforeLines="0" w:afterLines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2.允许采购进口产品清单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国产品牌）</w:t>
      </w:r>
    </w:p>
    <w:p>
      <w:pPr>
        <w:spacing w:beforeLines="0" w:afterLines="0"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Lines="0" w:afterLines="0" w:line="60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Lines="0" w:afterLines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4554"/>
        </w:tabs>
        <w:spacing w:beforeLines="0" w:afterLines="0"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浙江省财政厅  </w:t>
      </w:r>
    </w:p>
    <w:p>
      <w:pPr>
        <w:spacing w:beforeLines="0" w:afterLines="0" w:line="600" w:lineRule="exact"/>
        <w:ind w:left="3027" w:leftChars="15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rPr>
          <w:rFonts w:hint="eastAsia" w:ascii="仿宋_GB2312" w:eastAsia="仿宋_GB2312"/>
          <w:sz w:val="30"/>
          <w:lang w:val="en-US" w:eastAsia="zh-CN"/>
        </w:rPr>
      </w:pPr>
      <w:r>
        <w:rPr>
          <w:rFonts w:hint="eastAsia" w:ascii="仿宋_GB2312" w:eastAsia="仿宋_GB2312"/>
          <w:sz w:val="30"/>
          <w:lang w:val="en-US" w:eastAsia="zh-CN"/>
        </w:rPr>
        <w:t xml:space="preserve">     （此件公开发布）</w:t>
      </w:r>
    </w:p>
    <w:p>
      <w:pPr>
        <w:snapToGrid/>
        <w:spacing w:line="240" w:lineRule="auto"/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snapToGrid/>
        <w:spacing w:line="240" w:lineRule="auto"/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snapToGrid/>
        <w:spacing w:line="240" w:lineRule="auto"/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snapToGrid/>
        <w:spacing w:line="240" w:lineRule="auto"/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snapToGrid/>
        <w:spacing w:line="240" w:lineRule="auto"/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snapToGrid/>
        <w:spacing w:line="240" w:lineRule="auto"/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snapToGrid/>
        <w:spacing w:line="240" w:lineRule="auto"/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hd w:val="clear" w:color="auto" w:fill="FFFFFF"/>
        <w:spacing w:before="100" w:beforeLines="0" w:beforeAutospacing="1" w:after="100" w:afterLines="0" w:afterAutospacing="1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tbl>
      <w:tblPr>
        <w:tblStyle w:val="6"/>
        <w:tblW w:w="8237" w:type="dxa"/>
        <w:tblInd w:w="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781"/>
        <w:gridCol w:w="552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仪器名称</w:t>
            </w:r>
          </w:p>
        </w:tc>
        <w:tc>
          <w:tcPr>
            <w:tcW w:w="5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功    能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荧光定量PCR仪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用于监测整个PCR反应扩增过程的荧光信号。数据通过实时分析软件以图表的形式显示，原始数据被绘制成荧光强度相对于循环数的图表。用于临床基础基因研究检测、定量分析和确定基因转录水平等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FF"/>
                <w:spacing w:val="0"/>
                <w:kern w:val="0"/>
                <w:sz w:val="24"/>
                <w:szCs w:val="24"/>
                <w:lang w:val="en-US" w:eastAsia="zh-CN" w:bidi="ar"/>
              </w:rPr>
              <w:t>靶向测序系统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目标区域深度平行测序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全自动生物大分子分析仪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快速、高通量、全自动的完成微量DNA、RNA及蛋白质样品的定性及定量分析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活体小动物荧光显微成像系统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科研设备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基因测序仪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人体基因检测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四级杆飞行时间串联液质联用仪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用于各项科研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激光共聚焦活细胞工作站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用于科研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超微量蛋白磷酸化分析系统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用于科研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单细胞western blot系统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用于科研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全自动蛋白质印迹定量分析系统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用于科研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生物大分子相互作用分析仪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400" w:lineRule="exac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用于科研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FFFFFF"/>
        <w:spacing w:before="100" w:beforeLines="0" w:beforeAutospacing="1" w:after="100" w:afterLines="0" w:afterAutospacing="1" w:line="240" w:lineRule="auto"/>
        <w:ind w:left="0" w:right="0" w:firstLine="0"/>
        <w:jc w:val="both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tbl>
      <w:tblPr>
        <w:tblStyle w:val="6"/>
        <w:tblW w:w="8234" w:type="dxa"/>
        <w:tblInd w:w="9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005"/>
        <w:gridCol w:w="2316"/>
        <w:gridCol w:w="2049"/>
        <w:gridCol w:w="1857"/>
        <w:gridCol w:w="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" w:type="dxa"/>
          <w:trHeight w:val="915" w:hRule="atLeast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280" w:lineRule="exac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280" w:lineRule="exac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280" w:lineRule="exac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主要功能</w:t>
            </w:r>
          </w:p>
        </w:tc>
        <w:tc>
          <w:tcPr>
            <w:tcW w:w="20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280" w:lineRule="exac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本国产品与进口仪器区别</w:t>
            </w:r>
          </w:p>
        </w:tc>
        <w:tc>
          <w:tcPr>
            <w:tcW w:w="1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280" w:lineRule="exact"/>
              <w:ind w:left="0" w:right="0"/>
              <w:jc w:val="center"/>
              <w:rPr>
                <w:rFonts w:hint="eastAsia" w:ascii="黑体" w:hAnsi="黑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选择进口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280" w:lineRule="exac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产品的理由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" w:type="dxa"/>
          <w:trHeight w:val="855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分光光度计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1.检定物质2. 与标准物及标准图谱对照3. 比较最大吸收波长吸收系数的一致性4 纯度检验 5. 推测化合物的分子结构6.络合物组成及稳定常数的测定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-107" w:right="0" w:firstLine="10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1、国产品数据精度和重现性较差2、使用寿命短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超低杂散光、进口设备可以做到近红外部分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" w:type="dxa"/>
          <w:trHeight w:val="57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气相色谱仪 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用于对物质成分进行定性定量分析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1、重现性差2、数据误差大3、扩展性差4、仪器稳定性差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痕量分析时对重现性要求较高，国产仪器无法满足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" w:type="dxa"/>
          <w:trHeight w:val="855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酶标仪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用于酶免反应检测；能测读96孔板，也可以测读384孔板；波长范围：340nm~850nm；带8位滤光片轮，随机配4块滤光片；可选装温控孵育器。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不能测读384孔板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进口产品精确度好，稳定性高，可测读384孔板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显微镜(荧光倒置显微镜）</w:t>
            </w:r>
          </w:p>
        </w:tc>
        <w:tc>
          <w:tcPr>
            <w:tcW w:w="23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倒置荧光显微镜由荧光附件与倒置显微镜有机结合构成的，主要用于细胞等活体组织的荧光、相差观察</w:t>
            </w:r>
          </w:p>
        </w:tc>
        <w:tc>
          <w:tcPr>
            <w:tcW w:w="204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没有高质量荧光激发块，高数值孔径物镜，观察效果差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为了获得高清晰、高质量成像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超低温冰箱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存放生物活性标本；最低温度：-86℃；备用的电池在断电时能保证报警功能和温度显示；采用无氯氟烃（CFC）制冷剂；密码设置：未经授权不能改变温度设定和报警设定。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进口设备控温精度高，有效容积大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贵重标本和生物制品保存使用</w:t>
            </w:r>
          </w:p>
        </w:tc>
        <w:tc>
          <w:tcPr>
            <w:tcW w:w="4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离心机</w:t>
            </w:r>
          </w:p>
        </w:tc>
        <w:tc>
          <w:tcPr>
            <w:tcW w:w="23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冷冻型, Fast-temp快速制冷功能,定速计时功能,瞬时离心功能,最大容量4*400ml, 自动识别转子, 自动锁盖功能, 最多储存34个用户程序, 10个启动和刹车档可选</w:t>
            </w:r>
          </w:p>
        </w:tc>
        <w:tc>
          <w:tcPr>
            <w:tcW w:w="20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国产设备没有快速制冷功能,没有定速计时功能,没有瞬时离心功能,无法储存用户程序,最多只有6-7个启动刹车挡可选.而且国产设备压缩机无法长期运转,最低转速无法设置到4度,故障率高,离心效果不佳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进口离心机能满足相关性能要求，控制精度高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纯水仪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提供细胞培养、分子生物学所需要的超纯水；产水电阻率：18.2MΩ；产水不含内毒素和RNA酶；产水速率不小于2L/分钟；能自动记录12个月以上用水水质；纯化柱等消耗品在耗尽前能提前提示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国产设备产水质量不稳定，国产设备产水不能去除内毒素和RNA酶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产水不含除内毒素和RNA酶</w:t>
            </w:r>
          </w:p>
        </w:tc>
        <w:tc>
          <w:tcPr>
            <w:tcW w:w="4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二氧化碳培养箱</w:t>
            </w:r>
          </w:p>
        </w:tc>
        <w:tc>
          <w:tcPr>
            <w:tcW w:w="231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为动物细胞培养提供必要的环境；能采用高温湿热灭菌；CO2传感器能自动校准；温度范围：室温+5~50℃；CO2浓度控制：0~20%；带独立三扇小门；容积：大于150L</w:t>
            </w:r>
          </w:p>
        </w:tc>
        <w:tc>
          <w:tcPr>
            <w:tcW w:w="20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进口温度和碳浓度控制比国产精确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高精度科研实验需要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可调移液器（枪）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可整支消毒,, 耐高温抗腐蚀, 带伸缩式弹性吸嘴, 带密度调节窗口，适用于不同密度的液体, 4位数字体积显示,密封圈免维护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国产设备无法整支高温消毒及紫外灭菌,没有弹性吸嘴,没有密度调节窗口,只有3位数数字体积显示,而且精密度不准确,误差较大,需要经常校准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进口移液器精度高、重现性好</w:t>
            </w:r>
          </w:p>
        </w:tc>
        <w:tc>
          <w:tcPr>
            <w:tcW w:w="4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电泳仪</w:t>
            </w:r>
          </w:p>
        </w:tc>
        <w:tc>
          <w:tcPr>
            <w:tcW w:w="231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能同时容纳4块胶（7.5×8cm）；带湿转印模块；电源：电压10-300V；电流0-700 mA；最大功率150W</w:t>
            </w:r>
          </w:p>
        </w:tc>
        <w:tc>
          <w:tcPr>
            <w:tcW w:w="20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国产设备只能同时容纳2块胶，不能同时做湿转印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需要同时能容纳4块胶，能同时做湿转印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液相色谱仪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用于对化合物进行分离与检测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1、数据误差大2、重现性差3、容易漏液4、故障频率高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相比国产设备数据可靠性强，重现性好，故障率低</w:t>
            </w:r>
          </w:p>
        </w:tc>
        <w:tc>
          <w:tcPr>
            <w:tcW w:w="4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高压灭菌锅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压灭菌锅是用比常压高的压力，把水的沸点升至100℃以上的高温，而进行液体或器具灭菌的一种高压容器。适用于医疗卫生事业、科研、高校、农业等单位，对医疗器械，敷料，玻璃器皿，溶液培养基等进行消毒灭菌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可靠性、安全性不够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高精度科研实验需要</w:t>
            </w:r>
          </w:p>
        </w:tc>
        <w:tc>
          <w:tcPr>
            <w:tcW w:w="4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生物安全柜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防止微生物等培养物的交叉污染，保护实验操作人员和实验环境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排风系统和过滤器的质量和使用寿命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进口设备噪声低、洁净度稳定，自动化程度高</w:t>
            </w:r>
          </w:p>
        </w:tc>
        <w:tc>
          <w:tcPr>
            <w:tcW w:w="4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基因扩增仪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DNA、RNA扩增。实时定量检测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国产的只是普通、抵挡，质量难以完全信任。进口仪器质量稳定，可靠性高，且可以进行实时定量等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温度控制精度高、升温速率快</w:t>
            </w:r>
          </w:p>
        </w:tc>
        <w:tc>
          <w:tcPr>
            <w:tcW w:w="4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旋转蒸发仪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根据沸点不同浓缩提取化合物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进口设备密封性能好、蒸发瓶安全性能高、能够实时检测蒸汽温度和压力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真空度稳定、可用于低温蒸发</w:t>
            </w:r>
          </w:p>
        </w:tc>
        <w:tc>
          <w:tcPr>
            <w:tcW w:w="4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液氮罐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液氮存储、保存、运输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进口设备反挥发性好、实际容量大、标本存储安全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科研实验需要</w:t>
            </w:r>
          </w:p>
        </w:tc>
        <w:tc>
          <w:tcPr>
            <w:tcW w:w="4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数字示波器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模拟和数字信号采集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国产设备基本为中低端产品，中高端较少，和进口仪器设备相比，性能还有差距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带宽大，采样频率高，数据存储和导出方便</w:t>
            </w:r>
          </w:p>
        </w:tc>
        <w:tc>
          <w:tcPr>
            <w:tcW w:w="4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任意波形（信号）发生器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产生任意信号波形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和进口仪器设备相比，国产仪器设备的信号频率和稳定性较差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和合成信号频率高，频率稳定性强，信号调制能力强，信号编辑方便</w:t>
            </w:r>
          </w:p>
        </w:tc>
        <w:tc>
          <w:tcPr>
            <w:tcW w:w="4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（交）直流电源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输出交直流电源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国内产品精度较低、稳定性较差、功能单一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要求具有高精度、高可靠性和稳定性，以及强大的可编辑输出功能</w:t>
            </w:r>
          </w:p>
        </w:tc>
        <w:tc>
          <w:tcPr>
            <w:tcW w:w="4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电子天平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电磁力平衡被称物体重力的天平称之为电子天平。其特点是称量准确可靠、显示快速清晰并且具有自动检测系统、简便的自动校准装置以及超载保护等装置。适用于工矿企业、科学研究机构、高等院校、实验室、化验室作精密衡量分析测定之用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可靠性差，精度低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用于微量分析</w:t>
            </w:r>
          </w:p>
        </w:tc>
        <w:tc>
          <w:tcPr>
            <w:tcW w:w="4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</w:p>
    <w:tbl>
      <w:tblPr>
        <w:tblStyle w:val="6"/>
        <w:tblW w:w="8931" w:type="dxa"/>
        <w:tblInd w:w="13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31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0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浙江省财政厅办公室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2017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发</w:t>
            </w:r>
          </w:p>
        </w:tc>
      </w:tr>
    </w:tbl>
    <w:p>
      <w:pPr>
        <w:snapToGrid/>
        <w:spacing w:line="240" w:lineRule="auto"/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AndChars" w:linePitch="602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8" w:usb3="00000000" w:csb0="0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622" w:wrap="around" w:vAnchor="text" w:hAnchor="margin" w:xAlign="outside" w:y="1"/>
      <w:ind w:firstLine="280" w:firstLineChars="100"/>
      <w:rPr>
        <w:rStyle w:val="5"/>
        <w:rFonts w:hint="eastAsia"/>
        <w:sz w:val="28"/>
      </w:rPr>
    </w:pPr>
    <w:r>
      <w:rPr>
        <w:rStyle w:val="5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5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5"/>
        <w:sz w:val="28"/>
      </w:rPr>
      <w:t>1</w:t>
    </w:r>
    <w:r>
      <w:rPr>
        <w:sz w:val="28"/>
      </w:rPr>
      <w:fldChar w:fldCharType="end"/>
    </w:r>
    <w:r>
      <w:rPr>
        <w:rStyle w:val="5"/>
        <w:rFonts w:hint="eastAsia"/>
        <w:sz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"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65786"/>
    <w:rsid w:val="11EC10B7"/>
    <w:rsid w:val="239657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2017-04-14T01:18:00Z</dcterms:created>
  <dc:creator>冯华</dc:creator>
  <cp:lastModifiedBy>冯华</cp:lastModifiedBy>
  <dcterms:modified xsi:type="dcterms:W3CDTF">2017-04-14T01:19:39Z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