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10CB">
      <w:pPr>
        <w:adjustRightInd w:val="0"/>
        <w:snapToGrid w:val="0"/>
        <w:spacing w:line="288" w:lineRule="auto"/>
        <w:rPr>
          <w:rFonts w:ascii="楷体" w:hAnsi="楷体" w:eastAsia="楷体" w:cs="Times New Roman"/>
          <w:b/>
          <w:color w:val="auto"/>
          <w:spacing w:val="-6"/>
          <w:sz w:val="44"/>
          <w:szCs w:val="44"/>
          <w:highlight w:val="none"/>
        </w:rPr>
      </w:pPr>
    </w:p>
    <w:p w14:paraId="40F0D555">
      <w:pPr>
        <w:adjustRightInd w:val="0"/>
        <w:snapToGrid w:val="0"/>
        <w:spacing w:line="288" w:lineRule="auto"/>
        <w:rPr>
          <w:rFonts w:ascii="楷体" w:hAnsi="楷体" w:eastAsia="楷体" w:cs="Times New Roman"/>
          <w:b/>
          <w:color w:val="auto"/>
          <w:spacing w:val="-6"/>
          <w:sz w:val="44"/>
          <w:szCs w:val="44"/>
          <w:highlight w:val="none"/>
        </w:rPr>
      </w:pPr>
    </w:p>
    <w:p w14:paraId="217DF006">
      <w:pPr>
        <w:adjustRightInd w:val="0"/>
        <w:snapToGrid w:val="0"/>
        <w:spacing w:line="288" w:lineRule="auto"/>
        <w:rPr>
          <w:rFonts w:ascii="楷体" w:hAnsi="楷体" w:eastAsia="楷体" w:cs="Times New Roman"/>
          <w:b/>
          <w:color w:val="auto"/>
          <w:spacing w:val="-6"/>
          <w:sz w:val="44"/>
          <w:szCs w:val="44"/>
          <w:highlight w:val="none"/>
        </w:rPr>
      </w:pPr>
    </w:p>
    <w:p w14:paraId="7AAE7B17">
      <w:pPr>
        <w:adjustRightInd w:val="0"/>
        <w:snapToGrid w:val="0"/>
        <w:spacing w:line="288" w:lineRule="auto"/>
        <w:jc w:val="center"/>
        <w:rPr>
          <w:rFonts w:hint="eastAsia" w:ascii="楷体" w:hAnsi="楷体" w:eastAsia="楷体" w:cs="Times New Roman"/>
          <w:b/>
          <w:color w:val="auto"/>
          <w:spacing w:val="-6"/>
          <w:sz w:val="52"/>
          <w:szCs w:val="52"/>
          <w:highlight w:val="none"/>
          <w:lang w:eastAsia="zh-CN"/>
        </w:rPr>
      </w:pPr>
      <w:r>
        <w:rPr>
          <w:rFonts w:hint="eastAsia" w:ascii="楷体" w:hAnsi="楷体" w:eastAsia="楷体" w:cs="Times New Roman"/>
          <w:b/>
          <w:color w:val="auto"/>
          <w:spacing w:val="-6"/>
          <w:sz w:val="52"/>
          <w:szCs w:val="52"/>
          <w:highlight w:val="none"/>
          <w:lang w:eastAsia="zh-CN"/>
        </w:rPr>
        <w:t>浙江工商大学未来营养健康与共同富裕计算设备更新-共同富裕计算设备（第一批）</w:t>
      </w:r>
    </w:p>
    <w:p w14:paraId="69CC1B3F">
      <w:pPr>
        <w:adjustRightInd w:val="0"/>
        <w:snapToGrid w:val="0"/>
        <w:spacing w:line="288" w:lineRule="auto"/>
        <w:jc w:val="center"/>
        <w:rPr>
          <w:rFonts w:ascii="楷体" w:hAnsi="楷体" w:eastAsia="楷体" w:cs="Times New Roman"/>
          <w:b/>
          <w:color w:val="auto"/>
          <w:spacing w:val="-6"/>
          <w:sz w:val="48"/>
          <w:szCs w:val="48"/>
          <w:highlight w:val="none"/>
        </w:rPr>
      </w:pPr>
    </w:p>
    <w:p w14:paraId="664C412D">
      <w:pPr>
        <w:adjustRightInd w:val="0"/>
        <w:snapToGrid w:val="0"/>
        <w:spacing w:line="288" w:lineRule="auto"/>
        <w:jc w:val="center"/>
        <w:rPr>
          <w:rFonts w:ascii="楷体" w:hAnsi="楷体" w:eastAsia="楷体" w:cs="Times New Roman"/>
          <w:b/>
          <w:color w:val="auto"/>
          <w:spacing w:val="-6"/>
          <w:sz w:val="48"/>
          <w:szCs w:val="48"/>
          <w:highlight w:val="none"/>
        </w:rPr>
      </w:pPr>
    </w:p>
    <w:p w14:paraId="3FBF1DDA">
      <w:pPr>
        <w:adjustRightInd w:val="0"/>
        <w:snapToGrid w:val="0"/>
        <w:spacing w:line="288" w:lineRule="auto"/>
        <w:jc w:val="center"/>
        <w:rPr>
          <w:rFonts w:ascii="楷体" w:hAnsi="楷体" w:eastAsia="楷体" w:cs="Times New Roman"/>
          <w:b/>
          <w:color w:val="auto"/>
          <w:spacing w:val="-6"/>
          <w:sz w:val="72"/>
          <w:szCs w:val="72"/>
          <w:highlight w:val="none"/>
        </w:rPr>
      </w:pPr>
      <w:r>
        <w:rPr>
          <w:rFonts w:hint="eastAsia" w:ascii="楷体" w:hAnsi="楷体" w:eastAsia="楷体" w:cs="Times New Roman"/>
          <w:b/>
          <w:color w:val="auto"/>
          <w:spacing w:val="-6"/>
          <w:sz w:val="72"/>
          <w:szCs w:val="72"/>
          <w:highlight w:val="none"/>
        </w:rPr>
        <w:t>招 标 文 件</w:t>
      </w:r>
    </w:p>
    <w:p w14:paraId="1D06E5FC">
      <w:pPr>
        <w:widowControl/>
        <w:adjustRightInd w:val="0"/>
        <w:snapToGrid w:val="0"/>
        <w:spacing w:line="288" w:lineRule="auto"/>
        <w:ind w:right="-2"/>
        <w:jc w:val="center"/>
        <w:rPr>
          <w:rFonts w:ascii="楷体" w:hAnsi="楷体" w:eastAsia="楷体" w:cs="Times New Roman"/>
          <w:b/>
          <w:color w:val="auto"/>
          <w:sz w:val="36"/>
          <w:szCs w:val="24"/>
          <w:highlight w:val="none"/>
        </w:rPr>
      </w:pPr>
      <w:r>
        <w:rPr>
          <w:rFonts w:hint="eastAsia" w:ascii="楷体" w:hAnsi="楷体" w:eastAsia="楷体" w:cs="Times New Roman"/>
          <w:b/>
          <w:color w:val="auto"/>
          <w:sz w:val="36"/>
          <w:szCs w:val="24"/>
          <w:highlight w:val="none"/>
        </w:rPr>
        <w:t>（线上电子招投标）</w:t>
      </w:r>
    </w:p>
    <w:p w14:paraId="21681CB1">
      <w:pPr>
        <w:adjustRightInd w:val="0"/>
        <w:snapToGrid w:val="0"/>
        <w:spacing w:line="288" w:lineRule="auto"/>
        <w:jc w:val="center"/>
        <w:rPr>
          <w:rFonts w:ascii="楷体" w:hAnsi="楷体" w:eastAsia="楷体" w:cs="Times New Roman"/>
          <w:color w:val="auto"/>
          <w:sz w:val="44"/>
          <w:szCs w:val="44"/>
          <w:highlight w:val="none"/>
        </w:rPr>
      </w:pPr>
    </w:p>
    <w:p w14:paraId="0A02DB99">
      <w:pPr>
        <w:adjustRightInd w:val="0"/>
        <w:snapToGrid w:val="0"/>
        <w:spacing w:line="288" w:lineRule="auto"/>
        <w:jc w:val="center"/>
        <w:rPr>
          <w:rFonts w:ascii="楷体" w:hAnsi="楷体" w:eastAsia="楷体" w:cs="Times New Roman"/>
          <w:color w:val="auto"/>
          <w:sz w:val="44"/>
          <w:szCs w:val="44"/>
          <w:highlight w:val="none"/>
        </w:rPr>
      </w:pPr>
    </w:p>
    <w:p w14:paraId="6DFAAEA3">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项目名称：</w:t>
      </w:r>
      <w:r>
        <w:rPr>
          <w:rFonts w:hint="eastAsia" w:ascii="楷体" w:hAnsi="楷体" w:eastAsia="楷体" w:cs="Times New Roman"/>
          <w:b/>
          <w:color w:val="auto"/>
          <w:spacing w:val="-6"/>
          <w:sz w:val="30"/>
          <w:szCs w:val="30"/>
          <w:highlight w:val="none"/>
          <w:lang w:eastAsia="zh-CN"/>
        </w:rPr>
        <w:t>浙江工商大学未来营养健康与共同富裕计算设备更新-共同富裕计算设备（第一批）</w:t>
      </w:r>
    </w:p>
    <w:p w14:paraId="740CF119">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项目编号：</w:t>
      </w:r>
      <w:r>
        <w:rPr>
          <w:rFonts w:hint="eastAsia" w:ascii="楷体" w:hAnsi="楷体" w:eastAsia="楷体" w:cs="Times New Roman"/>
          <w:b/>
          <w:color w:val="auto"/>
          <w:spacing w:val="-6"/>
          <w:sz w:val="30"/>
          <w:szCs w:val="30"/>
          <w:highlight w:val="none"/>
          <w:lang w:eastAsia="zh-CN"/>
        </w:rPr>
        <w:t>QSZB-Z(H)-C24374(GK)L</w:t>
      </w:r>
    </w:p>
    <w:p w14:paraId="33EC78C5">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采 购 人：</w:t>
      </w:r>
      <w:r>
        <w:rPr>
          <w:rFonts w:hint="eastAsia" w:ascii="楷体" w:hAnsi="楷体" w:eastAsia="楷体" w:cs="Times New Roman"/>
          <w:b/>
          <w:color w:val="auto"/>
          <w:spacing w:val="-6"/>
          <w:sz w:val="30"/>
          <w:szCs w:val="30"/>
          <w:highlight w:val="none"/>
          <w:lang w:eastAsia="zh-CN"/>
        </w:rPr>
        <w:t>浙江工商大学</w:t>
      </w:r>
    </w:p>
    <w:p w14:paraId="0659009D">
      <w:pPr>
        <w:adjustRightInd w:val="0"/>
        <w:snapToGrid w:val="0"/>
        <w:spacing w:line="288" w:lineRule="auto"/>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采购代理机构：浙江求是招标代理有限公司</w:t>
      </w:r>
    </w:p>
    <w:p w14:paraId="43541B07">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ascii="楷体" w:hAnsi="楷体" w:eastAsia="楷体" w:cs="Times New Roman"/>
          <w:b/>
          <w:color w:val="auto"/>
          <w:spacing w:val="-6"/>
          <w:sz w:val="30"/>
          <w:szCs w:val="30"/>
          <w:highlight w:val="none"/>
        </w:rPr>
        <w:t>采购计划文号：</w:t>
      </w:r>
      <w:r>
        <w:rPr>
          <w:rFonts w:hint="eastAsia" w:ascii="楷体" w:hAnsi="楷体" w:eastAsia="楷体" w:cs="Times New Roman"/>
          <w:b/>
          <w:color w:val="auto"/>
          <w:spacing w:val="-6"/>
          <w:sz w:val="30"/>
          <w:szCs w:val="30"/>
          <w:highlight w:val="none"/>
          <w:lang w:eastAsia="zh-CN"/>
        </w:rPr>
        <w:t>[2024]71847号、[2024]71848号、临[2024]73495号</w:t>
      </w:r>
    </w:p>
    <w:p w14:paraId="6DF20D90">
      <w:pPr>
        <w:adjustRightInd w:val="0"/>
        <w:snapToGrid w:val="0"/>
        <w:spacing w:line="288" w:lineRule="auto"/>
        <w:rPr>
          <w:rFonts w:ascii="楷体" w:hAnsi="楷体" w:eastAsia="楷体" w:cs="Times New Roman"/>
          <w:b/>
          <w:color w:val="auto"/>
          <w:szCs w:val="21"/>
          <w:highlight w:val="none"/>
        </w:rPr>
      </w:pPr>
    </w:p>
    <w:p w14:paraId="030AD16F">
      <w:pPr>
        <w:adjustRightInd w:val="0"/>
        <w:snapToGrid w:val="0"/>
        <w:spacing w:line="288" w:lineRule="auto"/>
        <w:rPr>
          <w:rFonts w:ascii="楷体" w:hAnsi="楷体" w:eastAsia="楷体" w:cs="Times New Roman"/>
          <w:b/>
          <w:color w:val="auto"/>
          <w:szCs w:val="21"/>
          <w:highlight w:val="none"/>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25C8D8B0">
      <w:pPr>
        <w:adjustRightInd w:val="0"/>
        <w:snapToGrid w:val="0"/>
        <w:spacing w:line="288" w:lineRule="auto"/>
        <w:rPr>
          <w:rFonts w:ascii="楷体" w:hAnsi="楷体" w:eastAsia="楷体" w:cs="Times New Roman"/>
          <w:b/>
          <w:color w:val="auto"/>
          <w:sz w:val="30"/>
          <w:szCs w:val="30"/>
          <w:highlight w:val="none"/>
        </w:rPr>
      </w:pPr>
    </w:p>
    <w:p w14:paraId="35CD271C">
      <w:pPr>
        <w:adjustRightInd w:val="0"/>
        <w:snapToGrid w:val="0"/>
        <w:spacing w:line="288" w:lineRule="auto"/>
        <w:jc w:val="center"/>
        <w:outlineLvl w:val="0"/>
        <w:rPr>
          <w:rFonts w:ascii="楷体" w:hAnsi="楷体" w:eastAsia="楷体" w:cs="Times New Roman"/>
          <w:b/>
          <w:color w:val="auto"/>
          <w:sz w:val="30"/>
          <w:szCs w:val="30"/>
          <w:highlight w:val="none"/>
        </w:rPr>
      </w:pPr>
      <w:r>
        <w:rPr>
          <w:rFonts w:ascii="楷体" w:hAnsi="楷体" w:eastAsia="楷体" w:cs="Times New Roman"/>
          <w:b/>
          <w:color w:val="auto"/>
          <w:sz w:val="30"/>
          <w:szCs w:val="30"/>
          <w:highlight w:val="none"/>
        </w:rPr>
        <w:t>目</w:t>
      </w:r>
      <w:r>
        <w:rPr>
          <w:rFonts w:hint="eastAsia" w:ascii="楷体" w:hAnsi="楷体" w:eastAsia="楷体" w:cs="Times New Roman"/>
          <w:b/>
          <w:color w:val="auto"/>
          <w:sz w:val="30"/>
          <w:szCs w:val="30"/>
          <w:highlight w:val="none"/>
        </w:rPr>
        <w:t xml:space="preserve">    </w:t>
      </w:r>
      <w:r>
        <w:rPr>
          <w:rFonts w:ascii="楷体" w:hAnsi="楷体" w:eastAsia="楷体" w:cs="Times New Roman"/>
          <w:b/>
          <w:color w:val="auto"/>
          <w:sz w:val="30"/>
          <w:szCs w:val="30"/>
          <w:highlight w:val="none"/>
        </w:rPr>
        <w:t>录</w:t>
      </w:r>
    </w:p>
    <w:p w14:paraId="0824BE9D">
      <w:pPr>
        <w:adjustRightInd w:val="0"/>
        <w:snapToGrid w:val="0"/>
        <w:spacing w:line="288" w:lineRule="auto"/>
        <w:rPr>
          <w:rFonts w:ascii="楷体" w:hAnsi="楷体" w:eastAsia="楷体" w:cs="Times New Roman"/>
          <w:b/>
          <w:color w:val="auto"/>
          <w:sz w:val="30"/>
          <w:szCs w:val="30"/>
          <w:highlight w:val="none"/>
        </w:rPr>
      </w:pPr>
    </w:p>
    <w:p w14:paraId="7392432A">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第一章  投标邀请</w:t>
      </w:r>
    </w:p>
    <w:p w14:paraId="3CE65EB9">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第二章  采购需求</w:t>
      </w:r>
    </w:p>
    <w:p w14:paraId="29C4C1BB">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第三章  投标人须知</w:t>
      </w:r>
    </w:p>
    <w:p w14:paraId="4F88F2B9">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第四章  评标方法和评标标准</w:t>
      </w:r>
    </w:p>
    <w:p w14:paraId="32541B59">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第五章  拟签订的合同文本</w:t>
      </w:r>
    </w:p>
    <w:p w14:paraId="4DB1ED7D">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第六章  投标文件格式</w:t>
      </w:r>
    </w:p>
    <w:p w14:paraId="323DB40B">
      <w:pPr>
        <w:widowControl/>
        <w:adjustRightInd w:val="0"/>
        <w:snapToGrid w:val="0"/>
        <w:spacing w:line="288" w:lineRule="auto"/>
        <w:jc w:val="left"/>
        <w:rPr>
          <w:rFonts w:ascii="宋体" w:hAnsi="宋体" w:eastAsia="宋体" w:cs="Times New Roman"/>
          <w:color w:val="auto"/>
          <w:szCs w:val="21"/>
          <w:highlight w:val="none"/>
        </w:rPr>
      </w:pPr>
    </w:p>
    <w:p w14:paraId="6CB27209">
      <w:pPr>
        <w:widowControl/>
        <w:adjustRightInd w:val="0"/>
        <w:snapToGrid w:val="0"/>
        <w:spacing w:line="288" w:lineRule="auto"/>
        <w:jc w:val="left"/>
        <w:rPr>
          <w:rFonts w:ascii="宋体" w:hAnsi="宋体" w:eastAsia="宋体" w:cs="Times New Roman"/>
          <w:color w:val="auto"/>
          <w:szCs w:val="21"/>
          <w:highlight w:val="none"/>
        </w:rPr>
        <w:sectPr>
          <w:footerReference r:id="rId5" w:type="default"/>
          <w:pgSz w:w="11906" w:h="16838"/>
          <w:pgMar w:top="1247" w:right="1247" w:bottom="1247" w:left="1247" w:header="0" w:footer="694" w:gutter="0"/>
          <w:cols w:space="720" w:num="1"/>
          <w:docGrid w:linePitch="381" w:charSpace="0"/>
        </w:sectPr>
      </w:pPr>
    </w:p>
    <w:p w14:paraId="6C95786C">
      <w:pPr>
        <w:adjustRightInd w:val="0"/>
        <w:snapToGrid w:val="0"/>
        <w:spacing w:line="288" w:lineRule="auto"/>
        <w:jc w:val="center"/>
        <w:outlineLvl w:val="0"/>
        <w:rPr>
          <w:rFonts w:ascii="宋体" w:hAnsi="宋体" w:eastAsia="宋体" w:cs="Times New Roman"/>
          <w:b/>
          <w:color w:val="auto"/>
          <w:spacing w:val="-6"/>
          <w:sz w:val="32"/>
          <w:szCs w:val="32"/>
          <w:highlight w:val="none"/>
        </w:rPr>
      </w:pPr>
      <w:r>
        <w:rPr>
          <w:rFonts w:ascii="宋体" w:hAnsi="宋体" w:eastAsia="宋体" w:cs="Times New Roman"/>
          <w:b/>
          <w:color w:val="auto"/>
          <w:spacing w:val="-6"/>
          <w:sz w:val="32"/>
          <w:szCs w:val="32"/>
          <w:highlight w:val="none"/>
        </w:rPr>
        <w:t>第一章  投标邀请</w:t>
      </w:r>
    </w:p>
    <w:p w14:paraId="3E5A2663">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项目概况</w:t>
      </w:r>
    </w:p>
    <w:p w14:paraId="14043263">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color w:val="auto"/>
          <w:szCs w:val="21"/>
          <w:highlight w:val="none"/>
          <w:u w:val="single"/>
          <w:lang w:eastAsia="zh-CN"/>
        </w:rPr>
        <w:t>浙江工商大学未来营养健康与共同富裕计算设备更新-共同富裕计算设备（第一批）</w:t>
      </w: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color w:val="auto"/>
          <w:szCs w:val="21"/>
          <w:highlight w:val="none"/>
        </w:rPr>
        <w:t>招标项目的潜在投标人应在</w:t>
      </w:r>
      <w:r>
        <w:rPr>
          <w:rFonts w:hint="eastAsia" w:ascii="宋体" w:hAnsi="宋体" w:eastAsia="宋体" w:cs="Times New Roman"/>
          <w:b/>
          <w:color w:val="auto"/>
          <w:szCs w:val="21"/>
          <w:highlight w:val="none"/>
          <w:u w:val="single"/>
        </w:rPr>
        <w:t xml:space="preserve"> 政府采购云平台（https://www.zcygov.cn）</w:t>
      </w:r>
      <w:r>
        <w:rPr>
          <w:rFonts w:hint="eastAsia" w:ascii="宋体" w:hAnsi="宋体" w:eastAsia="宋体" w:cs="Times New Roman"/>
          <w:b/>
          <w:color w:val="auto"/>
          <w:szCs w:val="21"/>
          <w:highlight w:val="none"/>
        </w:rPr>
        <w:t>获取（下载）招标文件，并于</w:t>
      </w:r>
      <w:r>
        <w:rPr>
          <w:rFonts w:hint="eastAsia" w:ascii="宋体" w:hAnsi="宋体" w:eastAsia="宋体" w:cs="Times New Roman"/>
          <w:b/>
          <w:color w:val="auto"/>
          <w:szCs w:val="21"/>
          <w:highlight w:val="none"/>
          <w:u w:val="single"/>
          <w:lang w:eastAsia="zh-CN"/>
        </w:rPr>
        <w:t>2024年12月13日9:30:00</w:t>
      </w:r>
      <w:r>
        <w:rPr>
          <w:rFonts w:hint="eastAsia" w:ascii="宋体" w:hAnsi="宋体" w:eastAsia="宋体" w:cs="Times New Roman"/>
          <w:b/>
          <w:color w:val="auto"/>
          <w:szCs w:val="21"/>
          <w:highlight w:val="none"/>
          <w:u w:val="single"/>
        </w:rPr>
        <w:t>（北京时间）</w:t>
      </w:r>
      <w:r>
        <w:rPr>
          <w:rFonts w:hint="eastAsia" w:ascii="宋体" w:hAnsi="宋体" w:eastAsia="宋体" w:cs="Times New Roman"/>
          <w:b/>
          <w:bCs/>
          <w:color w:val="auto"/>
          <w:szCs w:val="21"/>
          <w:highlight w:val="none"/>
        </w:rPr>
        <w:t>前递交（上传）投标</w:t>
      </w:r>
      <w:r>
        <w:rPr>
          <w:rFonts w:ascii="宋体" w:hAnsi="宋体" w:eastAsia="宋体" w:cs="Times New Roman"/>
          <w:b/>
          <w:bCs/>
          <w:color w:val="auto"/>
          <w:szCs w:val="21"/>
          <w:highlight w:val="none"/>
        </w:rPr>
        <w:t>文件</w:t>
      </w:r>
      <w:r>
        <w:rPr>
          <w:rFonts w:hint="eastAsia" w:ascii="宋体" w:hAnsi="宋体" w:eastAsia="宋体" w:cs="Times New Roman"/>
          <w:b/>
          <w:color w:val="auto"/>
          <w:szCs w:val="21"/>
          <w:highlight w:val="none"/>
        </w:rPr>
        <w:t>。</w:t>
      </w:r>
    </w:p>
    <w:p w14:paraId="5388C761">
      <w:pPr>
        <w:adjustRightInd w:val="0"/>
        <w:snapToGrid w:val="0"/>
        <w:spacing w:line="288" w:lineRule="auto"/>
        <w:rPr>
          <w:rFonts w:ascii="宋体" w:hAnsi="宋体" w:eastAsia="宋体" w:cs="宋体"/>
          <w:b/>
          <w:color w:val="auto"/>
          <w:szCs w:val="21"/>
          <w:highlight w:val="none"/>
        </w:rPr>
      </w:pPr>
      <w:bookmarkStart w:id="0" w:name="_Toc28359002"/>
      <w:bookmarkStart w:id="1" w:name="_Toc35393790"/>
      <w:bookmarkStart w:id="2" w:name="_Toc28359079"/>
      <w:bookmarkStart w:id="3" w:name="_Toc35393621"/>
      <w:bookmarkStart w:id="4" w:name="_Hlk24379207"/>
      <w:r>
        <w:rPr>
          <w:rFonts w:hint="eastAsia" w:ascii="宋体" w:hAnsi="宋体" w:eastAsia="宋体" w:cs="宋体"/>
          <w:b/>
          <w:color w:val="auto"/>
          <w:szCs w:val="21"/>
          <w:highlight w:val="none"/>
        </w:rPr>
        <w:t>一、项目基本情况</w:t>
      </w:r>
      <w:bookmarkEnd w:id="0"/>
      <w:bookmarkEnd w:id="1"/>
      <w:bookmarkEnd w:id="2"/>
      <w:bookmarkEnd w:id="3"/>
    </w:p>
    <w:p w14:paraId="43419A6F">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1.项目编号：</w:t>
      </w:r>
      <w:r>
        <w:rPr>
          <w:rFonts w:hint="eastAsia" w:ascii="宋体" w:hAnsi="宋体" w:eastAsia="宋体" w:cs="Times New Roman"/>
          <w:color w:val="auto"/>
          <w:szCs w:val="21"/>
          <w:highlight w:val="none"/>
          <w:lang w:eastAsia="zh-CN"/>
        </w:rPr>
        <w:t>QSZB-Z(H)-C24374(GK)L</w:t>
      </w:r>
    </w:p>
    <w:p w14:paraId="24CCEC6F">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浙江工商大学未来营养健康与共同富裕计算设备更新-共同富裕计算设备（第一批）</w:t>
      </w:r>
    </w:p>
    <w:bookmarkEnd w:id="4"/>
    <w:p w14:paraId="08080FB5">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.预算金额：</w:t>
      </w:r>
      <w:r>
        <w:rPr>
          <w:rFonts w:hint="eastAsia" w:ascii="宋体" w:hAnsi="宋体" w:eastAsia="宋体" w:cs="Times New Roman"/>
          <w:color w:val="auto"/>
          <w:szCs w:val="21"/>
          <w:highlight w:val="none"/>
        </w:rPr>
        <w:t>290.00万元</w:t>
      </w:r>
    </w:p>
    <w:p w14:paraId="2A2196D3">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.最高限价：</w:t>
      </w:r>
      <w:r>
        <w:rPr>
          <w:rFonts w:hint="eastAsia" w:ascii="宋体" w:hAnsi="宋体" w:eastAsia="宋体" w:cs="Times New Roman"/>
          <w:color w:val="auto"/>
          <w:szCs w:val="21"/>
          <w:highlight w:val="none"/>
        </w:rPr>
        <w:t>290.00万元</w:t>
      </w:r>
    </w:p>
    <w:p w14:paraId="690FF593">
      <w:pPr>
        <w:adjustRightInd w:val="0"/>
        <w:snapToGrid w:val="0"/>
        <w:spacing w:line="288" w:lineRule="auto"/>
        <w:ind w:firstLine="420" w:firstLineChars="200"/>
        <w:rPr>
          <w:rFonts w:ascii="宋体" w:hAnsi="宋体" w:eastAsia="宋体" w:cs="Times New Roman"/>
          <w:color w:val="auto"/>
          <w:szCs w:val="21"/>
          <w:highlight w:val="none"/>
          <w:u w:val="singl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.合同履约期限：</w:t>
      </w:r>
      <w:r>
        <w:rPr>
          <w:rFonts w:hint="eastAsia" w:ascii="宋体" w:hAnsi="宋体" w:eastAsia="宋体" w:cs="Times New Roman"/>
          <w:color w:val="auto"/>
          <w:szCs w:val="21"/>
          <w:highlight w:val="none"/>
        </w:rPr>
        <w:t>详见招标文件第二章 采购需求</w:t>
      </w:r>
    </w:p>
    <w:p w14:paraId="50E168F5">
      <w:pP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6</w:t>
      </w:r>
      <w:r>
        <w:rPr>
          <w:rFonts w:hint="eastAsia" w:ascii="宋体" w:hAnsi="宋体" w:eastAsia="宋体" w:cs="Times New Roman"/>
          <w:bCs/>
          <w:color w:val="auto"/>
          <w:szCs w:val="21"/>
          <w:highlight w:val="none"/>
        </w:rPr>
        <w:t>.本项目（是）接受联合体投标。</w:t>
      </w:r>
    </w:p>
    <w:p w14:paraId="6D2E31ED">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.采购需求：</w:t>
      </w:r>
    </w:p>
    <w:tbl>
      <w:tblPr>
        <w:tblStyle w:val="23"/>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gridCol w:w="1276"/>
      </w:tblGrid>
      <w:tr w14:paraId="58EE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14:paraId="328CEC5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006" w:type="dxa"/>
            <w:tcBorders>
              <w:right w:val="single" w:color="auto" w:sz="4" w:space="0"/>
              <w:tl2br w:val="nil"/>
              <w:tr2bl w:val="nil"/>
            </w:tcBorders>
            <w:vAlign w:val="center"/>
          </w:tcPr>
          <w:p w14:paraId="27CB7B3A">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08" w:type="dxa"/>
            <w:tcBorders>
              <w:tl2br w:val="nil"/>
              <w:tr2bl w:val="nil"/>
            </w:tcBorders>
            <w:vAlign w:val="center"/>
          </w:tcPr>
          <w:p w14:paraId="4216DE71">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709" w:type="dxa"/>
            <w:tcBorders>
              <w:tl2br w:val="nil"/>
              <w:tr2bl w:val="nil"/>
            </w:tcBorders>
            <w:vAlign w:val="center"/>
          </w:tcPr>
          <w:p w14:paraId="5E1C8FE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3119" w:type="dxa"/>
            <w:tcBorders>
              <w:right w:val="single" w:color="auto" w:sz="4" w:space="0"/>
              <w:tl2br w:val="nil"/>
              <w:tr2bl w:val="nil"/>
            </w:tcBorders>
            <w:vAlign w:val="center"/>
          </w:tcPr>
          <w:p w14:paraId="59274B5C">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简要技术需求或服务要求</w:t>
            </w:r>
          </w:p>
        </w:tc>
        <w:tc>
          <w:tcPr>
            <w:tcW w:w="1276" w:type="dxa"/>
            <w:tcBorders>
              <w:right w:val="single" w:color="auto" w:sz="4" w:space="0"/>
              <w:tl2br w:val="nil"/>
              <w:tr2bl w:val="nil"/>
            </w:tcBorders>
            <w:vAlign w:val="center"/>
          </w:tcPr>
          <w:p w14:paraId="43316052">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rPr>
              <w:t>是否允许采购进口产品</w:t>
            </w:r>
          </w:p>
        </w:tc>
      </w:tr>
      <w:tr w14:paraId="0564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6F05C320">
            <w:pPr>
              <w:adjustRightInd w:val="0"/>
              <w:snapToGrid w:val="0"/>
              <w:spacing w:line="288"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1</w:t>
            </w:r>
          </w:p>
        </w:tc>
        <w:tc>
          <w:tcPr>
            <w:tcW w:w="3006" w:type="dxa"/>
            <w:tcBorders>
              <w:right w:val="single" w:color="auto" w:sz="4" w:space="0"/>
              <w:tl2br w:val="nil"/>
              <w:tr2bl w:val="nil"/>
            </w:tcBorders>
            <w:vAlign w:val="center"/>
          </w:tcPr>
          <w:p w14:paraId="1105D218">
            <w:pPr>
              <w:adjustRightInd w:val="0"/>
              <w:snapToGrid w:val="0"/>
              <w:spacing w:line="288"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超模态行为洞察平台等</w:t>
            </w:r>
          </w:p>
        </w:tc>
        <w:tc>
          <w:tcPr>
            <w:tcW w:w="708" w:type="dxa"/>
            <w:tcBorders>
              <w:tl2br w:val="nil"/>
              <w:tr2bl w:val="nil"/>
            </w:tcBorders>
            <w:vAlign w:val="center"/>
          </w:tcPr>
          <w:p w14:paraId="55DE7AF3">
            <w:pPr>
              <w:adjustRightInd w:val="0"/>
              <w:snapToGrid w:val="0"/>
              <w:spacing w:line="288"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709" w:type="dxa"/>
            <w:tcBorders>
              <w:tl2br w:val="nil"/>
              <w:tr2bl w:val="nil"/>
            </w:tcBorders>
            <w:vAlign w:val="center"/>
          </w:tcPr>
          <w:p w14:paraId="5DA6FBAE">
            <w:pPr>
              <w:adjustRightInd w:val="0"/>
              <w:snapToGrid w:val="0"/>
              <w:spacing w:line="288"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批</w:t>
            </w:r>
          </w:p>
        </w:tc>
        <w:tc>
          <w:tcPr>
            <w:tcW w:w="3119" w:type="dxa"/>
            <w:tcBorders>
              <w:right w:val="single" w:color="auto" w:sz="4" w:space="0"/>
              <w:tl2br w:val="nil"/>
              <w:tr2bl w:val="nil"/>
            </w:tcBorders>
            <w:vAlign w:val="center"/>
          </w:tcPr>
          <w:p w14:paraId="52E71CE8">
            <w:pPr>
              <w:adjustRightInd w:val="0"/>
              <w:snapToGrid w:val="0"/>
              <w:spacing w:line="288"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包含超模态行为洞察平台、便携式行为观察记录分析系统、视觉动态追踪系统、遥测式生理信号采集分析系统，详见招标文件第二章 采购需求。</w:t>
            </w:r>
          </w:p>
        </w:tc>
        <w:tc>
          <w:tcPr>
            <w:tcW w:w="1276" w:type="dxa"/>
            <w:tcBorders>
              <w:right w:val="single" w:color="auto" w:sz="4" w:space="0"/>
              <w:tl2br w:val="nil"/>
              <w:tr2bl w:val="nil"/>
            </w:tcBorders>
            <w:vAlign w:val="center"/>
          </w:tcPr>
          <w:p w14:paraId="186E9E3C">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否</w:t>
            </w:r>
          </w:p>
        </w:tc>
      </w:tr>
    </w:tbl>
    <w:p w14:paraId="4C303774">
      <w:pPr>
        <w:adjustRightInd w:val="0"/>
        <w:snapToGrid w:val="0"/>
        <w:spacing w:line="288" w:lineRule="auto"/>
        <w:rPr>
          <w:rFonts w:ascii="宋体" w:hAnsi="宋体" w:eastAsia="宋体" w:cs="宋体"/>
          <w:b/>
          <w:color w:val="auto"/>
          <w:szCs w:val="21"/>
          <w:highlight w:val="none"/>
        </w:rPr>
      </w:pPr>
      <w:bookmarkStart w:id="5" w:name="_Toc28359003"/>
      <w:bookmarkStart w:id="6" w:name="_Toc35393622"/>
      <w:bookmarkStart w:id="7" w:name="_Toc28359080"/>
      <w:bookmarkStart w:id="8" w:name="_Toc35393791"/>
      <w:r>
        <w:rPr>
          <w:rFonts w:hint="eastAsia" w:ascii="宋体" w:hAnsi="宋体" w:eastAsia="宋体" w:cs="宋体"/>
          <w:b/>
          <w:color w:val="auto"/>
          <w:szCs w:val="21"/>
          <w:highlight w:val="none"/>
        </w:rPr>
        <w:t>二、申请人的资格要求</w:t>
      </w:r>
      <w:bookmarkEnd w:id="5"/>
      <w:bookmarkEnd w:id="6"/>
      <w:bookmarkEnd w:id="7"/>
      <w:bookmarkEnd w:id="8"/>
    </w:p>
    <w:p w14:paraId="11ACCF76">
      <w:pPr>
        <w:adjustRightInd w:val="0"/>
        <w:snapToGrid w:val="0"/>
        <w:spacing w:line="288"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1.满足《中华人民共和国政府采购法》第二十二条规定，未被“信用中国”（www.creditchina.gov.cn）</w:t>
      </w:r>
      <w:r>
        <w:rPr>
          <w:rFonts w:ascii="宋体" w:hAnsi="宋体" w:eastAsia="宋体" w:cs="Times New Roman"/>
          <w:bCs/>
          <w:color w:val="auto"/>
          <w:szCs w:val="21"/>
          <w:highlight w:val="none"/>
        </w:rPr>
        <w:t>、中国政府采购网（www.ccgp.gov.cn）列入失信被执行人、重大税收违法案件当事人名单、政府采购严重违法失信行为记录名单</w:t>
      </w:r>
      <w:r>
        <w:rPr>
          <w:rFonts w:hint="eastAsia" w:ascii="宋体" w:hAnsi="宋体" w:eastAsia="宋体" w:cs="Times New Roman"/>
          <w:bCs/>
          <w:color w:val="auto"/>
          <w:szCs w:val="21"/>
          <w:highlight w:val="none"/>
        </w:rPr>
        <w:t>；</w:t>
      </w:r>
    </w:p>
    <w:p w14:paraId="7227A7DD">
      <w:pPr>
        <w:adjustRightInd w:val="0"/>
        <w:snapToGrid w:val="0"/>
        <w:spacing w:line="288" w:lineRule="auto"/>
        <w:ind w:firstLine="420" w:firstLineChars="200"/>
        <w:rPr>
          <w:rFonts w:ascii="宋体" w:hAnsi="宋体" w:eastAsia="宋体" w:cs="Times New Roman"/>
          <w:color w:val="auto"/>
          <w:szCs w:val="21"/>
          <w:highlight w:val="none"/>
        </w:rPr>
      </w:pPr>
      <w:bookmarkStart w:id="9" w:name="_Toc28359004"/>
      <w:bookmarkStart w:id="10" w:name="_Toc28359081"/>
      <w:r>
        <w:rPr>
          <w:rFonts w:hint="eastAsia" w:ascii="宋体" w:hAnsi="宋体" w:eastAsia="宋体" w:cs="Times New Roman"/>
          <w:color w:val="auto"/>
          <w:szCs w:val="21"/>
          <w:highlight w:val="none"/>
        </w:rPr>
        <w:t>2.落实政府采购政策需满足的资格要求：无</w:t>
      </w:r>
    </w:p>
    <w:p w14:paraId="69B18DC5">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3.本项目的特定资格要求：无</w:t>
      </w:r>
    </w:p>
    <w:p w14:paraId="20CEE249">
      <w:pPr>
        <w:adjustRightInd w:val="0"/>
        <w:snapToGrid w:val="0"/>
        <w:spacing w:line="288" w:lineRule="auto"/>
        <w:rPr>
          <w:rFonts w:ascii="宋体" w:hAnsi="宋体" w:eastAsia="宋体" w:cs="宋体"/>
          <w:b/>
          <w:color w:val="auto"/>
          <w:szCs w:val="21"/>
          <w:highlight w:val="none"/>
        </w:rPr>
      </w:pPr>
      <w:bookmarkStart w:id="11" w:name="_Toc35393792"/>
      <w:bookmarkStart w:id="12" w:name="_Toc35393623"/>
      <w:r>
        <w:rPr>
          <w:rFonts w:hint="eastAsia" w:ascii="宋体" w:hAnsi="宋体" w:eastAsia="宋体" w:cs="宋体"/>
          <w:b/>
          <w:color w:val="auto"/>
          <w:szCs w:val="21"/>
          <w:highlight w:val="none"/>
        </w:rPr>
        <w:t>三、获取招标文件</w:t>
      </w:r>
      <w:bookmarkEnd w:id="9"/>
      <w:bookmarkEnd w:id="10"/>
      <w:bookmarkEnd w:id="11"/>
      <w:bookmarkEnd w:id="12"/>
    </w:p>
    <w:p w14:paraId="679EA3E8">
      <w:pPr>
        <w:adjustRightInd w:val="0"/>
        <w:snapToGrid w:val="0"/>
        <w:spacing w:line="288" w:lineRule="auto"/>
        <w:ind w:firstLine="420" w:firstLineChars="200"/>
        <w:rPr>
          <w:rFonts w:ascii="宋体" w:hAnsi="宋体" w:eastAsia="宋体" w:cs="Times New Roman"/>
          <w:color w:val="auto"/>
          <w:szCs w:val="21"/>
          <w:highlight w:val="none"/>
        </w:rPr>
      </w:pPr>
      <w:bookmarkStart w:id="13" w:name="_Toc28359005"/>
      <w:bookmarkStart w:id="14" w:name="_Toc28359082"/>
      <w:bookmarkStart w:id="15" w:name="_Toc35393793"/>
      <w:bookmarkStart w:id="16" w:name="_Toc35393624"/>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lang w:eastAsia="zh-CN"/>
        </w:rPr>
        <w:t>2024年11月22日至2024年12月13日</w:t>
      </w:r>
      <w:r>
        <w:rPr>
          <w:rFonts w:hint="eastAsia" w:ascii="宋体" w:hAnsi="宋体" w:eastAsia="宋体" w:cs="Times New Roman"/>
          <w:color w:val="auto"/>
          <w:szCs w:val="21"/>
          <w:highlight w:val="none"/>
        </w:rPr>
        <w:t>，上午</w:t>
      </w:r>
      <w:r>
        <w:rPr>
          <w:rFonts w:hint="eastAsia" w:ascii="宋体" w:hAnsi="宋体" w:eastAsia="宋体" w:cs="Times New Roman"/>
          <w:bCs/>
          <w:color w:val="auto"/>
          <w:szCs w:val="21"/>
          <w:highlight w:val="none"/>
        </w:rPr>
        <w:t>00:00至12:00，下午12:00至23:59（北京时间，线上获取法定节假日均可，线下获取文件法定节假日除外）</w:t>
      </w:r>
    </w:p>
    <w:p w14:paraId="5ABFA354">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地点（网址）：政府采购云平台（https://www.zcygov.cn）</w:t>
      </w:r>
    </w:p>
    <w:p w14:paraId="6A7970EE">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方式：供应商登录政采云平台（https://www.zcygov.cn）</w:t>
      </w:r>
      <w:r>
        <w:rPr>
          <w:rFonts w:ascii="宋体" w:hAnsi="宋体" w:eastAsia="宋体" w:cs="Times New Roman"/>
          <w:color w:val="auto"/>
          <w:szCs w:val="21"/>
          <w:highlight w:val="none"/>
        </w:rPr>
        <w:t>在线申请获取采购文件（进入“项目采购”应用，在获取采购文件菜单中选择项目，申请获取采购文件）。</w:t>
      </w:r>
    </w:p>
    <w:p w14:paraId="67FA7C2C">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售价（元）：0</w:t>
      </w:r>
    </w:p>
    <w:p w14:paraId="235D0AC6">
      <w:pPr>
        <w:adjustRightInd w:val="0"/>
        <w:snapToGrid w:val="0"/>
        <w:spacing w:line="288"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四、提交（上传）投标文件</w:t>
      </w:r>
      <w:bookmarkEnd w:id="13"/>
      <w:bookmarkEnd w:id="14"/>
      <w:r>
        <w:rPr>
          <w:rFonts w:hint="eastAsia" w:ascii="宋体" w:hAnsi="宋体" w:eastAsia="宋体" w:cs="宋体"/>
          <w:b/>
          <w:color w:val="auto"/>
          <w:szCs w:val="21"/>
          <w:highlight w:val="none"/>
        </w:rPr>
        <w:t>截止时间、开标时间和地点</w:t>
      </w:r>
      <w:bookmarkEnd w:id="15"/>
      <w:bookmarkEnd w:id="16"/>
    </w:p>
    <w:p w14:paraId="70F99E47">
      <w:pPr>
        <w:adjustRightInd w:val="0"/>
        <w:snapToGrid w:val="0"/>
        <w:spacing w:line="288" w:lineRule="auto"/>
        <w:ind w:firstLine="420" w:firstLineChars="200"/>
        <w:rPr>
          <w:rFonts w:ascii="宋体" w:hAnsi="宋体" w:eastAsia="宋体" w:cs="Times New Roman"/>
          <w:bCs/>
          <w:color w:val="auto"/>
          <w:szCs w:val="21"/>
          <w:highlight w:val="none"/>
        </w:rPr>
      </w:pPr>
      <w:bookmarkStart w:id="17" w:name="_Hlk81212057"/>
      <w:r>
        <w:rPr>
          <w:rFonts w:hint="eastAsia" w:ascii="宋体" w:hAnsi="宋体" w:eastAsia="宋体" w:cs="Times New Roman"/>
          <w:bCs/>
          <w:color w:val="auto"/>
          <w:szCs w:val="21"/>
          <w:highlight w:val="none"/>
        </w:rPr>
        <w:t>提交投标文件截止时间：</w:t>
      </w:r>
      <w:r>
        <w:rPr>
          <w:rFonts w:hint="eastAsia" w:ascii="宋体" w:hAnsi="宋体" w:eastAsia="宋体" w:cs="Times New Roman"/>
          <w:bCs/>
          <w:color w:val="auto"/>
          <w:szCs w:val="21"/>
          <w:highlight w:val="none"/>
          <w:lang w:eastAsia="zh-CN"/>
        </w:rPr>
        <w:t>2024年12月13日9:30:00</w:t>
      </w:r>
      <w:r>
        <w:rPr>
          <w:rFonts w:hint="eastAsia" w:ascii="宋体" w:hAnsi="宋体" w:eastAsia="宋体" w:cs="Times New Roman"/>
          <w:bCs/>
          <w:color w:val="auto"/>
          <w:szCs w:val="21"/>
          <w:highlight w:val="none"/>
        </w:rPr>
        <w:t>（北京时间）</w:t>
      </w:r>
    </w:p>
    <w:p w14:paraId="7AB5CB4C">
      <w:pP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投标地点（网址）：</w:t>
      </w:r>
      <w:r>
        <w:rPr>
          <w:rFonts w:hint="eastAsia" w:ascii="宋体" w:hAnsi="宋体" w:eastAsia="宋体" w:cs="Times New Roman"/>
          <w:color w:val="auto"/>
          <w:szCs w:val="21"/>
          <w:highlight w:val="none"/>
        </w:rPr>
        <w:t>政府采购云平台（https://www.zcygov.cn）</w:t>
      </w:r>
    </w:p>
    <w:p w14:paraId="225616F0">
      <w:pP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开标时间：</w:t>
      </w:r>
      <w:r>
        <w:rPr>
          <w:rFonts w:hint="eastAsia" w:ascii="宋体" w:hAnsi="宋体" w:eastAsia="宋体" w:cs="Times New Roman"/>
          <w:bCs/>
          <w:color w:val="auto"/>
          <w:szCs w:val="21"/>
          <w:highlight w:val="none"/>
          <w:lang w:eastAsia="zh-CN"/>
        </w:rPr>
        <w:t>2024年12月13日9:30:00</w:t>
      </w:r>
      <w:r>
        <w:rPr>
          <w:rFonts w:hint="eastAsia" w:ascii="宋体" w:hAnsi="宋体" w:eastAsia="宋体" w:cs="Times New Roman"/>
          <w:bCs/>
          <w:color w:val="auto"/>
          <w:szCs w:val="21"/>
          <w:highlight w:val="none"/>
        </w:rPr>
        <w:t>（北京时间）</w:t>
      </w:r>
    </w:p>
    <w:p w14:paraId="210B96A1">
      <w:pPr>
        <w:adjustRightInd w:val="0"/>
        <w:snapToGrid w:val="0"/>
        <w:spacing w:line="288" w:lineRule="auto"/>
        <w:ind w:firstLine="420" w:firstLineChars="200"/>
        <w:rPr>
          <w:rFonts w:hint="eastAsia" w:ascii="宋体" w:hAnsi="宋体" w:eastAsia="宋体" w:cs="Times New Roman"/>
          <w:bCs/>
          <w:color w:val="auto"/>
          <w:szCs w:val="21"/>
          <w:highlight w:val="none"/>
          <w:lang w:eastAsia="zh-CN"/>
        </w:rPr>
      </w:pPr>
      <w:r>
        <w:rPr>
          <w:rFonts w:ascii="宋体" w:hAnsi="宋体" w:eastAsia="宋体" w:cs="Times New Roman"/>
          <w:bCs/>
          <w:color w:val="auto"/>
          <w:szCs w:val="21"/>
          <w:highlight w:val="none"/>
        </w:rPr>
        <w:t>开标地点（网址）：</w:t>
      </w:r>
      <w:r>
        <w:rPr>
          <w:rFonts w:hint="eastAsia" w:ascii="宋体" w:hAnsi="宋体" w:eastAsia="宋体" w:cs="Times New Roman"/>
          <w:color w:val="auto"/>
          <w:szCs w:val="21"/>
          <w:highlight w:val="none"/>
        </w:rPr>
        <w:t>政府采购云平台（https://www.zcygov.cn）</w:t>
      </w:r>
      <w:bookmarkStart w:id="18" w:name="_Hlk81212131"/>
      <w:r>
        <w:rPr>
          <w:rFonts w:hint="eastAsia" w:ascii="宋体" w:hAnsi="宋体" w:eastAsia="宋体" w:cs="Times New Roman"/>
          <w:color w:val="auto"/>
          <w:szCs w:val="21"/>
          <w:highlight w:val="none"/>
        </w:rPr>
        <w:t>/</w:t>
      </w:r>
      <w:bookmarkEnd w:id="18"/>
      <w:r>
        <w:rPr>
          <w:rFonts w:hint="eastAsia" w:ascii="宋体" w:hAnsi="宋体" w:eastAsia="宋体" w:cs="Times New Roman"/>
          <w:color w:val="auto"/>
          <w:szCs w:val="21"/>
          <w:highlight w:val="none"/>
          <w:lang w:eastAsia="zh-CN"/>
        </w:rPr>
        <w:t>杭州市西湖区玉古路173号中田大厦21楼（求是招标会议室4）</w:t>
      </w:r>
    </w:p>
    <w:bookmarkEnd w:id="17"/>
    <w:p w14:paraId="66F64AAF">
      <w:pPr>
        <w:adjustRightInd w:val="0"/>
        <w:snapToGrid w:val="0"/>
        <w:spacing w:line="288" w:lineRule="auto"/>
        <w:rPr>
          <w:rFonts w:ascii="宋体" w:hAnsi="宋体" w:eastAsia="宋体" w:cs="宋体"/>
          <w:b/>
          <w:color w:val="auto"/>
          <w:szCs w:val="21"/>
          <w:highlight w:val="none"/>
        </w:rPr>
      </w:pPr>
      <w:bookmarkStart w:id="19" w:name="_Toc28359007"/>
      <w:bookmarkStart w:id="20" w:name="_Toc28359084"/>
      <w:bookmarkStart w:id="21" w:name="_Toc35393794"/>
      <w:bookmarkStart w:id="22" w:name="_Toc35393625"/>
      <w:r>
        <w:rPr>
          <w:rFonts w:hint="eastAsia" w:ascii="宋体" w:hAnsi="宋体" w:eastAsia="宋体" w:cs="宋体"/>
          <w:b/>
          <w:color w:val="auto"/>
          <w:szCs w:val="21"/>
          <w:highlight w:val="none"/>
        </w:rPr>
        <w:t>五、公告期限</w:t>
      </w:r>
      <w:bookmarkEnd w:id="19"/>
      <w:bookmarkEnd w:id="20"/>
      <w:bookmarkEnd w:id="21"/>
      <w:bookmarkEnd w:id="22"/>
    </w:p>
    <w:p w14:paraId="30EEB98F">
      <w:pPr>
        <w:adjustRightInd w:val="0"/>
        <w:snapToGrid w:val="0"/>
        <w:spacing w:line="288"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6A7806E">
      <w:pPr>
        <w:adjustRightInd w:val="0"/>
        <w:snapToGrid w:val="0"/>
        <w:spacing w:line="288" w:lineRule="auto"/>
        <w:rPr>
          <w:rFonts w:ascii="宋体" w:hAnsi="宋体" w:eastAsia="宋体" w:cs="宋体"/>
          <w:b/>
          <w:color w:val="auto"/>
          <w:szCs w:val="21"/>
          <w:highlight w:val="none"/>
        </w:rPr>
      </w:pPr>
      <w:bookmarkStart w:id="23" w:name="_Toc35393795"/>
      <w:bookmarkStart w:id="24" w:name="_Toc35393626"/>
      <w:r>
        <w:rPr>
          <w:rFonts w:hint="eastAsia" w:ascii="宋体" w:hAnsi="宋体" w:eastAsia="宋体" w:cs="宋体"/>
          <w:b/>
          <w:color w:val="auto"/>
          <w:szCs w:val="21"/>
          <w:highlight w:val="none"/>
        </w:rPr>
        <w:t>六、其他补充事宜</w:t>
      </w:r>
      <w:bookmarkEnd w:id="23"/>
      <w:bookmarkEnd w:id="24"/>
    </w:p>
    <w:p w14:paraId="6448D1EC">
      <w:pPr>
        <w:adjustRightInd w:val="0"/>
        <w:snapToGrid w:val="0"/>
        <w:spacing w:line="288" w:lineRule="auto"/>
        <w:ind w:firstLine="420" w:firstLineChars="200"/>
        <w:rPr>
          <w:rFonts w:ascii="宋体" w:hAnsi="宋体" w:eastAsia="宋体" w:cs="Times New Roman"/>
          <w:color w:val="auto"/>
          <w:szCs w:val="21"/>
          <w:highlight w:val="none"/>
        </w:rPr>
      </w:pPr>
      <w:bookmarkStart w:id="25" w:name="_Hlk92271231"/>
      <w:r>
        <w:rPr>
          <w:rFonts w:ascii="宋体" w:hAnsi="宋体" w:eastAsia="宋体" w:cs="Times New Roman"/>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432569BF">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8AA3688">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E91C910">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4.其他事项：</w:t>
      </w:r>
      <w:bookmarkStart w:id="26" w:name="_Hlk92271331"/>
    </w:p>
    <w:p w14:paraId="0F8A137B">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需要落实的政府采购政策：包括节约资源、保护环境、</w:t>
      </w:r>
      <w:bookmarkStart w:id="27" w:name="_Hlk106877787"/>
      <w:r>
        <w:rPr>
          <w:rFonts w:hint="eastAsia" w:ascii="宋体" w:hAnsi="宋体" w:eastAsia="宋体" w:cs="Times New Roman"/>
          <w:color w:val="auto"/>
          <w:szCs w:val="21"/>
          <w:highlight w:val="none"/>
        </w:rPr>
        <w:t>支持科技创新、</w:t>
      </w:r>
      <w:bookmarkEnd w:id="27"/>
      <w:r>
        <w:rPr>
          <w:rFonts w:ascii="宋体" w:hAnsi="宋体" w:eastAsia="宋体" w:cs="Times New Roman"/>
          <w:color w:val="auto"/>
          <w:szCs w:val="21"/>
          <w:highlight w:val="none"/>
        </w:rPr>
        <w:t>促进中小企业发展等。详见招标文件的第</w:t>
      </w:r>
      <w:r>
        <w:rPr>
          <w:rFonts w:hint="eastAsia" w:ascii="宋体" w:hAnsi="宋体" w:eastAsia="宋体" w:cs="Times New Roman"/>
          <w:color w:val="auto"/>
          <w:szCs w:val="21"/>
          <w:highlight w:val="none"/>
        </w:rPr>
        <w:t>三章-采购项目需要落实的政府采购政策</w:t>
      </w:r>
      <w:r>
        <w:rPr>
          <w:rFonts w:ascii="宋体" w:hAnsi="宋体" w:eastAsia="宋体" w:cs="Times New Roman"/>
          <w:color w:val="auto"/>
          <w:szCs w:val="21"/>
          <w:highlight w:val="none"/>
        </w:rPr>
        <w:t>。</w:t>
      </w:r>
    </w:p>
    <w:p w14:paraId="6A9FFE81">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bookmarkStart w:id="28" w:name="_Hlk92271072"/>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14:paraId="2AA07B8B">
      <w:pPr>
        <w:adjustRightInd w:val="0"/>
        <w:snapToGrid w:val="0"/>
        <w:spacing w:line="288" w:lineRule="auto"/>
        <w:rPr>
          <w:rFonts w:ascii="宋体" w:hAnsi="宋体" w:eastAsia="宋体" w:cs="Times New Roman"/>
          <w:b/>
          <w:color w:val="auto"/>
          <w:szCs w:val="21"/>
          <w:highlight w:val="none"/>
        </w:rPr>
      </w:pPr>
      <w:bookmarkStart w:id="29" w:name="_Toc35393627"/>
      <w:bookmarkStart w:id="30" w:name="_Toc28359085"/>
      <w:bookmarkStart w:id="31" w:name="_Toc28359008"/>
      <w:bookmarkStart w:id="32" w:name="_Toc35393796"/>
      <w:r>
        <w:rPr>
          <w:rFonts w:hint="eastAsia" w:ascii="宋体" w:hAnsi="宋体" w:eastAsia="宋体" w:cs="宋体"/>
          <w:b/>
          <w:color w:val="auto"/>
          <w:szCs w:val="21"/>
          <w:highlight w:val="none"/>
        </w:rPr>
        <w:t>七、对本次招标提出询问、质疑、投诉请按</w:t>
      </w:r>
      <w:r>
        <w:rPr>
          <w:rFonts w:ascii="宋体" w:hAnsi="宋体" w:eastAsia="宋体" w:cs="宋体"/>
          <w:b/>
          <w:color w:val="auto"/>
          <w:szCs w:val="21"/>
          <w:highlight w:val="none"/>
        </w:rPr>
        <w:t>以下方式</w:t>
      </w:r>
      <w:r>
        <w:rPr>
          <w:rFonts w:hint="eastAsia" w:ascii="宋体" w:hAnsi="宋体" w:eastAsia="宋体" w:cs="宋体"/>
          <w:b/>
          <w:color w:val="auto"/>
          <w:szCs w:val="21"/>
          <w:highlight w:val="none"/>
        </w:rPr>
        <w:t>联系</w:t>
      </w:r>
      <w:bookmarkEnd w:id="29"/>
      <w:bookmarkEnd w:id="30"/>
      <w:bookmarkEnd w:id="31"/>
      <w:bookmarkEnd w:id="32"/>
    </w:p>
    <w:p w14:paraId="1276C9A6">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1.采购人信息</w:t>
      </w:r>
    </w:p>
    <w:p w14:paraId="549BFB07">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名称：浙江工商大学</w:t>
      </w:r>
    </w:p>
    <w:p w14:paraId="7EFA2543">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地址：浙江省杭州市下沙高教园区学正街18号</w:t>
      </w:r>
    </w:p>
    <w:p w14:paraId="5D7486DB">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5A6661CA">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项目联系人（询问）：耿老师</w:t>
      </w:r>
    </w:p>
    <w:p w14:paraId="24C2613E">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项目联系方式（询问）：0571-28872509</w:t>
      </w:r>
    </w:p>
    <w:p w14:paraId="50195FB7">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质疑联系人：陈老师</w:t>
      </w:r>
    </w:p>
    <w:p w14:paraId="7879C14D">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质疑联系方式：0571-28877292</w:t>
      </w:r>
    </w:p>
    <w:p w14:paraId="0ECA0C3C">
      <w:pPr>
        <w:adjustRightInd w:val="0"/>
        <w:snapToGrid w:val="0"/>
        <w:spacing w:line="288" w:lineRule="auto"/>
        <w:ind w:firstLine="424" w:firstLineChars="202"/>
        <w:rPr>
          <w:rFonts w:ascii="宋体" w:hAnsi="宋体" w:eastAsia="宋体" w:cs="Times New Roman"/>
          <w:color w:val="auto"/>
          <w:szCs w:val="21"/>
          <w:highlight w:val="none"/>
        </w:rPr>
      </w:pPr>
    </w:p>
    <w:p w14:paraId="4E4B93C6">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2.采购代理机构信息</w:t>
      </w:r>
    </w:p>
    <w:p w14:paraId="5BFC372B">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名称：浙江求是招标代理有限公司</w:t>
      </w:r>
    </w:p>
    <w:p w14:paraId="59B39932">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地址：杭州市西湖区玉古路173号中田大厦21楼</w:t>
      </w:r>
    </w:p>
    <w:p w14:paraId="65D0D23C">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2A23808B">
      <w:pPr>
        <w:adjustRightInd w:val="0"/>
        <w:snapToGrid w:val="0"/>
        <w:spacing w:line="288" w:lineRule="auto"/>
        <w:ind w:firstLine="424" w:firstLineChars="202"/>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项目联系人（询问）：</w:t>
      </w:r>
      <w:r>
        <w:rPr>
          <w:rFonts w:hint="eastAsia" w:ascii="宋体" w:hAnsi="宋体" w:eastAsia="宋体" w:cs="Times New Roman"/>
          <w:bCs/>
          <w:color w:val="auto"/>
          <w:spacing w:val="-6"/>
          <w:szCs w:val="21"/>
          <w:highlight w:val="none"/>
          <w:lang w:eastAsia="zh-CN"/>
        </w:rPr>
        <w:t>李聪、温瑶、陈培特、陈丹妮、杜伟波</w:t>
      </w:r>
      <w:bookmarkStart w:id="62" w:name="_GoBack"/>
      <w:bookmarkEnd w:id="62"/>
    </w:p>
    <w:p w14:paraId="2506E43F">
      <w:pPr>
        <w:adjustRightInd w:val="0"/>
        <w:snapToGrid w:val="0"/>
        <w:spacing w:line="288" w:lineRule="auto"/>
        <w:ind w:firstLine="424" w:firstLineChars="202"/>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项目联系方式（询问）：</w:t>
      </w:r>
      <w:r>
        <w:rPr>
          <w:rFonts w:hint="eastAsia" w:ascii="宋体" w:hAnsi="宋体" w:eastAsia="宋体" w:cs="Times New Roman"/>
          <w:color w:val="auto"/>
          <w:szCs w:val="21"/>
          <w:highlight w:val="none"/>
          <w:lang w:eastAsia="zh-CN"/>
        </w:rPr>
        <w:t>0571-87666115</w:t>
      </w:r>
    </w:p>
    <w:p w14:paraId="2AC0AA04">
      <w:pPr>
        <w:adjustRightInd w:val="0"/>
        <w:snapToGrid w:val="0"/>
        <w:spacing w:line="288" w:lineRule="auto"/>
        <w:ind w:firstLine="424" w:firstLineChars="202"/>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质疑联系人：</w:t>
      </w:r>
      <w:r>
        <w:rPr>
          <w:rFonts w:hint="eastAsia" w:ascii="宋体" w:hAnsi="宋体" w:eastAsia="宋体" w:cs="Times New Roman"/>
          <w:color w:val="auto"/>
          <w:szCs w:val="21"/>
          <w:highlight w:val="none"/>
          <w:lang w:val="en-US" w:eastAsia="zh-CN"/>
        </w:rPr>
        <w:t>周安琪</w:t>
      </w:r>
    </w:p>
    <w:p w14:paraId="67BC59CD">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质疑联系方式：0571-81110356</w:t>
      </w:r>
    </w:p>
    <w:p w14:paraId="62AFDFA3">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质疑邮箱：</w:t>
      </w:r>
      <w:r>
        <w:rPr>
          <w:rFonts w:ascii="宋体" w:hAnsi="宋体" w:eastAsia="宋体" w:cs="Times New Roman"/>
          <w:color w:val="auto"/>
          <w:szCs w:val="21"/>
          <w:highlight w:val="none"/>
        </w:rPr>
        <w:t>jdkh@qszb.net</w:t>
      </w:r>
    </w:p>
    <w:p w14:paraId="522720FA">
      <w:pPr>
        <w:adjustRightInd w:val="0"/>
        <w:snapToGrid w:val="0"/>
        <w:spacing w:line="288" w:lineRule="auto"/>
        <w:ind w:firstLine="424" w:firstLineChars="202"/>
        <w:rPr>
          <w:rFonts w:ascii="宋体" w:hAnsi="宋体" w:eastAsia="宋体" w:cs="Times New Roman"/>
          <w:color w:val="auto"/>
          <w:szCs w:val="21"/>
          <w:highlight w:val="none"/>
        </w:rPr>
      </w:pPr>
      <w:bookmarkStart w:id="33" w:name="_Hlk124147873"/>
    </w:p>
    <w:p w14:paraId="413F16AB">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3.同级政府采购监督管理部门</w:t>
      </w:r>
    </w:p>
    <w:p w14:paraId="7F9FE31C">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名称：浙江省财政厅政府采购监管处、浙江省政府采购行政裁决服务中心（杭州）</w:t>
      </w:r>
    </w:p>
    <w:p w14:paraId="2329E164">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地址：</w:t>
      </w:r>
      <w:r>
        <w:rPr>
          <w:rFonts w:hint="eastAsia" w:ascii="宋体" w:hAnsi="宋体" w:eastAsia="宋体" w:cs="Times New Roman"/>
          <w:color w:val="auto"/>
          <w:spacing w:val="-6"/>
          <w:szCs w:val="21"/>
          <w:highlight w:val="none"/>
        </w:rPr>
        <w:t>杭州市上城区清泰街549号城建综合大楼11楼（快递仅限ems或顺丰）</w:t>
      </w:r>
    </w:p>
    <w:p w14:paraId="2F990CC7">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传真：/</w:t>
      </w:r>
    </w:p>
    <w:p w14:paraId="7EDD0EB9">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联系人：朱女士、王女士</w:t>
      </w:r>
    </w:p>
    <w:p w14:paraId="502655E8">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监督投诉电话：</w:t>
      </w:r>
      <w:r>
        <w:rPr>
          <w:rFonts w:hint="eastAsia" w:ascii="宋体" w:hAnsi="宋体" w:eastAsia="宋体" w:cs="Times New Roman"/>
          <w:color w:val="auto"/>
          <w:spacing w:val="-6"/>
          <w:szCs w:val="21"/>
          <w:highlight w:val="none"/>
        </w:rPr>
        <w:t>0571-87227671,0571-87800218</w:t>
      </w:r>
    </w:p>
    <w:p w14:paraId="71393C4C">
      <w:pPr>
        <w:adjustRightInd w:val="0"/>
        <w:snapToGrid w:val="0"/>
        <w:spacing w:line="288" w:lineRule="auto"/>
        <w:ind w:firstLine="425" w:firstLineChars="215"/>
        <w:rPr>
          <w:rFonts w:ascii="宋体" w:hAnsi="宋体" w:eastAsia="宋体" w:cs="Times New Roman"/>
          <w:color w:val="auto"/>
          <w:spacing w:val="-6"/>
          <w:szCs w:val="21"/>
          <w:highlight w:val="none"/>
        </w:rPr>
      </w:pPr>
    </w:p>
    <w:p w14:paraId="0BC31247">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政策咨询：何一平、冯华，0571-87058424、87055741</w:t>
      </w:r>
    </w:p>
    <w:p w14:paraId="75F4FF7B">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预算金额未达100万元的采购项目，由采购人处理采购争议。</w:t>
      </w:r>
    </w:p>
    <w:p w14:paraId="4FF4D22A">
      <w:pPr>
        <w:adjustRightInd w:val="0"/>
        <w:snapToGrid w:val="0"/>
        <w:spacing w:line="288" w:lineRule="auto"/>
        <w:ind w:firstLine="370"/>
        <w:rPr>
          <w:rFonts w:ascii="宋体" w:hAnsi="宋体" w:eastAsia="宋体" w:cs="Times New Roman"/>
          <w:color w:val="auto"/>
          <w:spacing w:val="-6"/>
          <w:szCs w:val="21"/>
          <w:highlight w:val="none"/>
        </w:rPr>
      </w:pPr>
    </w:p>
    <w:p w14:paraId="4CBB2EA5">
      <w:pPr>
        <w:adjustRightInd w:val="0"/>
        <w:snapToGrid w:val="0"/>
        <w:spacing w:line="288" w:lineRule="auto"/>
        <w:ind w:firstLine="420" w:firstLineChars="200"/>
        <w:rPr>
          <w:rFonts w:ascii="宋体" w:hAnsi="宋体" w:eastAsia="宋体" w:cs="Times New Roman"/>
          <w:color w:val="auto"/>
          <w:szCs w:val="21"/>
          <w:highlight w:val="none"/>
        </w:rPr>
      </w:pPr>
      <w:bookmarkStart w:id="34" w:name="_Hlk143604927"/>
      <w:r>
        <w:rPr>
          <w:rFonts w:hint="eastAsia" w:ascii="宋体" w:hAnsi="宋体" w:eastAsia="宋体" w:cs="Times New Roman"/>
          <w:color w:val="auto"/>
          <w:szCs w:val="21"/>
          <w:highlight w:val="none"/>
        </w:rPr>
        <w:t>若对项目采购电子交易系统操作有疑问，可登录政采云（</w:t>
      </w:r>
      <w:r>
        <w:rPr>
          <w:rFonts w:ascii="宋体" w:hAnsi="宋体" w:eastAsia="宋体" w:cs="Times New Roman"/>
          <w:color w:val="auto"/>
          <w:szCs w:val="21"/>
          <w:highlight w:val="none"/>
        </w:rPr>
        <w:t>https://www.zcygov.cn/），点击右侧咨询小采，获取采小蜜智能服务管家帮助，或拨打政采云服务热线95763获取热线服务帮助。</w:t>
      </w:r>
    </w:p>
    <w:p w14:paraId="513415EB">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CA问题联系电话（人工）：汇信CA 400-888-4636；天谷CA 400-087-8198。</w:t>
      </w:r>
    </w:p>
    <w:bookmarkEnd w:id="33"/>
    <w:bookmarkEnd w:id="34"/>
    <w:p w14:paraId="4611ACBF">
      <w:pPr>
        <w:adjustRightInd w:val="0"/>
        <w:snapToGrid w:val="0"/>
        <w:spacing w:line="288" w:lineRule="auto"/>
        <w:ind w:left="238"/>
        <w:jc w:val="center"/>
        <w:outlineLvl w:val="0"/>
        <w:rPr>
          <w:rFonts w:ascii="宋体" w:hAnsi="宋体" w:eastAsia="宋体" w:cs="Times New Roman"/>
          <w:b/>
          <w:bCs/>
          <w:color w:val="auto"/>
          <w:sz w:val="32"/>
          <w:szCs w:val="32"/>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color w:val="auto"/>
          <w:sz w:val="32"/>
          <w:szCs w:val="32"/>
          <w:highlight w:val="none"/>
        </w:rPr>
        <w:t xml:space="preserve">第二章  </w:t>
      </w:r>
      <w:r>
        <w:rPr>
          <w:rFonts w:hint="eastAsia" w:ascii="宋体" w:hAnsi="宋体" w:eastAsia="宋体" w:cs="Times New Roman"/>
          <w:b/>
          <w:bCs/>
          <w:color w:val="auto"/>
          <w:sz w:val="32"/>
          <w:szCs w:val="32"/>
          <w:highlight w:val="none"/>
        </w:rPr>
        <w:t>采购需求</w:t>
      </w:r>
    </w:p>
    <w:p w14:paraId="2BD0894E">
      <w:pP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0B67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9C7D754">
            <w:pPr>
              <w:adjustRightInd w:val="0"/>
              <w:snapToGrid w:val="0"/>
              <w:spacing w:line="288" w:lineRule="auto"/>
              <w:jc w:val="center"/>
              <w:rPr>
                <w:rFonts w:hint="eastAsia" w:ascii="宋体" w:hAnsi="宋体" w:eastAsia="宋体" w:cs="宋体"/>
                <w:b/>
                <w:bCs/>
                <w:color w:val="auto"/>
                <w:szCs w:val="21"/>
                <w:highlight w:val="none"/>
              </w:rPr>
            </w:pPr>
            <w:bookmarkStart w:id="35" w:name="_Hlk45005599"/>
            <w:r>
              <w:rPr>
                <w:rFonts w:hint="eastAsia" w:ascii="宋体" w:hAnsi="宋体" w:eastAsia="宋体" w:cs="宋体"/>
                <w:b/>
                <w:bCs/>
                <w:color w:val="auto"/>
                <w:szCs w:val="21"/>
                <w:highlight w:val="none"/>
              </w:rPr>
              <w:t>序号</w:t>
            </w:r>
          </w:p>
        </w:tc>
        <w:tc>
          <w:tcPr>
            <w:tcW w:w="3256" w:type="dxa"/>
            <w:vAlign w:val="center"/>
          </w:tcPr>
          <w:p w14:paraId="029CAA6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政策名称</w:t>
            </w:r>
          </w:p>
        </w:tc>
        <w:tc>
          <w:tcPr>
            <w:tcW w:w="5529" w:type="dxa"/>
            <w:vAlign w:val="center"/>
          </w:tcPr>
          <w:p w14:paraId="4F40FE44">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r>
      <w:tr w14:paraId="5116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3CC413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w:t>
            </w:r>
          </w:p>
        </w:tc>
        <w:tc>
          <w:tcPr>
            <w:tcW w:w="3256" w:type="dxa"/>
            <w:vAlign w:val="center"/>
          </w:tcPr>
          <w:p w14:paraId="1DEEC442">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政府采购进口产品</w:t>
            </w:r>
          </w:p>
        </w:tc>
        <w:tc>
          <w:tcPr>
            <w:tcW w:w="5529" w:type="dxa"/>
            <w:vAlign w:val="center"/>
          </w:tcPr>
          <w:p w14:paraId="6BEBD351">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不允许采购进口产品</w:t>
            </w:r>
          </w:p>
        </w:tc>
      </w:tr>
      <w:tr w14:paraId="1BDA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1995D8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p>
        </w:tc>
        <w:tc>
          <w:tcPr>
            <w:tcW w:w="3256" w:type="dxa"/>
            <w:vAlign w:val="center"/>
          </w:tcPr>
          <w:p w14:paraId="23A69A07">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政府强制采购节能产品</w:t>
            </w:r>
          </w:p>
        </w:tc>
        <w:tc>
          <w:tcPr>
            <w:tcW w:w="5529" w:type="dxa"/>
            <w:vAlign w:val="center"/>
          </w:tcPr>
          <w:p w14:paraId="622C0084">
            <w:pPr>
              <w:adjustRightInd w:val="0"/>
              <w:snapToGrid w:val="0"/>
              <w:jc w:val="left"/>
              <w:rPr>
                <w:rFonts w:hint="eastAsia" w:ascii="宋体" w:hAnsi="宋体" w:eastAsia="宋体" w:cs="宋体"/>
                <w:b/>
                <w:bCs/>
                <w:color w:val="auto"/>
                <w:szCs w:val="21"/>
                <w:highlight w:val="none"/>
                <w:lang w:bidi="ar"/>
              </w:rPr>
            </w:pPr>
            <w:r>
              <w:rPr>
                <w:rFonts w:hint="eastAsia" w:ascii="宋体" w:hAnsi="宋体" w:eastAsia="宋体" w:cs="Times New Roman"/>
                <w:b/>
                <w:color w:val="auto"/>
                <w:spacing w:val="-6"/>
                <w:szCs w:val="21"/>
                <w:highlight w:val="none"/>
              </w:rPr>
              <w:t>▲</w:t>
            </w:r>
            <w:r>
              <w:rPr>
                <w:rFonts w:hint="eastAsia" w:ascii="宋体" w:hAnsi="宋体" w:eastAsia="宋体" w:cs="宋体"/>
                <w:b/>
                <w:bCs/>
                <w:color w:val="auto"/>
                <w:szCs w:val="21"/>
                <w:highlight w:val="none"/>
                <w:lang w:bidi="ar"/>
              </w:rPr>
              <w:t>本项目采购需求中：</w:t>
            </w:r>
          </w:p>
          <w:p w14:paraId="4D1CA1F1">
            <w:pPr>
              <w:adjustRightInd w:val="0"/>
              <w:snapToGrid w:val="0"/>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“超模态行为洞察平台”中相关组件：专用台式工作站</w:t>
            </w:r>
          </w:p>
          <w:p w14:paraId="5E7D7A28">
            <w:pPr>
              <w:adjustRightInd w:val="0"/>
              <w:snapToGrid w:val="0"/>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“便携式行为观察记录分析系统”中相关组件：专用便携式工作站</w:t>
            </w:r>
          </w:p>
          <w:p w14:paraId="0EC4480C">
            <w:pPr>
              <w:adjustRightInd w:val="0"/>
              <w:snapToGrid w:val="0"/>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“视觉动态追踪系统”中相关组件：专用便携式工作站</w:t>
            </w:r>
          </w:p>
          <w:p w14:paraId="1B0C9CF9">
            <w:pPr>
              <w:adjustRightInd w:val="0"/>
              <w:snapToGrid w:val="0"/>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“遥测式生理信号采集分析系统”中相关组件：专用台式工作站</w:t>
            </w:r>
          </w:p>
          <w:p w14:paraId="01D671E9">
            <w:pPr>
              <w:adjustRightInd w:val="0"/>
              <w:snapToGrid w:val="0"/>
              <w:jc w:val="left"/>
              <w:rPr>
                <w:rFonts w:hint="eastAsia" w:ascii="宋体" w:hAnsi="宋体" w:eastAsia="宋体" w:cs="Times New Roman"/>
                <w:color w:val="auto"/>
                <w:spacing w:val="-6"/>
                <w:szCs w:val="21"/>
                <w:highlight w:val="none"/>
              </w:rPr>
            </w:pPr>
            <w:r>
              <w:rPr>
                <w:rFonts w:hint="eastAsia" w:ascii="宋体" w:hAnsi="宋体" w:eastAsia="宋体" w:cs="宋体"/>
                <w:color w:val="auto"/>
                <w:szCs w:val="21"/>
                <w:highlight w:val="none"/>
                <w:lang w:bidi="ar"/>
              </w:rPr>
              <w:t>属于</w:t>
            </w:r>
            <w:r>
              <w:rPr>
                <w:rFonts w:ascii="宋体" w:hAnsi="宋体" w:eastAsia="宋体" w:cs="Times New Roman"/>
                <w:color w:val="auto"/>
                <w:spacing w:val="-6"/>
                <w:szCs w:val="21"/>
                <w:highlight w:val="none"/>
              </w:rPr>
              <w:t>政府强制采购的节能产品品目清单范围，</w:t>
            </w:r>
            <w:r>
              <w:rPr>
                <w:rFonts w:hint="eastAsia" w:ascii="宋体" w:hAnsi="宋体" w:eastAsia="宋体" w:cs="Times New Roman"/>
                <w:color w:val="auto"/>
                <w:spacing w:val="-6"/>
                <w:szCs w:val="21"/>
                <w:highlight w:val="none"/>
              </w:rPr>
              <w:t>清单详见“附件：节能产品政府采购品目清单”，</w:t>
            </w:r>
            <w:r>
              <w:rPr>
                <w:rFonts w:ascii="宋体" w:hAnsi="宋体" w:eastAsia="宋体" w:cs="Times New Roman"/>
                <w:color w:val="auto"/>
                <w:spacing w:val="-6"/>
                <w:szCs w:val="21"/>
                <w:highlight w:val="none"/>
              </w:rPr>
              <w:t>如有冲突，以节能产品政府采购品目清单为准。</w:t>
            </w:r>
          </w:p>
          <w:p w14:paraId="1ADC98B1">
            <w:pPr>
              <w:adjustRightInd w:val="0"/>
              <w:snapToGrid w:val="0"/>
              <w:spacing w:line="288" w:lineRule="auto"/>
              <w:jc w:val="left"/>
              <w:rPr>
                <w:rFonts w:hint="eastAsia" w:ascii="宋体" w:hAnsi="宋体" w:eastAsia="宋体" w:cs="宋体"/>
                <w:b/>
                <w:bCs/>
                <w:color w:val="auto"/>
                <w:szCs w:val="21"/>
                <w:highlight w:val="none"/>
              </w:rPr>
            </w:pPr>
            <w:r>
              <w:rPr>
                <w:rFonts w:ascii="宋体" w:hAnsi="宋体" w:eastAsia="宋体" w:cs="Times New Roman"/>
                <w:color w:val="auto"/>
                <w:spacing w:val="-6"/>
                <w:szCs w:val="21"/>
                <w:highlight w:val="none"/>
              </w:rPr>
              <w:t>投标人</w:t>
            </w:r>
            <w:r>
              <w:rPr>
                <w:rFonts w:hint="eastAsia" w:ascii="宋体" w:hAnsi="宋体" w:eastAsia="宋体" w:cs="Times New Roman"/>
                <w:color w:val="auto"/>
                <w:spacing w:val="-6"/>
                <w:szCs w:val="21"/>
                <w:highlight w:val="none"/>
              </w:rPr>
              <w:t>应</w:t>
            </w:r>
            <w:r>
              <w:rPr>
                <w:rFonts w:ascii="宋体" w:hAnsi="宋体" w:eastAsia="宋体" w:cs="Times New Roman"/>
                <w:color w:val="auto"/>
                <w:spacing w:val="-6"/>
                <w:szCs w:val="21"/>
                <w:highlight w:val="none"/>
              </w:rPr>
              <w:t>按招标文件要求提供国家确定的认证机构出具的、有效的节能产品认证证书的。</w:t>
            </w:r>
          </w:p>
        </w:tc>
      </w:tr>
      <w:tr w14:paraId="59A3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6E4211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w:t>
            </w:r>
          </w:p>
        </w:tc>
        <w:tc>
          <w:tcPr>
            <w:tcW w:w="3256" w:type="dxa"/>
            <w:vAlign w:val="center"/>
          </w:tcPr>
          <w:p w14:paraId="18D731A0">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政府优先采购节能、环保产品</w:t>
            </w:r>
          </w:p>
        </w:tc>
        <w:tc>
          <w:tcPr>
            <w:tcW w:w="5529" w:type="dxa"/>
            <w:vAlign w:val="center"/>
          </w:tcPr>
          <w:p w14:paraId="129783AC">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提供材料详见招标文件第六章“商务和技术文件”</w:t>
            </w:r>
          </w:p>
        </w:tc>
      </w:tr>
      <w:tr w14:paraId="78A3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5E758E8E">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dxa"/>
            <w:vAlign w:val="center"/>
          </w:tcPr>
          <w:p w14:paraId="5EEAD924">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政府采购支持科技创新</w:t>
            </w:r>
          </w:p>
        </w:tc>
        <w:tc>
          <w:tcPr>
            <w:tcW w:w="5529" w:type="dxa"/>
            <w:vAlign w:val="center"/>
          </w:tcPr>
          <w:p w14:paraId="72992812">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提供材料详见招标文件第六章“商务和技术文件”</w:t>
            </w:r>
          </w:p>
        </w:tc>
      </w:tr>
      <w:tr w14:paraId="7E8E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70BF40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w:t>
            </w:r>
          </w:p>
        </w:tc>
        <w:tc>
          <w:tcPr>
            <w:tcW w:w="3256" w:type="dxa"/>
            <w:vAlign w:val="center"/>
          </w:tcPr>
          <w:p w14:paraId="109E5DAF">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政府采购促进中小企业发展</w:t>
            </w:r>
          </w:p>
        </w:tc>
        <w:tc>
          <w:tcPr>
            <w:tcW w:w="5529" w:type="dxa"/>
            <w:vAlign w:val="center"/>
          </w:tcPr>
          <w:p w14:paraId="267CB694">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提供材料详见招标文件第六章“报价文件”</w:t>
            </w:r>
          </w:p>
          <w:p w14:paraId="1975017E">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本项目属性</w:t>
            </w:r>
            <w:r>
              <w:rPr>
                <w:rFonts w:hint="eastAsia" w:ascii="宋体" w:hAnsi="宋体" w:eastAsia="宋体" w:cs="Times New Roman"/>
                <w:b/>
                <w:bCs/>
                <w:color w:val="auto"/>
                <w:szCs w:val="21"/>
                <w:highlight w:val="none"/>
              </w:rPr>
              <w:t>为：货物</w:t>
            </w:r>
          </w:p>
          <w:p w14:paraId="21D31D02">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采购标的对应的中小企业划分标准所属行业：</w:t>
            </w:r>
            <w:r>
              <w:rPr>
                <w:rFonts w:hint="eastAsia" w:ascii="宋体" w:hAnsi="宋体" w:eastAsia="宋体" w:cs="Times New Roman"/>
                <w:b/>
                <w:bCs/>
                <w:color w:val="auto"/>
                <w:szCs w:val="21"/>
                <w:highlight w:val="none"/>
              </w:rPr>
              <w:t>软件和信息技术服务业</w:t>
            </w:r>
          </w:p>
          <w:p w14:paraId="3B0C9FC2">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中小企业划型标准：</w:t>
            </w:r>
          </w:p>
          <w:p w14:paraId="6E599AA2">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软件和信息技术服务业。</w:t>
            </w:r>
            <w:r>
              <w:rPr>
                <w:rFonts w:hint="eastAsia" w:ascii="宋体" w:hAnsi="宋体" w:eastAsia="宋体" w:cs="Times New Roman"/>
                <w:color w:val="auto"/>
                <w:szCs w:val="21"/>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03CF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F32D6CD">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256" w:type="dxa"/>
            <w:vAlign w:val="center"/>
          </w:tcPr>
          <w:p w14:paraId="4C673809">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政府采购支持监狱企业发展</w:t>
            </w:r>
          </w:p>
        </w:tc>
        <w:tc>
          <w:tcPr>
            <w:tcW w:w="5529" w:type="dxa"/>
            <w:vAlign w:val="center"/>
          </w:tcPr>
          <w:p w14:paraId="2EDD88A3">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宋体"/>
                <w:color w:val="auto"/>
                <w:szCs w:val="21"/>
                <w:highlight w:val="none"/>
              </w:rPr>
              <w:t>提供材料详见招标文件第六章“报价文件”</w:t>
            </w:r>
          </w:p>
        </w:tc>
      </w:tr>
      <w:tr w14:paraId="4677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504ACB77">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256" w:type="dxa"/>
            <w:vAlign w:val="center"/>
          </w:tcPr>
          <w:p w14:paraId="606C7C74">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政府采购促进残疾人就业</w:t>
            </w:r>
          </w:p>
        </w:tc>
        <w:tc>
          <w:tcPr>
            <w:tcW w:w="5529" w:type="dxa"/>
            <w:vAlign w:val="center"/>
          </w:tcPr>
          <w:p w14:paraId="3CEF616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提供材料详见招标文件第六章“报价文件”</w:t>
            </w:r>
          </w:p>
        </w:tc>
      </w:tr>
      <w:bookmarkEnd w:id="35"/>
    </w:tbl>
    <w:p w14:paraId="575A934C">
      <w:pPr>
        <w:adjustRightInd w:val="0"/>
        <w:snapToGrid w:val="0"/>
        <w:spacing w:line="288" w:lineRule="auto"/>
        <w:rPr>
          <w:rFonts w:ascii="宋体" w:hAnsi="宋体" w:eastAsia="宋体" w:cs="Times New Roman"/>
          <w:b/>
          <w:color w:val="auto"/>
          <w:spacing w:val="-4"/>
          <w:szCs w:val="21"/>
          <w:highlight w:val="none"/>
        </w:rPr>
      </w:pPr>
    </w:p>
    <w:p w14:paraId="300E0DB4">
      <w:pP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二、采购资金的支付方式、时间、条件</w:t>
      </w:r>
    </w:p>
    <w:tbl>
      <w:tblPr>
        <w:tblStyle w:val="23"/>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3B319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034FD5A0">
            <w:pPr>
              <w:spacing w:line="288" w:lineRule="auto"/>
              <w:jc w:val="center"/>
              <w:rPr>
                <w:rFonts w:ascii="宋体" w:hAnsi="宋体" w:eastAsia="宋体" w:cs="Times New Roman"/>
                <w:b/>
                <w:color w:val="auto"/>
                <w:spacing w:val="-6"/>
                <w:szCs w:val="21"/>
                <w:highlight w:val="none"/>
              </w:rPr>
            </w:pPr>
            <w:bookmarkStart w:id="36" w:name="_Hlk45005608"/>
            <w:r>
              <w:rPr>
                <w:rFonts w:hint="eastAsia" w:ascii="宋体" w:hAnsi="宋体" w:eastAsia="宋体" w:cs="宋体"/>
                <w:color w:val="auto"/>
                <w:szCs w:val="21"/>
                <w:highlight w:val="none"/>
              </w:rPr>
              <w:t>付款条件</w:t>
            </w:r>
          </w:p>
        </w:tc>
        <w:tc>
          <w:tcPr>
            <w:tcW w:w="7650" w:type="dxa"/>
            <w:tcBorders>
              <w:top w:val="single" w:color="auto" w:sz="4" w:space="0"/>
              <w:left w:val="single" w:color="auto" w:sz="4" w:space="0"/>
              <w:bottom w:val="single" w:color="auto" w:sz="4" w:space="0"/>
              <w:right w:val="single" w:color="auto" w:sz="4" w:space="0"/>
            </w:tcBorders>
            <w:vAlign w:val="center"/>
          </w:tcPr>
          <w:p w14:paraId="035BE8C3">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提交银行、保险公司等金融机构出具的预付款保函（保函数额与预付款金额相同，保函有效期在验收合格日之后）；合同生效并具备实施条件后7个工作日内，采购人向中标人支付合同金额70%的预付款。剩余合同款项在验收合格后，凭验收合格证明材料、发票到采购人处结算。采购人在7个工作日内向投标人支付全部合同余款。</w:t>
            </w:r>
          </w:p>
          <w:p w14:paraId="5D195D30">
            <w:pPr>
              <w:spacing w:line="288" w:lineRule="auto"/>
              <w:rPr>
                <w:rFonts w:ascii="宋体" w:hAnsi="宋体" w:eastAsia="宋体" w:cs="宋体"/>
                <w:color w:val="auto"/>
                <w:spacing w:val="-6"/>
                <w:kern w:val="0"/>
                <w:szCs w:val="21"/>
                <w:highlight w:val="none"/>
              </w:rPr>
            </w:pPr>
            <w:r>
              <w:rPr>
                <w:rFonts w:hint="eastAsia" w:ascii="宋体" w:hAnsi="宋体" w:eastAsia="宋体" w:cs="宋体"/>
                <w:color w:val="auto"/>
                <w:szCs w:val="21"/>
                <w:highlight w:val="none"/>
              </w:rPr>
              <w:t>2.在签订合同前，投标人主动要求降低预付款比例的，按实际比例计。投标人明确表示无需预付款的，采用下述付款方式：验收合格后，凭验收合格证明材料、发票到采购人处结算合同金额的100%。采购人在7个工作日内向投标人支付合同货款。</w:t>
            </w:r>
          </w:p>
        </w:tc>
      </w:tr>
      <w:tr w14:paraId="6EA04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7485675D">
            <w:pPr>
              <w:spacing w:line="288" w:lineRule="auto"/>
              <w:jc w:val="center"/>
              <w:rPr>
                <w:rFonts w:ascii="宋体" w:hAnsi="宋体" w:eastAsia="宋体" w:cs="Times New Roman"/>
                <w:b/>
                <w:color w:val="auto"/>
                <w:spacing w:val="-6"/>
                <w:szCs w:val="21"/>
                <w:highlight w:val="none"/>
              </w:rPr>
            </w:pPr>
            <w:r>
              <w:rPr>
                <w:rFonts w:hint="eastAsia" w:ascii="宋体" w:hAnsi="宋体" w:eastAsia="宋体" w:cs="宋体"/>
                <w:color w:val="auto"/>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26E5512B">
            <w:pPr>
              <w:spacing w:line="288" w:lineRule="auto"/>
              <w:rPr>
                <w:rFonts w:ascii="宋体" w:hAnsi="宋体" w:eastAsia="宋体" w:cs="宋体"/>
                <w:color w:val="auto"/>
                <w:spacing w:val="-6"/>
                <w:kern w:val="0"/>
                <w:szCs w:val="21"/>
                <w:highlight w:val="none"/>
              </w:rPr>
            </w:pPr>
            <w:r>
              <w:rPr>
                <w:rFonts w:hint="eastAsia" w:ascii="宋体" w:hAnsi="宋体" w:eastAsia="宋体" w:cs="宋体"/>
                <w:color w:val="auto"/>
                <w:szCs w:val="21"/>
                <w:highlight w:val="none"/>
              </w:rPr>
              <w:t>无</w:t>
            </w:r>
          </w:p>
        </w:tc>
      </w:tr>
      <w:bookmarkEnd w:id="36"/>
    </w:tbl>
    <w:p w14:paraId="1E29175E">
      <w:pPr>
        <w:adjustRightInd w:val="0"/>
        <w:snapToGrid w:val="0"/>
        <w:spacing w:line="288" w:lineRule="auto"/>
        <w:rPr>
          <w:rFonts w:ascii="宋体" w:hAnsi="宋体" w:eastAsia="宋体" w:cs="Times New Roman"/>
          <w:color w:val="auto"/>
          <w:spacing w:val="-4"/>
          <w:szCs w:val="21"/>
          <w:highlight w:val="none"/>
        </w:rPr>
      </w:pPr>
    </w:p>
    <w:p w14:paraId="587B19D8">
      <w:pP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三、服务要求（技术要求里另有注明的以技术要求为准）</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370"/>
        <w:gridCol w:w="7003"/>
      </w:tblGrid>
      <w:tr w14:paraId="0B98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Merge w:val="restart"/>
            <w:vAlign w:val="center"/>
          </w:tcPr>
          <w:p w14:paraId="25993AE8">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交付要求</w:t>
            </w:r>
          </w:p>
        </w:tc>
        <w:tc>
          <w:tcPr>
            <w:tcW w:w="712" w:type="pct"/>
            <w:vAlign w:val="center"/>
          </w:tcPr>
          <w:p w14:paraId="0275A4BC">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交付日期</w:t>
            </w:r>
          </w:p>
        </w:tc>
        <w:tc>
          <w:tcPr>
            <w:tcW w:w="3637" w:type="pct"/>
          </w:tcPr>
          <w:p w14:paraId="7C4F5C62">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设备合同签订后3个月内完成安装、调试，达到验收要求。</w:t>
            </w:r>
          </w:p>
        </w:tc>
      </w:tr>
      <w:tr w14:paraId="2482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Merge w:val="continue"/>
          </w:tcPr>
          <w:p w14:paraId="67720882">
            <w:pPr>
              <w:spacing w:line="288" w:lineRule="auto"/>
              <w:rPr>
                <w:rFonts w:hint="eastAsia" w:ascii="宋体" w:hAnsi="宋体" w:eastAsia="宋体" w:cs="宋体"/>
                <w:color w:val="auto"/>
                <w:szCs w:val="21"/>
                <w:highlight w:val="none"/>
              </w:rPr>
            </w:pPr>
          </w:p>
        </w:tc>
        <w:tc>
          <w:tcPr>
            <w:tcW w:w="712" w:type="pct"/>
            <w:vAlign w:val="center"/>
          </w:tcPr>
          <w:p w14:paraId="1CBD41CA">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交付地址</w:t>
            </w:r>
          </w:p>
        </w:tc>
        <w:tc>
          <w:tcPr>
            <w:tcW w:w="3637" w:type="pct"/>
          </w:tcPr>
          <w:p w14:paraId="23919EB4">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浙江工商大学，具体位置由采购人指定。</w:t>
            </w:r>
          </w:p>
        </w:tc>
      </w:tr>
      <w:tr w14:paraId="55A9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649" w:type="pct"/>
            <w:vAlign w:val="center"/>
          </w:tcPr>
          <w:p w14:paraId="2E5F71B5">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w:t>
            </w:r>
          </w:p>
        </w:tc>
        <w:tc>
          <w:tcPr>
            <w:tcW w:w="4350" w:type="pct"/>
            <w:gridSpan w:val="2"/>
            <w:vAlign w:val="center"/>
          </w:tcPr>
          <w:p w14:paraId="1E9A00D3">
            <w:pPr>
              <w:autoSpaceDE w:val="0"/>
              <w:autoSpaceDN w:val="0"/>
              <w:adjustRightInd w:val="0"/>
              <w:snapToGrid w:val="0"/>
              <w:spacing w:line="288"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1.投标人须到采购人现场提供安装、调试设备，进行操作试验，直至运行正常并验收，为2名以上仪器操作人员提供上机操作及日常维护培训。</w:t>
            </w:r>
          </w:p>
          <w:p w14:paraId="151E70DA">
            <w:pPr>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2.交货后进行3次以上软件原厂现场培训，委派的培训人员必须对系统的使用和功能有着丰富的经验和执行力，确保软件能正常使用和操作，后续提供不定期的仪器应用技术培训服务。</w:t>
            </w:r>
          </w:p>
          <w:p w14:paraId="4BDC18A3">
            <w:pPr>
              <w:autoSpaceDE w:val="0"/>
              <w:autoSpaceDN w:val="0"/>
              <w:adjustRightInd w:val="0"/>
              <w:snapToGrid w:val="0"/>
              <w:spacing w:line="288"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3.投标人应提供相应的培训计划。</w:t>
            </w:r>
          </w:p>
        </w:tc>
      </w:tr>
      <w:tr w14:paraId="504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pct"/>
            <w:vAlign w:val="center"/>
          </w:tcPr>
          <w:p w14:paraId="755A1160">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w:t>
            </w:r>
          </w:p>
        </w:tc>
        <w:tc>
          <w:tcPr>
            <w:tcW w:w="4350" w:type="pct"/>
            <w:gridSpan w:val="2"/>
            <w:vAlign w:val="center"/>
          </w:tcPr>
          <w:p w14:paraId="1B598FEE">
            <w:pPr>
              <w:widowControl/>
              <w:autoSpaceDE w:val="0"/>
              <w:autoSpaceDN w:val="0"/>
              <w:adjustRightInd w:val="0"/>
              <w:snapToGrid w:val="0"/>
              <w:spacing w:line="288"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1.质保期不少于</w:t>
            </w:r>
            <w:r>
              <w:rPr>
                <w:rFonts w:hint="eastAsia" w:ascii="宋体" w:hAnsi="宋体" w:eastAsia="宋体" w:cs="宋体"/>
                <w:color w:val="auto"/>
                <w:szCs w:val="21"/>
                <w:highlight w:val="none"/>
                <w:lang w:eastAsia="zh"/>
              </w:rPr>
              <w:t>3</w:t>
            </w:r>
            <w:r>
              <w:rPr>
                <w:rFonts w:hint="eastAsia" w:ascii="宋体" w:hAnsi="宋体" w:eastAsia="宋体" w:cs="宋体"/>
                <w:color w:val="auto"/>
                <w:szCs w:val="21"/>
                <w:highlight w:val="none"/>
              </w:rPr>
              <w:t>年，质保期自验收合格之日算起。其中发生一切费用由投标人承担。质保期内出现故障导致停用的时间，要在质保期中追加。质保期内提供上门维修服务、确保软件升级到最新版本。</w:t>
            </w:r>
          </w:p>
          <w:p w14:paraId="55F36145">
            <w:pPr>
              <w:widowControl/>
              <w:autoSpaceDE w:val="0"/>
              <w:autoSpaceDN w:val="0"/>
              <w:adjustRightInd w:val="0"/>
              <w:snapToGrid w:val="0"/>
              <w:spacing w:line="288"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2.根据采购人要求，确保软件按时保质保量安装到位。配置指定项目实施联系人和维保人员。</w:t>
            </w:r>
          </w:p>
          <w:p w14:paraId="74E77CAA">
            <w:pPr>
              <w:widowControl/>
              <w:autoSpaceDE w:val="0"/>
              <w:autoSpaceDN w:val="0"/>
              <w:adjustRightInd w:val="0"/>
              <w:snapToGrid w:val="0"/>
              <w:spacing w:line="288"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保期内系统运行发生故障时，投标人在接到采购人故障通知后4小时内线上响应，一般性故障问题8小时内解决，重大故障8小时内给出解决方案并提供临时应急措施。重大故障解决问题时间不超过24小时。其中发生一切费用由投标人承担。</w:t>
            </w:r>
          </w:p>
          <w:p w14:paraId="6FA67579">
            <w:pPr>
              <w:widowControl/>
              <w:autoSpaceDE w:val="0"/>
              <w:autoSpaceDN w:val="0"/>
              <w:adjustRightInd w:val="0"/>
              <w:snapToGrid w:val="0"/>
              <w:spacing w:line="288"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4.质保期内投标人有责任对系统进行不定期的巡查维护。</w:t>
            </w:r>
          </w:p>
          <w:p w14:paraId="5FF59C90">
            <w:pPr>
              <w:widowControl/>
              <w:autoSpaceDE w:val="0"/>
              <w:autoSpaceDN w:val="0"/>
              <w:adjustRightInd w:val="0"/>
              <w:snapToGrid w:val="0"/>
              <w:spacing w:line="288"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5.知识产权：投标人应保证所提供的货物及含软件或其任何一部分均不会侵犯任何第三方的知识产权，否则投标人应承担包括但不限于侵权赔偿款、诉讼费、律师费、向采购人退还已付全款，并按合同总价款的20%向采购人支付违约金等责任。</w:t>
            </w:r>
          </w:p>
          <w:p w14:paraId="278C668F">
            <w:pPr>
              <w:widowControl/>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.移机服务：质保期内提供一次移机服务（因采购人需要）。</w:t>
            </w:r>
          </w:p>
        </w:tc>
      </w:tr>
      <w:tr w14:paraId="355F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Align w:val="center"/>
          </w:tcPr>
          <w:p w14:paraId="5A2C09A4">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w:t>
            </w:r>
          </w:p>
        </w:tc>
        <w:tc>
          <w:tcPr>
            <w:tcW w:w="4350" w:type="pct"/>
            <w:gridSpan w:val="2"/>
            <w:vAlign w:val="center"/>
          </w:tcPr>
          <w:p w14:paraId="667AC958">
            <w:pPr>
              <w:widowControl/>
              <w:autoSpaceDE w:val="0"/>
              <w:autoSpaceDN w:val="0"/>
              <w:adjustRightInd w:val="0"/>
              <w:snapToGrid w:val="0"/>
              <w:spacing w:line="288"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应提供合同货物的有效检验文件，经采购人认可后，与货物的性能指标一起作为合同货物验收标准。采购人对合同货物验收合格后，双方共同签署验收合格材料，验收中发现合同货物达不到验收标准或合同规定的性能指标，中标人必须更换合同货物，并负担由此给采购人造成的损失，直到验收合格为止。</w:t>
            </w:r>
          </w:p>
          <w:p w14:paraId="0F8B1CF9">
            <w:pPr>
              <w:widowControl/>
              <w:autoSpaceDE w:val="0"/>
              <w:autoSpaceDN w:val="0"/>
              <w:adjustRightInd w:val="0"/>
              <w:snapToGrid w:val="0"/>
              <w:spacing w:line="288"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2.投标人应在投标文件中提供合同货物的验收标准和检测办法，并在验收中提供采购人认可的相应检测手段，验收标准应符合中国有关的国家、地方、行业的标准，如若中标，经采购人确认后作为验收的依据。</w:t>
            </w:r>
          </w:p>
          <w:p w14:paraId="66E3346D">
            <w:pPr>
              <w:widowControl/>
              <w:autoSpaceDE w:val="0"/>
              <w:autoSpaceDN w:val="0"/>
              <w:adjustRightInd w:val="0"/>
              <w:snapToGrid w:val="0"/>
              <w:spacing w:line="288"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3.软件产品验收时需由中标人提供原厂知识产权证书及授权书。</w:t>
            </w:r>
          </w:p>
        </w:tc>
      </w:tr>
      <w:tr w14:paraId="732A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Align w:val="center"/>
          </w:tcPr>
          <w:p w14:paraId="1F6A73F8">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4350" w:type="pct"/>
            <w:gridSpan w:val="2"/>
            <w:vAlign w:val="center"/>
          </w:tcPr>
          <w:p w14:paraId="51EFAF6F">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本项目实施所需的所有成本充分考虑，项目可能需要的线材、辅料、转换接口等，安装调试过程中按实际需要提供，任何缺项、漏项均由中标人自行承担，采购人不作任何追加。</w:t>
            </w:r>
          </w:p>
        </w:tc>
      </w:tr>
    </w:tbl>
    <w:p w14:paraId="0C94B55E">
      <w:pPr>
        <w:adjustRightInd w:val="0"/>
        <w:snapToGrid w:val="0"/>
        <w:spacing w:line="288" w:lineRule="auto"/>
        <w:rPr>
          <w:rFonts w:ascii="宋体" w:hAnsi="宋体" w:eastAsia="宋体" w:cs="Times New Roman"/>
          <w:b/>
          <w:color w:val="auto"/>
          <w:szCs w:val="21"/>
          <w:highlight w:val="none"/>
        </w:rPr>
      </w:pPr>
    </w:p>
    <w:p w14:paraId="03740775">
      <w:pPr>
        <w:adjustRightInd w:val="0"/>
        <w:snapToGrid w:val="0"/>
        <w:spacing w:line="288" w:lineRule="auto"/>
        <w:outlineLvl w:val="1"/>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四、技术要求</w:t>
      </w:r>
      <w:bookmarkStart w:id="37" w:name="_Hlk45005556"/>
    </w:p>
    <w:bookmarkEnd w:id="37"/>
    <w:p w14:paraId="3C902424">
      <w:pPr>
        <w:adjustRightInd w:val="0"/>
        <w:snapToGrid w:val="0"/>
        <w:spacing w:line="288" w:lineRule="auto"/>
        <w:rPr>
          <w:rFonts w:hint="eastAsia" w:ascii="宋体" w:hAnsi="宋体" w:eastAsia="宋体" w:cs="宋体"/>
          <w:b/>
          <w:bCs/>
          <w:color w:val="auto"/>
          <w:szCs w:val="21"/>
          <w:highlight w:val="none"/>
        </w:rPr>
      </w:pPr>
      <w:bookmarkStart w:id="38" w:name="_Hlk92271413"/>
      <w:r>
        <w:rPr>
          <w:rFonts w:hint="eastAsia" w:ascii="宋体" w:hAnsi="宋体" w:eastAsia="宋体" w:cs="宋体"/>
          <w:b/>
          <w:bCs/>
          <w:color w:val="auto"/>
          <w:szCs w:val="21"/>
          <w:highlight w:val="none"/>
        </w:rPr>
        <w:t>1</w:t>
      </w:r>
      <w:r>
        <w:rPr>
          <w:rFonts w:ascii="宋体" w:hAnsi="宋体" w:eastAsia="宋体" w:cs="宋体"/>
          <w:b/>
          <w:bCs/>
          <w:color w:val="auto"/>
          <w:szCs w:val="21"/>
          <w:highlight w:val="none"/>
        </w:rPr>
        <w:t>.</w:t>
      </w:r>
      <w:r>
        <w:rPr>
          <w:rFonts w:hint="eastAsia" w:ascii="宋体" w:hAnsi="宋体" w:eastAsia="宋体" w:cs="宋体"/>
          <w:b/>
          <w:bCs/>
          <w:color w:val="auto"/>
          <w:szCs w:val="21"/>
          <w:highlight w:val="none"/>
        </w:rPr>
        <w:t>需执行的国家相关标准、行业标准、地方标准或者其他标准、规范：</w:t>
      </w:r>
      <w:bookmarkStart w:id="39" w:name="_Hlk94018176"/>
      <w:r>
        <w:rPr>
          <w:rFonts w:hint="eastAsia" w:ascii="宋体" w:hAnsi="宋体" w:eastAsia="宋体" w:cs="宋体"/>
          <w:color w:val="auto"/>
          <w:szCs w:val="21"/>
          <w:highlight w:val="none"/>
        </w:rPr>
        <w:t>如技术要求中未注明需执行的国家相关标准、行业标准、地方标准或者其他标准、规范的，执行最新标准、规范。</w:t>
      </w:r>
      <w:bookmarkEnd w:id="39"/>
    </w:p>
    <w:bookmarkEnd w:id="38"/>
    <w:p w14:paraId="00C74164">
      <w:pPr>
        <w:adjustRightInd w:val="0"/>
        <w:snapToGrid w:val="0"/>
        <w:spacing w:line="288" w:lineRule="auto"/>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.需实现的功能或者目标：满足浙江工商大学未来营养健康与共同富裕计算设备更新-共同富裕计算设备（第一批）采购要求。</w:t>
      </w:r>
    </w:p>
    <w:p w14:paraId="7724484E">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3.采购清单</w:t>
      </w:r>
    </w:p>
    <w:tbl>
      <w:tblPr>
        <w:tblStyle w:val="23"/>
        <w:tblW w:w="46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3142"/>
        <w:gridCol w:w="1013"/>
        <w:gridCol w:w="891"/>
        <w:gridCol w:w="1499"/>
        <w:gridCol w:w="1500"/>
      </w:tblGrid>
      <w:tr w14:paraId="2E75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462" w:type="pct"/>
            <w:shd w:val="clear" w:color="auto" w:fill="auto"/>
            <w:vAlign w:val="center"/>
          </w:tcPr>
          <w:p w14:paraId="293A2AB8">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771" w:type="pct"/>
            <w:shd w:val="clear" w:color="auto" w:fill="auto"/>
            <w:vAlign w:val="center"/>
          </w:tcPr>
          <w:p w14:paraId="37858B8B">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货物名称</w:t>
            </w:r>
          </w:p>
        </w:tc>
        <w:tc>
          <w:tcPr>
            <w:tcW w:w="571" w:type="pct"/>
            <w:shd w:val="clear" w:color="auto" w:fill="auto"/>
            <w:vAlign w:val="center"/>
          </w:tcPr>
          <w:p w14:paraId="19471DE7">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计量单位</w:t>
            </w:r>
          </w:p>
        </w:tc>
        <w:tc>
          <w:tcPr>
            <w:tcW w:w="502" w:type="pct"/>
            <w:shd w:val="clear" w:color="auto" w:fill="auto"/>
            <w:vAlign w:val="center"/>
          </w:tcPr>
          <w:p w14:paraId="5852E88E">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c>
          <w:tcPr>
            <w:tcW w:w="845" w:type="pct"/>
            <w:shd w:val="clear" w:color="auto" w:fill="auto"/>
            <w:vAlign w:val="center"/>
          </w:tcPr>
          <w:p w14:paraId="557365C1">
            <w:pPr>
              <w:jc w:val="center"/>
              <w:textAlignment w:val="center"/>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单价最高限价（万元）</w:t>
            </w:r>
          </w:p>
        </w:tc>
        <w:tc>
          <w:tcPr>
            <w:tcW w:w="845" w:type="pct"/>
            <w:shd w:val="clear" w:color="auto" w:fill="auto"/>
            <w:vAlign w:val="center"/>
          </w:tcPr>
          <w:p w14:paraId="7FB06DEB">
            <w:pPr>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预算金额（万元）</w:t>
            </w:r>
          </w:p>
        </w:tc>
      </w:tr>
      <w:tr w14:paraId="2B59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shd w:val="clear" w:color="auto" w:fill="auto"/>
            <w:vAlign w:val="center"/>
          </w:tcPr>
          <w:p w14:paraId="6DBBFEA2">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771" w:type="pct"/>
            <w:shd w:val="clear" w:color="auto" w:fill="auto"/>
            <w:vAlign w:val="center"/>
          </w:tcPr>
          <w:p w14:paraId="602489C1">
            <w:pPr>
              <w:jc w:val="center"/>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超模态行为洞察平台（核心产品）</w:t>
            </w:r>
          </w:p>
        </w:tc>
        <w:tc>
          <w:tcPr>
            <w:tcW w:w="571" w:type="pct"/>
            <w:shd w:val="clear" w:color="auto" w:fill="auto"/>
            <w:vAlign w:val="center"/>
          </w:tcPr>
          <w:p w14:paraId="74C5A985">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套</w:t>
            </w:r>
          </w:p>
        </w:tc>
        <w:tc>
          <w:tcPr>
            <w:tcW w:w="502" w:type="pct"/>
            <w:shd w:val="clear" w:color="auto" w:fill="auto"/>
            <w:vAlign w:val="center"/>
          </w:tcPr>
          <w:p w14:paraId="5E054F8C">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845" w:type="pct"/>
            <w:shd w:val="clear" w:color="auto" w:fill="auto"/>
            <w:vAlign w:val="center"/>
          </w:tcPr>
          <w:p w14:paraId="2ACE52B4">
            <w:pPr>
              <w:jc w:val="center"/>
              <w:textAlignment w:val="center"/>
              <w:rPr>
                <w:rFonts w:hint="eastAsia" w:ascii="Times New Roman" w:hAnsi="Times New Roman" w:cs="Times New Roman" w:eastAsiaTheme="minorEastAsia"/>
                <w:b/>
                <w:bCs/>
                <w:color w:val="auto"/>
                <w:kern w:val="2"/>
                <w:sz w:val="21"/>
                <w:szCs w:val="21"/>
                <w:highlight w:val="none"/>
                <w:lang w:val="en-US" w:eastAsia="zh-CN" w:bidi="ar-SA"/>
              </w:rPr>
            </w:pPr>
            <w:r>
              <w:rPr>
                <w:rFonts w:ascii="Times New Roman" w:hAnsi="Times New Roman" w:cs="Times New Roman"/>
                <w:b/>
                <w:bCs/>
                <w:color w:val="auto"/>
                <w:sz w:val="21"/>
                <w:szCs w:val="21"/>
                <w:highlight w:val="none"/>
                <w:lang w:bidi="ar"/>
              </w:rPr>
              <w:t>100</w:t>
            </w:r>
            <w:r>
              <w:rPr>
                <w:rFonts w:hint="eastAsia" w:ascii="Times New Roman" w:hAnsi="Times New Roman" w:cs="Times New Roman"/>
                <w:b/>
                <w:bCs/>
                <w:color w:val="auto"/>
                <w:sz w:val="21"/>
                <w:szCs w:val="21"/>
                <w:highlight w:val="none"/>
                <w:lang w:bidi="ar"/>
              </w:rPr>
              <w:t>.00</w:t>
            </w:r>
          </w:p>
        </w:tc>
        <w:tc>
          <w:tcPr>
            <w:tcW w:w="845" w:type="pct"/>
            <w:vMerge w:val="restart"/>
            <w:shd w:val="clear" w:color="auto" w:fill="auto"/>
            <w:vAlign w:val="center"/>
          </w:tcPr>
          <w:p w14:paraId="0CC98DFF">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290.00</w:t>
            </w:r>
          </w:p>
        </w:tc>
      </w:tr>
      <w:tr w14:paraId="388B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shd w:val="clear" w:color="auto" w:fill="auto"/>
            <w:vAlign w:val="center"/>
          </w:tcPr>
          <w:p w14:paraId="59B40B21">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771" w:type="pct"/>
            <w:shd w:val="clear" w:color="auto" w:fill="auto"/>
            <w:vAlign w:val="center"/>
          </w:tcPr>
          <w:p w14:paraId="6B1BC7D4">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便携式行为观察记录分析系统</w:t>
            </w:r>
          </w:p>
        </w:tc>
        <w:tc>
          <w:tcPr>
            <w:tcW w:w="571" w:type="pct"/>
            <w:shd w:val="clear" w:color="auto" w:fill="auto"/>
            <w:vAlign w:val="center"/>
          </w:tcPr>
          <w:p w14:paraId="23CDFDDD">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套</w:t>
            </w:r>
          </w:p>
        </w:tc>
        <w:tc>
          <w:tcPr>
            <w:tcW w:w="502" w:type="pct"/>
            <w:shd w:val="clear" w:color="auto" w:fill="auto"/>
            <w:vAlign w:val="center"/>
          </w:tcPr>
          <w:p w14:paraId="3090C5DA">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845" w:type="pct"/>
            <w:shd w:val="clear" w:color="auto" w:fill="auto"/>
            <w:vAlign w:val="center"/>
          </w:tcPr>
          <w:p w14:paraId="6C4F8112">
            <w:pPr>
              <w:jc w:val="center"/>
              <w:textAlignment w:val="center"/>
              <w:rPr>
                <w:rFonts w:hint="eastAsia" w:ascii="Times New Roman" w:hAnsi="Times New Roman" w:cs="Times New Roman" w:eastAsiaTheme="minorEastAsia"/>
                <w:b/>
                <w:bCs/>
                <w:color w:val="auto"/>
                <w:kern w:val="2"/>
                <w:sz w:val="21"/>
                <w:szCs w:val="21"/>
                <w:highlight w:val="none"/>
                <w:lang w:val="en-US" w:eastAsia="zh-CN" w:bidi="ar-SA"/>
              </w:rPr>
            </w:pPr>
            <w:r>
              <w:rPr>
                <w:rFonts w:ascii="Times New Roman" w:hAnsi="Times New Roman" w:cs="Times New Roman"/>
                <w:b/>
                <w:bCs/>
                <w:color w:val="auto"/>
                <w:sz w:val="21"/>
                <w:szCs w:val="21"/>
                <w:highlight w:val="none"/>
                <w:lang w:bidi="ar"/>
              </w:rPr>
              <w:t>60</w:t>
            </w:r>
            <w:r>
              <w:rPr>
                <w:rFonts w:hint="eastAsia" w:ascii="Times New Roman" w:hAnsi="Times New Roman" w:cs="Times New Roman"/>
                <w:b/>
                <w:bCs/>
                <w:color w:val="auto"/>
                <w:sz w:val="21"/>
                <w:szCs w:val="21"/>
                <w:highlight w:val="none"/>
                <w:lang w:bidi="ar"/>
              </w:rPr>
              <w:t>.00</w:t>
            </w:r>
          </w:p>
        </w:tc>
        <w:tc>
          <w:tcPr>
            <w:tcW w:w="845" w:type="pct"/>
            <w:vMerge w:val="continue"/>
            <w:shd w:val="clear" w:color="auto" w:fill="auto"/>
            <w:vAlign w:val="center"/>
          </w:tcPr>
          <w:p w14:paraId="3E99B126">
            <w:pPr>
              <w:jc w:val="center"/>
              <w:rPr>
                <w:rFonts w:hint="eastAsia" w:ascii="宋体" w:hAnsi="宋体" w:eastAsia="宋体" w:cs="宋体"/>
                <w:color w:val="auto"/>
                <w:szCs w:val="21"/>
                <w:highlight w:val="none"/>
              </w:rPr>
            </w:pPr>
          </w:p>
        </w:tc>
      </w:tr>
      <w:tr w14:paraId="00A6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shd w:val="clear" w:color="auto" w:fill="auto"/>
            <w:vAlign w:val="center"/>
          </w:tcPr>
          <w:p w14:paraId="587DBF82">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771" w:type="pct"/>
            <w:shd w:val="clear" w:color="auto" w:fill="auto"/>
            <w:vAlign w:val="center"/>
          </w:tcPr>
          <w:p w14:paraId="6B28BDAF">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视觉动态追踪系统</w:t>
            </w:r>
          </w:p>
        </w:tc>
        <w:tc>
          <w:tcPr>
            <w:tcW w:w="571" w:type="pct"/>
            <w:shd w:val="clear" w:color="auto" w:fill="auto"/>
            <w:vAlign w:val="center"/>
          </w:tcPr>
          <w:p w14:paraId="1501CC27">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套</w:t>
            </w:r>
          </w:p>
        </w:tc>
        <w:tc>
          <w:tcPr>
            <w:tcW w:w="502" w:type="pct"/>
            <w:shd w:val="clear" w:color="auto" w:fill="auto"/>
            <w:vAlign w:val="center"/>
          </w:tcPr>
          <w:p w14:paraId="0101A51A">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845" w:type="pct"/>
            <w:shd w:val="clear" w:color="auto" w:fill="auto"/>
            <w:vAlign w:val="center"/>
          </w:tcPr>
          <w:p w14:paraId="41DFF465">
            <w:pPr>
              <w:jc w:val="center"/>
              <w:textAlignment w:val="center"/>
              <w:rPr>
                <w:rFonts w:hint="eastAsia" w:ascii="Times New Roman" w:hAnsi="Times New Roman" w:cs="Times New Roman" w:eastAsiaTheme="minorEastAsia"/>
                <w:b/>
                <w:bCs/>
                <w:color w:val="auto"/>
                <w:kern w:val="2"/>
                <w:sz w:val="21"/>
                <w:szCs w:val="21"/>
                <w:highlight w:val="none"/>
                <w:lang w:val="en-US" w:eastAsia="zh-CN" w:bidi="ar-SA"/>
              </w:rPr>
            </w:pPr>
            <w:r>
              <w:rPr>
                <w:rFonts w:ascii="Times New Roman" w:hAnsi="Times New Roman" w:cs="Times New Roman"/>
                <w:b/>
                <w:bCs/>
                <w:color w:val="auto"/>
                <w:sz w:val="21"/>
                <w:szCs w:val="21"/>
                <w:highlight w:val="none"/>
                <w:lang w:bidi="ar"/>
              </w:rPr>
              <w:t>60</w:t>
            </w:r>
            <w:r>
              <w:rPr>
                <w:rFonts w:hint="eastAsia" w:ascii="Times New Roman" w:hAnsi="Times New Roman" w:cs="Times New Roman"/>
                <w:b/>
                <w:bCs/>
                <w:color w:val="auto"/>
                <w:sz w:val="21"/>
                <w:szCs w:val="21"/>
                <w:highlight w:val="none"/>
                <w:lang w:bidi="ar"/>
              </w:rPr>
              <w:t>.00</w:t>
            </w:r>
          </w:p>
        </w:tc>
        <w:tc>
          <w:tcPr>
            <w:tcW w:w="845" w:type="pct"/>
            <w:vMerge w:val="continue"/>
            <w:shd w:val="clear" w:color="auto" w:fill="auto"/>
            <w:vAlign w:val="center"/>
          </w:tcPr>
          <w:p w14:paraId="7B85EB0C">
            <w:pPr>
              <w:jc w:val="center"/>
              <w:rPr>
                <w:rFonts w:hint="eastAsia" w:ascii="宋体" w:hAnsi="宋体" w:eastAsia="宋体" w:cs="宋体"/>
                <w:color w:val="auto"/>
                <w:szCs w:val="21"/>
                <w:highlight w:val="none"/>
              </w:rPr>
            </w:pPr>
          </w:p>
        </w:tc>
      </w:tr>
      <w:tr w14:paraId="5EE7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2" w:type="pct"/>
            <w:shd w:val="clear" w:color="auto" w:fill="auto"/>
            <w:vAlign w:val="center"/>
          </w:tcPr>
          <w:p w14:paraId="7C9CC112">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1771" w:type="pct"/>
            <w:shd w:val="clear" w:color="auto" w:fill="auto"/>
            <w:vAlign w:val="center"/>
          </w:tcPr>
          <w:p w14:paraId="24A7C6B7">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遥测式生理信号采集分析系统</w:t>
            </w:r>
          </w:p>
        </w:tc>
        <w:tc>
          <w:tcPr>
            <w:tcW w:w="571" w:type="pct"/>
            <w:shd w:val="clear" w:color="auto" w:fill="auto"/>
            <w:vAlign w:val="center"/>
          </w:tcPr>
          <w:p w14:paraId="537F1D64">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套</w:t>
            </w:r>
          </w:p>
        </w:tc>
        <w:tc>
          <w:tcPr>
            <w:tcW w:w="502" w:type="pct"/>
            <w:shd w:val="clear" w:color="auto" w:fill="auto"/>
            <w:vAlign w:val="center"/>
          </w:tcPr>
          <w:p w14:paraId="4E976709">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845" w:type="pct"/>
            <w:shd w:val="clear" w:color="auto" w:fill="auto"/>
            <w:vAlign w:val="center"/>
          </w:tcPr>
          <w:p w14:paraId="76DCBD6B">
            <w:pPr>
              <w:jc w:val="center"/>
              <w:textAlignment w:val="center"/>
              <w:rPr>
                <w:rFonts w:hint="eastAsia" w:ascii="Times New Roman" w:hAnsi="Times New Roman" w:cs="Times New Roman" w:eastAsiaTheme="minorEastAsia"/>
                <w:b/>
                <w:bCs/>
                <w:color w:val="auto"/>
                <w:kern w:val="2"/>
                <w:sz w:val="21"/>
                <w:szCs w:val="21"/>
                <w:highlight w:val="none"/>
                <w:lang w:val="en-US" w:eastAsia="zh-CN" w:bidi="ar-SA"/>
              </w:rPr>
            </w:pPr>
            <w:r>
              <w:rPr>
                <w:rFonts w:ascii="Times New Roman" w:hAnsi="Times New Roman" w:cs="Times New Roman"/>
                <w:b/>
                <w:bCs/>
                <w:color w:val="auto"/>
                <w:sz w:val="21"/>
                <w:szCs w:val="21"/>
                <w:highlight w:val="none"/>
                <w:lang w:bidi="ar"/>
              </w:rPr>
              <w:t>70</w:t>
            </w:r>
            <w:r>
              <w:rPr>
                <w:rFonts w:hint="eastAsia" w:ascii="Times New Roman" w:hAnsi="Times New Roman" w:cs="Times New Roman"/>
                <w:b/>
                <w:bCs/>
                <w:color w:val="auto"/>
                <w:sz w:val="21"/>
                <w:szCs w:val="21"/>
                <w:highlight w:val="none"/>
                <w:lang w:bidi="ar"/>
              </w:rPr>
              <w:t>.00</w:t>
            </w:r>
          </w:p>
        </w:tc>
        <w:tc>
          <w:tcPr>
            <w:tcW w:w="845" w:type="pct"/>
            <w:vMerge w:val="continue"/>
            <w:shd w:val="clear" w:color="auto" w:fill="auto"/>
            <w:vAlign w:val="center"/>
          </w:tcPr>
          <w:p w14:paraId="08398E93">
            <w:pPr>
              <w:jc w:val="center"/>
              <w:rPr>
                <w:rFonts w:hint="eastAsia" w:ascii="宋体" w:hAnsi="宋体" w:eastAsia="宋体" w:cs="宋体"/>
                <w:color w:val="auto"/>
                <w:szCs w:val="21"/>
                <w:highlight w:val="none"/>
              </w:rPr>
            </w:pPr>
          </w:p>
        </w:tc>
      </w:tr>
    </w:tbl>
    <w:p w14:paraId="21B0B458">
      <w:pPr>
        <w:adjustRightInd w:val="0"/>
        <w:snapToGrid w:val="0"/>
        <w:spacing w:line="288" w:lineRule="auto"/>
        <w:rPr>
          <w:rFonts w:hint="eastAsia" w:ascii="宋体" w:hAnsi="宋体" w:eastAsia="宋体" w:cs="宋体"/>
          <w:b/>
          <w:bCs/>
          <w:color w:val="auto"/>
          <w:szCs w:val="21"/>
          <w:highlight w:val="none"/>
        </w:rPr>
      </w:pPr>
    </w:p>
    <w:p w14:paraId="2BE79593">
      <w:pPr>
        <w:adjustRightInd w:val="0"/>
        <w:snapToGrid w:val="0"/>
        <w:spacing w:line="288" w:lineRule="auto"/>
        <w:rPr>
          <w:rFonts w:hint="eastAsia" w:ascii="宋体" w:hAnsi="宋体" w:eastAsia="宋体" w:cs="Times New Roman"/>
          <w:b/>
          <w:bCs/>
          <w:color w:val="auto"/>
          <w:spacing w:val="-4"/>
          <w:szCs w:val="21"/>
          <w:highlight w:val="none"/>
        </w:rPr>
      </w:pPr>
      <w:r>
        <w:rPr>
          <w:rFonts w:hint="eastAsia" w:ascii="宋体" w:hAnsi="宋体" w:eastAsia="宋体" w:cs="Times New Roman"/>
          <w:b/>
          <w:bCs/>
          <w:color w:val="auto"/>
          <w:spacing w:val="-4"/>
          <w:szCs w:val="21"/>
          <w:highlight w:val="none"/>
        </w:rPr>
        <w:t>4</w:t>
      </w:r>
      <w:r>
        <w:rPr>
          <w:rFonts w:ascii="宋体" w:hAnsi="宋体" w:eastAsia="宋体" w:cs="Times New Roman"/>
          <w:b/>
          <w:bCs/>
          <w:color w:val="auto"/>
          <w:spacing w:val="-4"/>
          <w:szCs w:val="21"/>
          <w:highlight w:val="none"/>
        </w:rPr>
        <w:t>.</w:t>
      </w:r>
      <w:r>
        <w:rPr>
          <w:rFonts w:hint="eastAsia" w:ascii="宋体" w:hAnsi="宋体" w:eastAsia="宋体" w:cs="Times New Roman"/>
          <w:b/>
          <w:bCs/>
          <w:color w:val="auto"/>
          <w:spacing w:val="-4"/>
          <w:szCs w:val="21"/>
          <w:highlight w:val="none"/>
        </w:rPr>
        <w:t>需满足的质量、安全、技术规格、物理特性等要求：</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945"/>
        <w:gridCol w:w="7568"/>
        <w:gridCol w:w="585"/>
      </w:tblGrid>
      <w:tr w14:paraId="5B0F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6E62028A">
            <w:pPr>
              <w:spacing w:line="288" w:lineRule="auto"/>
              <w:jc w:val="left"/>
              <w:rPr>
                <w:rFonts w:hint="eastAsia" w:ascii="宋体" w:hAnsi="宋体" w:eastAsia="宋体" w:cs="宋体"/>
                <w:color w:val="auto"/>
                <w:szCs w:val="21"/>
                <w:highlight w:val="none"/>
              </w:rPr>
            </w:pPr>
            <w:bookmarkStart w:id="40" w:name="_Hlk179442287"/>
            <w:bookmarkStart w:id="41" w:name="_Hlk179442382"/>
            <w:r>
              <w:rPr>
                <w:rFonts w:hint="eastAsia" w:ascii="宋体" w:hAnsi="宋体" w:eastAsia="宋体" w:cs="宋体"/>
                <w:b/>
                <w:color w:val="auto"/>
                <w:szCs w:val="21"/>
                <w:highlight w:val="none"/>
              </w:rPr>
              <w:t>序号</w:t>
            </w:r>
          </w:p>
        </w:tc>
        <w:tc>
          <w:tcPr>
            <w:tcW w:w="491" w:type="pct"/>
            <w:vAlign w:val="center"/>
          </w:tcPr>
          <w:p w14:paraId="410855AE">
            <w:pPr>
              <w:spacing w:line="288"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货物名称</w:t>
            </w:r>
          </w:p>
        </w:tc>
        <w:tc>
          <w:tcPr>
            <w:tcW w:w="3930" w:type="pct"/>
            <w:vAlign w:val="center"/>
          </w:tcPr>
          <w:p w14:paraId="77CBBD43">
            <w:pPr>
              <w:spacing w:line="288" w:lineRule="auto"/>
              <w:ind w:firstLine="422"/>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货物的技术参数及具体配置等</w:t>
            </w:r>
          </w:p>
        </w:tc>
        <w:tc>
          <w:tcPr>
            <w:tcW w:w="304" w:type="pct"/>
            <w:vAlign w:val="center"/>
          </w:tcPr>
          <w:p w14:paraId="5E28B75D">
            <w:pPr>
              <w:spacing w:line="288"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数量</w:t>
            </w:r>
          </w:p>
        </w:tc>
      </w:tr>
      <w:tr w14:paraId="57C1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7418FC2C">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91" w:type="pct"/>
            <w:shd w:val="clear" w:color="auto" w:fill="auto"/>
            <w:vAlign w:val="center"/>
          </w:tcPr>
          <w:p w14:paraId="7D8F236F">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超模态行为洞察平台</w:t>
            </w:r>
          </w:p>
        </w:tc>
        <w:tc>
          <w:tcPr>
            <w:tcW w:w="3930" w:type="pct"/>
            <w:vAlign w:val="center"/>
          </w:tcPr>
          <w:p w14:paraId="774F5879">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功能要求：可以为深度解析和理解复杂人类行为提供一种尖端的综合性技术解决方案，具有但不限于全面行为解析、时空行为统计、多维度行为关联、高效科研管理等功能。</w:t>
            </w:r>
          </w:p>
          <w:p w14:paraId="3A02239A">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硬件的配置：能够提供足够的计算能力和图形处理性能，保障超模态行为洞察平台开展复杂的数据处理和分析，有更强的扩展性和更高的性能，保障数据的安全性、可靠性以及高效访问；能够实时观察和记录和收集实验对象的行为模式；能够确保平台数据在各个设备间高效流通。</w:t>
            </w:r>
          </w:p>
          <w:p w14:paraId="7F1C9858">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该平台需要集成高端的数据采集、处理与分析功能，通过融合多元化的数据模态，如视频、音频、生理信号监测、眼动追踪、面部表情分析、脑电波（EEG）以及其它行为传感数据，可为研究者提供一个全方位、多层次的行为研究环境。</w:t>
            </w:r>
          </w:p>
          <w:p w14:paraId="070D5A2A">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具体包括但不限于以下四个模块：</w:t>
            </w:r>
          </w:p>
          <w:p w14:paraId="2648A9D8">
            <w:p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（1）行为编码模块</w:t>
            </w:r>
          </w:p>
          <w:p w14:paraId="4CA879DE">
            <w:pPr>
              <w:widowControl/>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第一，采用服务器架构，同时对不少于两位被试进行数据采集，并通过实时同步功能将数据集中存储在服务器上，可对于多端输入设备信号、视频采集装置实现实时监控</w:t>
            </w:r>
            <w:r>
              <w:rPr>
                <w:rFonts w:hint="eastAsia" w:ascii="宋体" w:hAnsi="宋体" w:eastAsia="宋体" w:cs="宋体"/>
                <w:color w:val="auto"/>
                <w:szCs w:val="21"/>
                <w:highlight w:val="none"/>
              </w:rPr>
              <w:t>。</w:t>
            </w:r>
          </w:p>
          <w:p w14:paraId="76580E8A">
            <w:pPr>
              <w:widowControl/>
              <w:adjustRightInd w:val="0"/>
              <w:spacing w:line="288" w:lineRule="auto"/>
              <w:ind w:firstLine="420" w:firstLineChars="200"/>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rPr>
              <w:t>第二，支持局域网内查看访问数据，可将所有数据进行同步回放</w:t>
            </w:r>
            <w:r>
              <w:rPr>
                <w:rFonts w:hint="eastAsia" w:ascii="宋体" w:hAnsi="宋体" w:eastAsia="宋体" w:cs="宋体"/>
                <w:color w:val="auto"/>
                <w:szCs w:val="21"/>
                <w:highlight w:val="none"/>
                <w:lang w:eastAsia="zh"/>
              </w:rPr>
              <w:t>。</w:t>
            </w:r>
          </w:p>
          <w:p w14:paraId="2B32BC9E">
            <w:pPr>
              <w:widowControl/>
              <w:adjustRightInd w:val="0"/>
              <w:spacing w:line="288"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第三，系统应配备可视化界面</w:t>
            </w:r>
            <w:r>
              <w:rPr>
                <w:rFonts w:hint="eastAsia" w:ascii="宋体" w:hAnsi="宋体" w:eastAsia="宋体" w:cs="宋体"/>
                <w:b/>
                <w:bCs/>
                <w:color w:val="auto"/>
                <w:szCs w:val="21"/>
                <w:highlight w:val="none"/>
                <w:lang w:eastAsia="zh"/>
              </w:rPr>
              <w:t>，</w:t>
            </w:r>
            <w:r>
              <w:rPr>
                <w:rFonts w:hint="eastAsia" w:ascii="宋体" w:hAnsi="宋体" w:eastAsia="宋体" w:cs="宋体"/>
                <w:b/>
                <w:bCs/>
                <w:color w:val="auto"/>
                <w:szCs w:val="21"/>
                <w:highlight w:val="none"/>
              </w:rPr>
              <w:t>通过</w:t>
            </w:r>
            <w:r>
              <w:rPr>
                <w:rFonts w:hint="eastAsia" w:ascii="宋体" w:hAnsi="宋体" w:eastAsia="宋体" w:cs="宋体"/>
                <w:b/>
                <w:bCs/>
                <w:color w:val="auto"/>
                <w:szCs w:val="21"/>
                <w:highlight w:val="none"/>
                <w:lang w:eastAsia="zh"/>
              </w:rPr>
              <w:t>如</w:t>
            </w:r>
            <w:r>
              <w:rPr>
                <w:rFonts w:hint="eastAsia" w:ascii="宋体" w:hAnsi="宋体" w:eastAsia="宋体" w:cs="宋体"/>
                <w:b/>
                <w:bCs/>
                <w:color w:val="auto"/>
                <w:szCs w:val="21"/>
                <w:highlight w:val="none"/>
              </w:rPr>
              <w:t>事件日志、图形时间轴联动展示等展现形式（需要演示</w:t>
            </w:r>
            <w:r>
              <w:rPr>
                <w:rFonts w:hint="eastAsia" w:ascii="宋体" w:hAnsi="宋体" w:eastAsia="宋体" w:cs="宋体"/>
                <w:b/>
                <w:bCs/>
                <w:color w:val="auto"/>
                <w:szCs w:val="21"/>
                <w:highlight w:val="none"/>
                <w:lang w:eastAsia="zh"/>
              </w:rPr>
              <w:t>1</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，辅助用户对已标记事件进行查阅和分析。</w:t>
            </w:r>
          </w:p>
          <w:p w14:paraId="547AD63C">
            <w:pPr>
              <w:widowControl/>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第四，系统应支持用户将采集的数据进行分类，并根据研究需求自定义新的行为模态类别。</w:t>
            </w:r>
          </w:p>
          <w:p w14:paraId="077997AA">
            <w:pPr>
              <w:widowControl/>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第五，系统应具备导入/导出编码结果的能力（例如支持导出CSV或ODX等其他格式数据），可将数据发送到其他行为编码软件或第三方分析软件分析，便于后续的数据管理和分析。（需要演示</w:t>
            </w:r>
            <w:r>
              <w:rPr>
                <w:rFonts w:hint="eastAsia" w:ascii="宋体" w:hAnsi="宋体" w:eastAsia="宋体" w:cs="宋体"/>
                <w:b/>
                <w:bCs/>
                <w:color w:val="auto"/>
                <w:szCs w:val="21"/>
                <w:highlight w:val="none"/>
                <w:lang w:eastAsia="zh"/>
              </w:rPr>
              <w:t>2</w:t>
            </w:r>
            <w:r>
              <w:rPr>
                <w:rFonts w:hint="eastAsia" w:ascii="宋体" w:hAnsi="宋体" w:eastAsia="宋体" w:cs="宋体"/>
                <w:b/>
                <w:bCs/>
                <w:color w:val="auto"/>
                <w:szCs w:val="21"/>
                <w:highlight w:val="none"/>
              </w:rPr>
              <w:t>）</w:t>
            </w:r>
          </w:p>
          <w:p w14:paraId="5EBBFC65">
            <w:p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（2）生理电导反应模块</w:t>
            </w:r>
          </w:p>
          <w:p w14:paraId="6CCE8BE6">
            <w:pPr>
              <w:numPr>
                <w:ilvl w:val="255"/>
                <w:numId w:val="0"/>
              </w:num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第一，系统需要集成高精度的生理传感器，用于测量皮肤电导反应（EDA/GSR）、</w:t>
            </w:r>
            <w:r>
              <w:rPr>
                <w:rFonts w:hint="eastAsia" w:ascii="宋体" w:hAnsi="宋体" w:eastAsia="宋体" w:cs="宋体"/>
                <w:bCs/>
                <w:color w:val="auto"/>
                <w:szCs w:val="21"/>
                <w:highlight w:val="none"/>
              </w:rPr>
              <w:t>肌电、皮肤电阻心电等生理数据。支持采样范围为10k-4.7MΩ(.2uS–100uS)+/-10%.22k-680kΩ(1.5-45uS)+/-3%，频率范围为DC-15.9Hz，</w:t>
            </w:r>
            <w:r>
              <w:rPr>
                <w:rFonts w:hint="eastAsia" w:ascii="宋体" w:hAnsi="宋体" w:eastAsia="宋体" w:cs="宋体"/>
                <w:color w:val="auto"/>
                <w:szCs w:val="21"/>
                <w:highlight w:val="none"/>
              </w:rPr>
              <w:t>以准确反映个体的自主神经系统活动。</w:t>
            </w:r>
          </w:p>
          <w:p w14:paraId="4AD9F542">
            <w:pPr>
              <w:numPr>
                <w:ilvl w:val="255"/>
                <w:numId w:val="0"/>
              </w:num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第二，系统应实现生理信号的实时采集与存储，确保数据的完整性和可靠性。</w:t>
            </w:r>
          </w:p>
          <w:p w14:paraId="26A2C4D0">
            <w:pPr>
              <w:numPr>
                <w:ilvl w:val="255"/>
                <w:numId w:val="0"/>
              </w:num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第三，系统应提供可视化工具，如趋势图，以直观展示生理反应的变化。（需要演示3）</w:t>
            </w:r>
          </w:p>
          <w:p w14:paraId="4D651F40">
            <w:pPr>
              <w:numPr>
                <w:ilvl w:val="255"/>
                <w:numId w:val="0"/>
              </w:num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第四，系统需要支持与行为编码模块的数据联动，标识出特定行为发生时的生理反应变化。（需要演示4）</w:t>
            </w:r>
          </w:p>
          <w:p w14:paraId="3B6CC33A">
            <w:pPr>
              <w:numPr>
                <w:ilvl w:val="255"/>
                <w:numId w:val="0"/>
              </w:num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（3）视动采集模块</w:t>
            </w:r>
          </w:p>
          <w:p w14:paraId="568A4DE7">
            <w:pPr>
              <w:numPr>
                <w:ilvl w:val="255"/>
                <w:numId w:val="0"/>
              </w:num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第一，系统应配备基于视频的瞳孔-角膜反射式眼动追踪技术，明瞳和暗瞳追踪结合的眼动追踪设备，单传感器双眼采集，能够准确测量视线位置，瞳孔直径和眼睛在三维空间中的位置。精确度</w:t>
            </w:r>
            <w:r>
              <w:rPr>
                <w:rFonts w:hint="eastAsia" w:ascii="宋体" w:hAnsi="宋体" w:eastAsia="宋体" w:cs="宋体"/>
                <w:color w:val="auto"/>
                <w:szCs w:val="21"/>
                <w:highlight w:val="none"/>
                <w:lang w:eastAsia="zh"/>
              </w:rPr>
              <w:t>≥</w:t>
            </w:r>
            <w:r>
              <w:rPr>
                <w:rFonts w:hint="eastAsia" w:ascii="宋体" w:hAnsi="宋体" w:eastAsia="宋体" w:cs="宋体"/>
                <w:bCs/>
                <w:color w:val="auto"/>
                <w:szCs w:val="21"/>
                <w:highlight w:val="none"/>
              </w:rPr>
              <w:t>0.2</w:t>
            </w:r>
            <w:r>
              <w:rPr>
                <w:rFonts w:hint="eastAsia" w:ascii="宋体" w:hAnsi="宋体" w:eastAsia="宋体" w:cs="宋体"/>
                <w:bCs/>
                <w:color w:val="auto"/>
                <w:szCs w:val="21"/>
                <w:highlight w:val="none"/>
                <w:lang w:eastAsia="zh"/>
              </w:rPr>
              <w:t>5</w:t>
            </w:r>
            <w:r>
              <w:rPr>
                <w:rFonts w:hint="eastAsia" w:ascii="宋体" w:hAnsi="宋体" w:eastAsia="宋体" w:cs="宋体"/>
                <w:bCs/>
                <w:color w:val="auto"/>
                <w:szCs w:val="21"/>
                <w:highlight w:val="none"/>
              </w:rPr>
              <w:t>°RMS，采样率≥60Hz，眨眼补偿时间不超过1帧(即时)，准确度≥0.45°，注视恢复时间≥50ms，</w:t>
            </w:r>
            <w:r>
              <w:rPr>
                <w:rFonts w:hint="eastAsia" w:ascii="宋体" w:hAnsi="宋体" w:eastAsia="宋体" w:cs="宋体"/>
                <w:color w:val="auto"/>
                <w:szCs w:val="21"/>
                <w:highlight w:val="none"/>
              </w:rPr>
              <w:t>以准确捕捉参与者的视觉行为和动态特征。</w:t>
            </w:r>
          </w:p>
          <w:p w14:paraId="12DB7BD9">
            <w:pPr>
              <w:numPr>
                <w:ilvl w:val="255"/>
                <w:numId w:val="0"/>
              </w:num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第二，系统提供眼动注视点位、瞳孔直径、眼跳。以帮助分析受试者的注意力分布及认知负荷。（需要演示5）</w:t>
            </w:r>
          </w:p>
          <w:p w14:paraId="092B0103">
            <w:pPr>
              <w:numPr>
                <w:ilvl w:val="255"/>
                <w:numId w:val="0"/>
              </w:num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第三，系统应提供可视化工具，如趋势图，以直观展示生理反应的变化。（需要演示6）</w:t>
            </w:r>
          </w:p>
          <w:p w14:paraId="51D28703">
            <w:p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（4）心理情绪分析模块（需要演示7）</w:t>
            </w:r>
          </w:p>
          <w:p w14:paraId="14925D67">
            <w:p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第一，系统应自动进行情绪识别，通过摄像机捕捉被试面部，软件识别建模后分析面部表情（喜、怒、哀、乐、惊、惧、中性）基本表情及困惑、无趣、感兴趣等情绪，采集后所得数据支持实时可视化呈现。</w:t>
            </w:r>
          </w:p>
          <w:p w14:paraId="4E15EDB1">
            <w:p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第二，系统应提供情绪强度的量化指标，以客观评估情绪变化的程度。</w:t>
            </w:r>
          </w:p>
          <w:p w14:paraId="3A4C7EC3">
            <w:p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第三，系统应具备同时获取不少于2人的表情数据，并支持将分析结果与行为数据和眼动、生理数据进行关联分析的功能，以满足模拟提案实验中的多人实时数据采集。</w:t>
            </w:r>
          </w:p>
          <w:p w14:paraId="23A7C20D">
            <w:pPr>
              <w:adjustRightInd w:val="0"/>
              <w:spacing w:line="288"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需要配备以下相关组件（包括但不限于）：</w:t>
            </w:r>
          </w:p>
          <w:p w14:paraId="75CC43F0">
            <w:pPr>
              <w:adjustRightInd w:val="0"/>
              <w:spacing w:line="288" w:lineRule="auto"/>
              <w:ind w:firstLine="422" w:firstLineChars="200"/>
              <w:rPr>
                <w:rFonts w:hint="eastAsia" w:ascii="宋体" w:hAnsi="宋体" w:eastAsia="宋体" w:cs="宋体"/>
                <w:color w:val="auto"/>
                <w:szCs w:val="21"/>
                <w:highlight w:val="none"/>
              </w:rPr>
            </w:pPr>
            <w:r>
              <w:rPr>
                <w:rStyle w:val="109"/>
                <w:rFonts w:hint="eastAsia" w:ascii="宋体" w:hAnsi="宋体" w:eastAsia="宋体" w:cs="宋体"/>
                <w:color w:val="auto"/>
                <w:szCs w:val="21"/>
                <w:highlight w:val="none"/>
                <w:lang w:bidi="ar"/>
              </w:rPr>
              <w:t>（1）专用台式工作站（3台）</w:t>
            </w:r>
          </w:p>
          <w:p w14:paraId="38573883">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处理器：配置不低于Intel Alder Lake系列或AMD Ryzen Threadripper系列处理器，至少16核心，以确保高负载下多任务并行处理能力。</w:t>
            </w:r>
          </w:p>
          <w:p w14:paraId="051FC9D8">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内存：至少64GB ECC DDR4 RAM，保证大数据处理和复杂算法运行的流畅性。</w:t>
            </w:r>
          </w:p>
          <w:p w14:paraId="2F8F0530">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存储：NVMe SSD系统盘，容量不低于1TB，外加至少1TB的高速固态硬盘或RAID阵列，用于存储大量实验数据和快取加速。</w:t>
            </w:r>
          </w:p>
          <w:p w14:paraId="1CC6D23D">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显卡：NVIDIA RTX系列专业显卡，如RTX A4000或以上，支持CUDA并行计算，加速图像处理与机器学习算法的运算速度。</w:t>
            </w:r>
          </w:p>
          <w:p w14:paraId="127C32CC">
            <w:pPr>
              <w:adjustRightInd w:val="0"/>
              <w:spacing w:line="288" w:lineRule="auto"/>
              <w:ind w:firstLine="420" w:firstLineChars="200"/>
              <w:rPr>
                <w:rFonts w:hint="eastAsia" w:ascii="宋体" w:hAnsi="宋体" w:eastAsia="宋体" w:cs="宋体"/>
                <w:color w:val="auto"/>
                <w:szCs w:val="21"/>
                <w:highlight w:val="none"/>
                <w:lang w:bidi="ar"/>
              </w:rPr>
            </w:pPr>
            <w:r>
              <w:rPr>
                <w:rStyle w:val="109"/>
                <w:rFonts w:hint="eastAsia" w:ascii="宋体" w:hAnsi="宋体" w:eastAsia="宋体" w:cs="宋体"/>
                <w:b w:val="0"/>
                <w:bCs/>
                <w:color w:val="auto"/>
                <w:szCs w:val="21"/>
                <w:highlight w:val="none"/>
                <w:lang w:bidi="ar"/>
              </w:rPr>
              <w:t>操作系统与软件兼容性：</w:t>
            </w:r>
            <w:r>
              <w:rPr>
                <w:rFonts w:hint="eastAsia" w:ascii="宋体" w:hAnsi="宋体" w:eastAsia="宋体" w:cs="宋体"/>
                <w:color w:val="auto"/>
                <w:szCs w:val="21"/>
                <w:highlight w:val="none"/>
                <w:lang w:bidi="ar"/>
              </w:rPr>
              <w:t>支持正版Windows 10及以上版本、Linux（Ubuntu、CentOS等）或</w:t>
            </w:r>
            <w:r>
              <w:rPr>
                <w:rFonts w:hint="eastAsia" w:ascii="宋体" w:hAnsi="宋体" w:eastAsia="宋体" w:cs="宋体"/>
                <w:color w:val="auto"/>
                <w:szCs w:val="21"/>
                <w:highlight w:val="none"/>
              </w:rPr>
              <w:t>国产</w:t>
            </w:r>
            <w:r>
              <w:rPr>
                <w:rFonts w:hint="eastAsia" w:ascii="宋体" w:hAnsi="宋体" w:eastAsia="宋体" w:cs="宋体"/>
                <w:color w:val="auto"/>
                <w:szCs w:val="21"/>
                <w:highlight w:val="none"/>
                <w:lang w:bidi="ar"/>
              </w:rPr>
              <w:t>操作系统，确保与常用行为分析软件及深度学习框架的兼容性。</w:t>
            </w:r>
          </w:p>
          <w:p w14:paraId="41B57E45">
            <w:pPr>
              <w:adjustRightInd w:val="0"/>
              <w:spacing w:line="288" w:lineRule="auto"/>
              <w:ind w:firstLine="420" w:firstLineChars="200"/>
              <w:rPr>
                <w:rStyle w:val="109"/>
                <w:rFonts w:hint="eastAsia" w:ascii="宋体" w:hAnsi="宋体" w:eastAsia="宋体" w:cs="宋体"/>
                <w:b w:val="0"/>
                <w:color w:val="auto"/>
                <w:szCs w:val="21"/>
                <w:highlight w:val="none"/>
                <w:lang w:bidi="ar"/>
              </w:rPr>
            </w:pPr>
            <w:r>
              <w:rPr>
                <w:rStyle w:val="109"/>
                <w:rFonts w:hint="eastAsia" w:ascii="宋体" w:hAnsi="宋体" w:eastAsia="宋体" w:cs="宋体"/>
                <w:b w:val="0"/>
                <w:color w:val="auto"/>
                <w:szCs w:val="21"/>
                <w:highlight w:val="none"/>
                <w:lang w:bidi="ar"/>
              </w:rPr>
              <w:t>显示屏：尺寸≥27寸，分辨率≥1920x1080</w:t>
            </w:r>
            <w:r>
              <w:rPr>
                <w:rStyle w:val="109"/>
                <w:rFonts w:hint="eastAsia" w:ascii="宋体" w:hAnsi="宋体" w:eastAsia="宋体" w:cs="宋体"/>
                <w:b w:val="0"/>
                <w:color w:val="auto"/>
                <w:szCs w:val="21"/>
                <w:highlight w:val="none"/>
                <w:lang w:eastAsia="zh" w:bidi="ar"/>
              </w:rPr>
              <w:t>，</w:t>
            </w:r>
            <w:r>
              <w:rPr>
                <w:rStyle w:val="109"/>
                <w:rFonts w:hint="eastAsia" w:ascii="宋体" w:hAnsi="宋体" w:eastAsia="宋体" w:cs="宋体"/>
                <w:b w:val="0"/>
                <w:color w:val="auto"/>
                <w:szCs w:val="21"/>
                <w:highlight w:val="none"/>
                <w:lang w:bidi="ar"/>
              </w:rPr>
              <w:t>高清显示屏，IPS面板，刷新率≥60Hz，至少包含HDMI, DisplayPort，以及USB-C接口以适应不同设备连接。</w:t>
            </w:r>
          </w:p>
          <w:p w14:paraId="6ABA05D0">
            <w:pPr>
              <w:adjustRightIn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w:t>
            </w:r>
            <w:r>
              <w:rPr>
                <w:rFonts w:hint="eastAsia" w:ascii="宋体" w:hAnsi="宋体" w:eastAsia="宋体" w:cs="宋体"/>
                <w:b/>
                <w:bCs/>
                <w:color w:val="auto"/>
                <w:szCs w:val="21"/>
                <w:highlight w:val="none"/>
                <w:lang w:eastAsia="zh" w:bidi="ar"/>
              </w:rPr>
              <w:t>2</w:t>
            </w:r>
            <w:r>
              <w:rPr>
                <w:rFonts w:hint="eastAsia" w:ascii="宋体" w:hAnsi="宋体" w:eastAsia="宋体" w:cs="宋体"/>
                <w:b/>
                <w:bCs/>
                <w:color w:val="auto"/>
                <w:szCs w:val="21"/>
                <w:highlight w:val="none"/>
                <w:lang w:bidi="ar"/>
              </w:rPr>
              <w:t>）塔式</w:t>
            </w:r>
            <w:r>
              <w:rPr>
                <w:rFonts w:hint="eastAsia" w:ascii="宋体" w:hAnsi="宋体" w:eastAsia="宋体" w:cs="宋体"/>
                <w:b/>
                <w:bCs/>
                <w:color w:val="auto"/>
                <w:szCs w:val="21"/>
                <w:highlight w:val="none"/>
                <w:lang w:eastAsia="zh" w:bidi="ar"/>
              </w:rPr>
              <w:t>工作站</w:t>
            </w:r>
            <w:r>
              <w:rPr>
                <w:rFonts w:hint="eastAsia" w:ascii="宋体" w:hAnsi="宋体" w:eastAsia="宋体" w:cs="宋体"/>
                <w:b/>
                <w:bCs/>
                <w:color w:val="auto"/>
                <w:szCs w:val="21"/>
                <w:highlight w:val="none"/>
                <w:lang w:bidi="ar"/>
              </w:rPr>
              <w:t>（1台）</w:t>
            </w:r>
          </w:p>
          <w:p w14:paraId="7D7DFA37">
            <w:pPr>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操作系统：支持正版Windows 10及以上版本、Linux（Ubuntu、CentOS等）或国产操作系统。</w:t>
            </w:r>
          </w:p>
          <w:p w14:paraId="64F50145">
            <w:pPr>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处理器：至少2个Xeon 4208 2.1GHz 及以上型号CPU。</w:t>
            </w:r>
          </w:p>
          <w:p w14:paraId="263EA67C">
            <w:pPr>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内存：不低于128GB ECC RAM。</w:t>
            </w:r>
          </w:p>
          <w:p w14:paraId="4C85A489">
            <w:pPr>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系统盘：不低于1TB NvMe固态硬盘。</w:t>
            </w:r>
          </w:p>
          <w:p w14:paraId="3E05EC2B">
            <w:pPr>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存储盘：不低于2TB NvMe固态硬盘。</w:t>
            </w:r>
          </w:p>
          <w:p w14:paraId="044203A5">
            <w:pPr>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嵌入式网卡：至少1 个 1GbE LOM。</w:t>
            </w:r>
          </w:p>
          <w:p w14:paraId="73927222">
            <w:pPr>
              <w:spacing w:line="288"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端口：包含至少2个USB2.0、至少2个USB3.0、至少1个iDRAC Direct (Micro-AB USB)、至少1个专用 iDRAC (RJ45)端口、至少1个VGA端口，至少2个以太网端口。</w:t>
            </w:r>
          </w:p>
          <w:p w14:paraId="54316E19">
            <w:pPr>
              <w:spacing w:line="288"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显示屏：≥27英寸，分辨率≥1920x1080高清显示屏，包含多种接口以适应不同设备连接。</w:t>
            </w:r>
          </w:p>
          <w:p w14:paraId="075996B8">
            <w:pPr>
              <w:spacing w:line="288"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鼠标：支持有线或蓝牙/2.4GHz连接。</w:t>
            </w:r>
          </w:p>
          <w:p w14:paraId="12F7B7F6">
            <w:pPr>
              <w:spacing w:line="288"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键盘：全尺寸104键键盘，支持有线或蓝牙/2.4GHz连接</w:t>
            </w:r>
          </w:p>
          <w:p w14:paraId="445904CD">
            <w:pPr>
              <w:spacing w:line="288" w:lineRule="auto"/>
              <w:ind w:firstLine="422" w:firstLineChars="200"/>
              <w:jc w:val="left"/>
              <w:rPr>
                <w:rStyle w:val="109"/>
                <w:rFonts w:hint="eastAsia" w:ascii="宋体" w:hAnsi="宋体" w:eastAsia="宋体" w:cs="宋体"/>
                <w:bCs/>
                <w:color w:val="auto"/>
                <w:szCs w:val="21"/>
                <w:highlight w:val="none"/>
                <w:lang w:eastAsia="zh"/>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
              </w:rPr>
              <w:t>3</w:t>
            </w:r>
            <w:r>
              <w:rPr>
                <w:rFonts w:hint="eastAsia" w:ascii="宋体" w:hAnsi="宋体" w:eastAsia="宋体" w:cs="宋体"/>
                <w:b/>
                <w:bCs/>
                <w:color w:val="auto"/>
                <w:szCs w:val="21"/>
                <w:highlight w:val="none"/>
              </w:rPr>
              <w:t>）</w:t>
            </w:r>
            <w:r>
              <w:rPr>
                <w:rStyle w:val="109"/>
                <w:rFonts w:hint="eastAsia" w:ascii="宋体" w:hAnsi="宋体" w:eastAsia="宋体" w:cs="宋体"/>
                <w:bCs/>
                <w:color w:val="auto"/>
                <w:szCs w:val="21"/>
                <w:highlight w:val="none"/>
              </w:rPr>
              <w:t xml:space="preserve">USB摄像头 </w:t>
            </w:r>
            <w:r>
              <w:rPr>
                <w:rStyle w:val="109"/>
                <w:rFonts w:hint="eastAsia" w:ascii="宋体" w:hAnsi="宋体" w:eastAsia="宋体" w:cs="宋体"/>
                <w:bCs/>
                <w:color w:val="auto"/>
                <w:szCs w:val="21"/>
                <w:highlight w:val="none"/>
                <w:lang w:eastAsia="zh"/>
              </w:rPr>
              <w:t>（</w:t>
            </w:r>
            <w:r>
              <w:rPr>
                <w:rStyle w:val="109"/>
                <w:rFonts w:hint="eastAsia" w:ascii="宋体" w:hAnsi="宋体" w:eastAsia="宋体" w:cs="宋体"/>
                <w:bCs/>
                <w:color w:val="auto"/>
                <w:szCs w:val="21"/>
                <w:highlight w:val="none"/>
              </w:rPr>
              <w:t>2个</w:t>
            </w:r>
            <w:r>
              <w:rPr>
                <w:rStyle w:val="109"/>
                <w:rFonts w:hint="eastAsia" w:ascii="宋体" w:hAnsi="宋体" w:eastAsia="宋体" w:cs="宋体"/>
                <w:bCs/>
                <w:color w:val="auto"/>
                <w:szCs w:val="21"/>
                <w:highlight w:val="none"/>
                <w:lang w:eastAsia="zh"/>
              </w:rPr>
              <w:t>）</w:t>
            </w:r>
          </w:p>
          <w:p w14:paraId="2619FB4D">
            <w:pPr>
              <w:pStyle w:val="101"/>
              <w:spacing w:line="288" w:lineRule="auto"/>
              <w:ind w:left="0"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内置记录镜头视角不小于75°；高清视频分辨率不低于4K；内置音频采集模块，自带麦克风；音频响频范围：100Hz-18 KHz；采用免驱USB接口，支持即插即用。</w:t>
            </w:r>
          </w:p>
          <w:p w14:paraId="4DCA6FBF">
            <w:pPr>
              <w:spacing w:line="288"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
              </w:rPr>
              <w:t>4</w:t>
            </w:r>
            <w:r>
              <w:rPr>
                <w:rFonts w:hint="eastAsia" w:ascii="宋体" w:hAnsi="宋体" w:eastAsia="宋体" w:cs="宋体"/>
                <w:b/>
                <w:color w:val="auto"/>
                <w:szCs w:val="21"/>
                <w:highlight w:val="none"/>
              </w:rPr>
              <w:t>）网络交换机（1台）</w:t>
            </w:r>
          </w:p>
          <w:p w14:paraId="6A2DC3C2">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端口配置：至少含24个10/100/1000Mbps自适应电口，以及至少2个10G 信号数据口，实配不少于2个10G SFP+多模光纤接口，支持PoE+（以太网供电）功能，以便为网络摄像头或其他IP终端设备供电。</w:t>
            </w:r>
          </w:p>
        </w:tc>
        <w:tc>
          <w:tcPr>
            <w:tcW w:w="304" w:type="pct"/>
            <w:vAlign w:val="center"/>
          </w:tcPr>
          <w:p w14:paraId="78BBCD5A">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r>
      <w:bookmarkEnd w:id="40"/>
      <w:tr w14:paraId="10AA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47BE21D2">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91" w:type="pct"/>
            <w:shd w:val="clear" w:color="auto" w:fill="auto"/>
            <w:vAlign w:val="center"/>
          </w:tcPr>
          <w:p w14:paraId="64244F5A">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便携式行为观察记录分析系统</w:t>
            </w:r>
          </w:p>
        </w:tc>
        <w:tc>
          <w:tcPr>
            <w:tcW w:w="3930" w:type="pct"/>
            <w:vAlign w:val="center"/>
          </w:tcPr>
          <w:p w14:paraId="60051645">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功能要求：可以为专业收集、分析和演示观察数据提供一个综合行为事件记录系统，具有但不限于可扩展性、操作简单等性能。</w:t>
            </w:r>
          </w:p>
          <w:p w14:paraId="3E344875">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硬件的配置：能够提供动态环境画面稳定记录的功能，保障真实实验场景的数据采集工作正常展开；能够将视频信号转换为数字信号，保障数据的储存与分析；能够处理大量的行为观察数据，支持实时数据处理和分析，可保障便携式行为观察记录分析系统开展实时的场景数据分析；能够确保行为观察记录分析系统和相关设备在运输和移动过程中不受损害。</w:t>
            </w:r>
          </w:p>
          <w:p w14:paraId="76CC7FDA">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该系统需要支持一个研究项目的整个工作流，具体包括实验设置，设计编码方案、数据采集、数据分析和演示，需根据工作流程同步配置</w:t>
            </w:r>
          </w:p>
          <w:p w14:paraId="1E51B5C0">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具体包括但不限于以下功能模块：</w:t>
            </w:r>
          </w:p>
          <w:p w14:paraId="3FB63B6D">
            <w:pPr>
              <w:adjustRightInd w:val="0"/>
              <w:spacing w:line="288" w:lineRule="auto"/>
              <w:ind w:left="420" w:firstLine="59" w:firstLineChars="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（1）行为分析系统软件（1套）</w:t>
            </w:r>
          </w:p>
          <w:p w14:paraId="4D1292AC">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
              </w:rPr>
              <w:t>功能：统计</w:t>
            </w:r>
            <w:r>
              <w:rPr>
                <w:rFonts w:hint="eastAsia" w:ascii="宋体" w:hAnsi="宋体" w:eastAsia="宋体" w:cs="宋体"/>
                <w:bCs/>
                <w:color w:val="auto"/>
                <w:szCs w:val="21"/>
                <w:highlight w:val="none"/>
              </w:rPr>
              <w:t>分析被试</w:t>
            </w:r>
            <w:r>
              <w:rPr>
                <w:rFonts w:hint="eastAsia" w:ascii="宋体" w:hAnsi="宋体" w:eastAsia="宋体" w:cs="宋体"/>
                <w:bCs/>
                <w:color w:val="auto"/>
                <w:szCs w:val="21"/>
                <w:highlight w:val="none"/>
                <w:lang w:eastAsia="zh"/>
              </w:rPr>
              <w:t>者</w:t>
            </w:r>
            <w:r>
              <w:rPr>
                <w:rFonts w:hint="eastAsia" w:ascii="宋体" w:hAnsi="宋体" w:eastAsia="宋体" w:cs="宋体"/>
                <w:bCs/>
                <w:color w:val="auto"/>
                <w:szCs w:val="21"/>
                <w:highlight w:val="none"/>
              </w:rPr>
              <w:t>的人机交互等各种行为</w:t>
            </w:r>
            <w:r>
              <w:rPr>
                <w:rFonts w:hint="eastAsia" w:ascii="宋体" w:hAnsi="宋体" w:eastAsia="宋体" w:cs="宋体"/>
                <w:bCs/>
                <w:color w:val="auto"/>
                <w:szCs w:val="21"/>
                <w:highlight w:val="none"/>
                <w:lang w:eastAsia="zh"/>
              </w:rPr>
              <w:t>的发生时刻、发生次数和持续时间</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并实现</w:t>
            </w:r>
            <w:r>
              <w:rPr>
                <w:rFonts w:hint="eastAsia" w:ascii="宋体" w:hAnsi="宋体" w:eastAsia="宋体" w:cs="宋体"/>
                <w:bCs/>
                <w:color w:val="auto"/>
                <w:szCs w:val="21"/>
                <w:highlight w:val="none"/>
              </w:rPr>
              <w:t>对设备或网站操作过程中关键行为步骤的编码、记录和分析</w:t>
            </w:r>
            <w:r>
              <w:rPr>
                <w:rFonts w:hint="eastAsia" w:ascii="宋体" w:hAnsi="宋体" w:eastAsia="宋体" w:cs="宋体"/>
                <w:bCs/>
                <w:color w:val="auto"/>
                <w:szCs w:val="21"/>
                <w:highlight w:val="none"/>
                <w:lang w:eastAsia="zh"/>
              </w:rPr>
              <w:t>。具体包括以下三个模块：</w:t>
            </w:r>
          </w:p>
          <w:p w14:paraId="5C91B4A9">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①视频处理模块</w:t>
            </w:r>
          </w:p>
          <w:p w14:paraId="5CCCB1FA">
            <w:pPr>
              <w:numPr>
                <w:ilvl w:val="255"/>
                <w:numId w:val="0"/>
              </w:num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
              </w:rPr>
              <w:t>第一，系统应</w:t>
            </w:r>
            <w:r>
              <w:rPr>
                <w:rFonts w:hint="eastAsia" w:ascii="宋体" w:hAnsi="宋体" w:eastAsia="宋体" w:cs="宋体"/>
                <w:bCs/>
                <w:color w:val="auto"/>
                <w:szCs w:val="21"/>
                <w:highlight w:val="none"/>
              </w:rPr>
              <w:t>具备同时播放和独立录制多路视频的能力。</w:t>
            </w:r>
          </w:p>
          <w:p w14:paraId="33D4A3F4">
            <w:pPr>
              <w:numPr>
                <w:ilvl w:val="255"/>
                <w:numId w:val="0"/>
              </w:num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
              </w:rPr>
              <w:t>第二，视频回放应支持变速调节，具备</w:t>
            </w:r>
            <w:r>
              <w:rPr>
                <w:rFonts w:hint="eastAsia" w:ascii="宋体" w:hAnsi="宋体" w:eastAsia="宋体" w:cs="宋体"/>
                <w:bCs/>
                <w:color w:val="auto"/>
                <w:szCs w:val="21"/>
                <w:highlight w:val="none"/>
              </w:rPr>
              <w:t>倍速播放、精确快进/倒退功能，支持实时和离线观看模式。</w:t>
            </w:r>
          </w:p>
          <w:p w14:paraId="7FA2A333">
            <w:pPr>
              <w:numPr>
                <w:ilvl w:val="255"/>
                <w:numId w:val="0"/>
              </w:num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
              </w:rPr>
              <w:t>第三，系统需要</w:t>
            </w:r>
            <w:r>
              <w:rPr>
                <w:rFonts w:hint="eastAsia" w:ascii="宋体" w:hAnsi="宋体" w:eastAsia="宋体" w:cs="宋体"/>
                <w:bCs/>
                <w:color w:val="auto"/>
                <w:szCs w:val="21"/>
                <w:highlight w:val="none"/>
              </w:rPr>
              <w:t>兼容多种视频格式，可自动保存并按日期时间排序所有音视频内容。此外，系统还需整合对具有PTZ功能摄像机的远程操控功能，能录制来自摄像机内置或外接麦克风的声音。</w:t>
            </w:r>
          </w:p>
          <w:p w14:paraId="1D5BDA62">
            <w:pPr>
              <w:adjustRightInd w:val="0"/>
              <w:spacing w:line="288" w:lineRule="auto"/>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②行为编码模块</w:t>
            </w:r>
          </w:p>
          <w:p w14:paraId="67D5A902">
            <w:pPr>
              <w:numPr>
                <w:ilvl w:val="0"/>
                <w:numId w:val="2"/>
              </w:num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系统</w:t>
            </w:r>
            <w:r>
              <w:rPr>
                <w:rFonts w:hint="eastAsia" w:ascii="宋体" w:hAnsi="宋体" w:eastAsia="宋体" w:cs="宋体"/>
                <w:bCs/>
                <w:color w:val="auto"/>
                <w:szCs w:val="21"/>
                <w:highlight w:val="none"/>
                <w:lang w:eastAsia="zh"/>
              </w:rPr>
              <w:t>需要</w:t>
            </w:r>
            <w:r>
              <w:rPr>
                <w:rFonts w:hint="eastAsia" w:ascii="宋体" w:hAnsi="宋体" w:eastAsia="宋体" w:cs="宋体"/>
                <w:bCs/>
                <w:color w:val="auto"/>
                <w:szCs w:val="21"/>
                <w:highlight w:val="none"/>
              </w:rPr>
              <w:t>支持创建行为编码</w:t>
            </w:r>
            <w:r>
              <w:rPr>
                <w:rFonts w:hint="eastAsia" w:ascii="宋体" w:hAnsi="宋体" w:eastAsia="宋体" w:cs="宋体"/>
                <w:bCs/>
                <w:color w:val="auto"/>
                <w:szCs w:val="21"/>
                <w:highlight w:val="none"/>
                <w:lang w:eastAsia="zh"/>
              </w:rPr>
              <w:t>，以便</w:t>
            </w:r>
            <w:r>
              <w:rPr>
                <w:rFonts w:hint="eastAsia" w:ascii="宋体" w:hAnsi="宋体" w:eastAsia="宋体" w:cs="宋体"/>
                <w:bCs/>
                <w:color w:val="auto"/>
                <w:szCs w:val="21"/>
                <w:highlight w:val="none"/>
              </w:rPr>
              <w:t>对视频中被试的行为进行</w:t>
            </w:r>
            <w:r>
              <w:rPr>
                <w:rFonts w:hint="eastAsia" w:ascii="宋体" w:hAnsi="宋体" w:eastAsia="宋体" w:cs="宋体"/>
                <w:bCs/>
                <w:color w:val="auto"/>
                <w:szCs w:val="21"/>
                <w:highlight w:val="none"/>
                <w:lang w:eastAsia="zh"/>
              </w:rPr>
              <w:t>精准</w:t>
            </w:r>
            <w:r>
              <w:rPr>
                <w:rFonts w:hint="eastAsia" w:ascii="宋体" w:hAnsi="宋体" w:eastAsia="宋体" w:cs="宋体"/>
                <w:bCs/>
                <w:color w:val="auto"/>
                <w:szCs w:val="21"/>
                <w:highlight w:val="none"/>
              </w:rPr>
              <w:t>注释。</w:t>
            </w:r>
          </w:p>
          <w:p w14:paraId="0AC18F8A">
            <w:pPr>
              <w:numPr>
                <w:ilvl w:val="255"/>
                <w:numId w:val="0"/>
              </w:numPr>
              <w:adjustRightInd w:val="0"/>
              <w:spacing w:line="288" w:lineRule="auto"/>
              <w:ind w:firstLine="422" w:firstLineChars="200"/>
              <w:rPr>
                <w:rFonts w:hint="eastAsia" w:ascii="宋体" w:hAnsi="宋体" w:eastAsia="宋体" w:cs="宋体"/>
                <w:b/>
                <w:bCs/>
                <w:color w:val="auto"/>
                <w:szCs w:val="21"/>
                <w:highlight w:val="none"/>
                <w:lang w:eastAsia="zh"/>
              </w:rPr>
            </w:pPr>
            <w:r>
              <w:rPr>
                <w:rFonts w:hint="eastAsia" w:ascii="宋体" w:hAnsi="宋体" w:eastAsia="宋体" w:cs="宋体"/>
                <w:b/>
                <w:bCs/>
                <w:color w:val="auto"/>
                <w:szCs w:val="21"/>
                <w:highlight w:val="none"/>
                <w:lang w:eastAsia="zh"/>
              </w:rPr>
              <w:t>第二，</w:t>
            </w:r>
            <w:r>
              <w:rPr>
                <w:rFonts w:hint="eastAsia" w:ascii="宋体" w:hAnsi="宋体" w:eastAsia="宋体" w:cs="宋体"/>
                <w:b/>
                <w:bCs/>
                <w:color w:val="auto"/>
                <w:szCs w:val="21"/>
                <w:highlight w:val="none"/>
              </w:rPr>
              <w:t>数据采样机制需灵活多样，囊括连续采样、瞬时采样及两者混合模式</w:t>
            </w:r>
            <w:r>
              <w:rPr>
                <w:rFonts w:hint="eastAsia" w:ascii="宋体" w:hAnsi="宋体" w:eastAsia="宋体" w:cs="宋体"/>
                <w:b/>
                <w:bCs/>
                <w:color w:val="auto"/>
                <w:szCs w:val="21"/>
                <w:highlight w:val="none"/>
                <w:lang w:eastAsia="zh"/>
              </w:rPr>
              <w:t>，</w:t>
            </w:r>
            <w:r>
              <w:rPr>
                <w:rFonts w:hint="eastAsia" w:ascii="宋体" w:hAnsi="宋体" w:eastAsia="宋体" w:cs="宋体"/>
                <w:b/>
                <w:bCs/>
                <w:color w:val="auto"/>
                <w:szCs w:val="21"/>
                <w:highlight w:val="none"/>
              </w:rPr>
              <w:t>并借助可视化界面</w:t>
            </w:r>
            <w:r>
              <w:rPr>
                <w:rFonts w:hint="eastAsia" w:ascii="宋体" w:hAnsi="宋体" w:eastAsia="宋体" w:cs="宋体"/>
                <w:b/>
                <w:bCs/>
                <w:color w:val="auto"/>
                <w:szCs w:val="21"/>
                <w:highlight w:val="none"/>
                <w:lang w:eastAsia="zh"/>
              </w:rPr>
              <w:t>，如</w:t>
            </w:r>
            <w:r>
              <w:rPr>
                <w:rFonts w:hint="eastAsia" w:ascii="宋体" w:hAnsi="宋体" w:eastAsia="宋体" w:cs="宋体"/>
                <w:b/>
                <w:bCs/>
                <w:color w:val="auto"/>
                <w:szCs w:val="21"/>
                <w:highlight w:val="none"/>
              </w:rPr>
              <w:t>事件日志</w:t>
            </w:r>
            <w:r>
              <w:rPr>
                <w:rFonts w:hint="eastAsia" w:ascii="宋体" w:hAnsi="宋体" w:eastAsia="宋体" w:cs="宋体"/>
                <w:b/>
                <w:bCs/>
                <w:color w:val="auto"/>
                <w:szCs w:val="21"/>
                <w:highlight w:val="none"/>
                <w:lang w:eastAsia="zh"/>
              </w:rPr>
              <w:t>和</w:t>
            </w:r>
            <w:r>
              <w:rPr>
                <w:rFonts w:hint="eastAsia" w:ascii="宋体" w:hAnsi="宋体" w:eastAsia="宋体" w:cs="宋体"/>
                <w:b/>
                <w:bCs/>
                <w:color w:val="auto"/>
                <w:szCs w:val="21"/>
                <w:highlight w:val="none"/>
              </w:rPr>
              <w:t>图形时间轴联动展示，方便对已标记事件进行查阅和分析，并具备uASQ实时调查问卷功能、uLog记录鼠标键盘操作功能。（需要演示8）</w:t>
            </w:r>
          </w:p>
          <w:p w14:paraId="3EAC647E">
            <w:pPr>
              <w:adjustRightInd w:val="0"/>
              <w:spacing w:line="288" w:lineRule="auto"/>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③行为统计分析模块</w:t>
            </w:r>
          </w:p>
          <w:p w14:paraId="76981AEC">
            <w:pPr>
              <w:adjustRightInd w:val="0"/>
              <w:spacing w:line="288" w:lineRule="auto"/>
              <w:ind w:firstLine="420" w:firstLineChars="20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lang w:eastAsia="zh"/>
              </w:rPr>
              <w:t>系统应当集成行为数据统计与分析功能，针对编码后的数据进行深度统计和解析，计算各项关键指标，如发生次数、持续时间范围（最短、最长、平均）、总时长、标准偏差、标准误差、频率（每分钟发生的次数）、占比以及潜伏期等。</w:t>
            </w:r>
          </w:p>
          <w:p w14:paraId="444DD82E">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上模块的设计主要是为了实现对多路视频源的高效管理和分析，其中多通道视频模块侧重于视频的录制、回放、控制等功能；行为编码模块负责行为标注及可视化；而行为数据分析统计模块则用于对编码后的行为数据进行深度挖掘和量化分析。同时，整个系统</w:t>
            </w:r>
            <w:r>
              <w:rPr>
                <w:rFonts w:hint="eastAsia" w:ascii="宋体" w:hAnsi="宋体" w:eastAsia="宋体" w:cs="宋体"/>
                <w:bCs/>
                <w:color w:val="auto"/>
                <w:szCs w:val="21"/>
                <w:highlight w:val="none"/>
                <w:lang w:eastAsia="zh"/>
              </w:rPr>
              <w:t>需要保障</w:t>
            </w:r>
            <w:r>
              <w:rPr>
                <w:rFonts w:hint="eastAsia" w:ascii="宋体" w:hAnsi="宋体" w:eastAsia="宋体" w:cs="宋体"/>
                <w:bCs/>
                <w:color w:val="auto"/>
                <w:szCs w:val="21"/>
                <w:highlight w:val="none"/>
              </w:rPr>
              <w:t>对个人信息的保护，确保在实验或研究过程中符合隐私保护的要求。</w:t>
            </w:r>
          </w:p>
          <w:p w14:paraId="796B2DB5">
            <w:pPr>
              <w:adjustRightInd w:val="0"/>
              <w:spacing w:line="288"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需要配备以下相关组件（包括但不限于）：</w:t>
            </w:r>
          </w:p>
          <w:p w14:paraId="1FC56028">
            <w:pPr>
              <w:adjustRightInd w:val="0"/>
              <w:spacing w:line="288" w:lineRule="auto"/>
              <w:ind w:firstLine="422" w:firstLineChars="200"/>
              <w:rPr>
                <w:rFonts w:hint="eastAsia" w:ascii="宋体" w:hAnsi="宋体" w:eastAsia="宋体" w:cs="宋体"/>
                <w:bCs/>
                <w:color w:val="auto"/>
                <w:szCs w:val="21"/>
                <w:highlight w:val="none"/>
                <w:lang w:eastAsia="zh"/>
              </w:rPr>
            </w:pPr>
            <w:r>
              <w:rPr>
                <w:rFonts w:hint="eastAsia" w:ascii="宋体" w:hAnsi="宋体" w:eastAsia="宋体" w:cs="宋体"/>
                <w:b/>
                <w:color w:val="auto"/>
                <w:szCs w:val="21"/>
                <w:highlight w:val="none"/>
              </w:rPr>
              <w:t>（1）便携式云台相机（2台）</w:t>
            </w:r>
          </w:p>
          <w:p w14:paraId="7206AB7B">
            <w:pPr>
              <w:numPr>
                <w:ilvl w:val="255"/>
                <w:numId w:val="0"/>
              </w:numPr>
              <w:adjustRightInd w:val="0"/>
              <w:spacing w:line="288" w:lineRule="auto"/>
              <w:ind w:left="59" w:leftChars="28"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
              </w:rPr>
              <w:t>第一，</w:t>
            </w:r>
            <w:r>
              <w:rPr>
                <w:rFonts w:hint="eastAsia" w:ascii="宋体" w:hAnsi="宋体" w:eastAsia="宋体" w:cs="宋体"/>
                <w:bCs/>
                <w:color w:val="auto"/>
                <w:szCs w:val="21"/>
                <w:highlight w:val="none"/>
                <w:lang w:eastAsia="zh"/>
              </w:rPr>
              <w:t>便携式云台相机应具备高清照片拍摄与视频录制功能，</w:t>
            </w:r>
            <w:r>
              <w:rPr>
                <w:rFonts w:hint="eastAsia" w:ascii="宋体" w:hAnsi="宋体" w:eastAsia="宋体" w:cs="宋体"/>
                <w:color w:val="auto"/>
                <w:szCs w:val="21"/>
                <w:highlight w:val="none"/>
              </w:rPr>
              <w:t>具备稳定的三轴机械增稳功能，确保在拍摄过程中能够提供平滑无抖动的画面。云台应支持俯仰、横滚和偏航三个维度的稳定控制。设备应具备良好的低光性能，ISO感光度不低于6400，并且能在低至1lux的光照条件下正常工作。</w:t>
            </w:r>
          </w:p>
          <w:p w14:paraId="04ED7C6E">
            <w:pPr>
              <w:numPr>
                <w:ilvl w:val="255"/>
                <w:numId w:val="0"/>
              </w:numPr>
              <w:adjustRightInd w:val="0"/>
              <w:spacing w:line="288" w:lineRule="auto"/>
              <w:ind w:left="59" w:leftChars="28"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
              </w:rPr>
              <w:t>第二，</w:t>
            </w:r>
            <w:r>
              <w:rPr>
                <w:rFonts w:hint="eastAsia" w:ascii="宋体" w:hAnsi="宋体" w:eastAsia="宋体" w:cs="宋体"/>
                <w:color w:val="auto"/>
                <w:szCs w:val="21"/>
                <w:highlight w:val="none"/>
              </w:rPr>
              <w:t>云台应具有不少于20小时的续航能力，并且支持快充技术，确保快速恢复电力。</w:t>
            </w:r>
          </w:p>
          <w:p w14:paraId="25CB4D6C">
            <w:pPr>
              <w:numPr>
                <w:ilvl w:val="255"/>
                <w:numId w:val="0"/>
              </w:numPr>
              <w:adjustRightInd w:val="0"/>
              <w:spacing w:line="288" w:lineRule="auto"/>
              <w:ind w:left="59" w:leftChars="28"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
              </w:rPr>
              <w:t>第三，</w:t>
            </w:r>
            <w:r>
              <w:rPr>
                <w:rFonts w:hint="eastAsia" w:ascii="宋体" w:hAnsi="宋体" w:eastAsia="宋体" w:cs="宋体"/>
                <w:color w:val="auto"/>
                <w:szCs w:val="21"/>
                <w:highlight w:val="none"/>
              </w:rPr>
              <w:t>云台设计应便于携带，重量不超过1.5公斤，且易于组装拆卸。</w:t>
            </w:r>
          </w:p>
          <w:p w14:paraId="0365EA53">
            <w:pPr>
              <w:numPr>
                <w:ilvl w:val="255"/>
                <w:numId w:val="0"/>
              </w:numPr>
              <w:adjustRightInd w:val="0"/>
              <w:spacing w:line="288" w:lineRule="auto"/>
              <w:ind w:left="59" w:leftChars="28"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eastAsia="zh"/>
              </w:rPr>
              <w:t>第四，</w:t>
            </w:r>
            <w:r>
              <w:rPr>
                <w:rFonts w:hint="eastAsia" w:ascii="宋体" w:hAnsi="宋体" w:eastAsia="宋体" w:cs="宋体"/>
                <w:color w:val="auto"/>
                <w:szCs w:val="21"/>
                <w:highlight w:val="none"/>
              </w:rPr>
              <w:t>云台应兼容主流品牌的摄像设备，并且提供通用接口适配器</w:t>
            </w:r>
            <w:r>
              <w:rPr>
                <w:rFonts w:hint="eastAsia" w:ascii="宋体" w:hAnsi="宋体" w:eastAsia="宋体" w:cs="宋体"/>
                <w:color w:val="auto"/>
                <w:szCs w:val="21"/>
                <w:highlight w:val="none"/>
                <w:lang w:eastAsia="zh"/>
              </w:rPr>
              <w:t>。</w:t>
            </w:r>
            <w:r>
              <w:rPr>
                <w:rFonts w:hint="eastAsia" w:ascii="宋体" w:hAnsi="宋体" w:eastAsia="宋体" w:cs="宋体"/>
                <w:color w:val="auto"/>
                <w:szCs w:val="21"/>
                <w:highlight w:val="none"/>
              </w:rPr>
              <w:t>每台云台均应配备充电器、备用电池以及便携式充电站，以确保不间断地使用。</w:t>
            </w:r>
          </w:p>
          <w:p w14:paraId="77DB2D91">
            <w:pPr>
              <w:adjustRightInd w:val="0"/>
              <w:spacing w:line="288" w:lineRule="auto"/>
              <w:ind w:left="420" w:firstLine="59" w:firstLineChars="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（2）数码视频采集设备（1套）</w:t>
            </w:r>
          </w:p>
          <w:p w14:paraId="2E701574">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第一，数码视频采集设备应具备高清视频录制功能，支持至少4K分辨率（3840×2160像素）的视频录制，并且支持H.264/H.265编码格式。设备应支持同时采集不少于4通路音视频信号，以满足多角度、多视角的录制需求。</w:t>
            </w:r>
          </w:p>
          <w:p w14:paraId="1CF3CDB2">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第二，设备应具备良好的低光性能，ISO感光度不低于6400，并且能在低至1lux的光照条件下正常工作。</w:t>
            </w:r>
          </w:p>
          <w:p w14:paraId="5026F53D">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第三，设备需要支持连续录制至少4小时，并且内置至少128GB的存储空间，支持SDXC卡扩展至1TB以上。录制出来的音视频文件应可以直接由行为观察分析软件打开进行行为分析。</w:t>
            </w:r>
          </w:p>
          <w:p w14:paraId="019AFB42">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第四，设备应配备可变焦镜头，焦距范围应在24mm至70mm之间，支持实时追踪和视频实时眼部对焦功能。</w:t>
            </w:r>
          </w:p>
          <w:p w14:paraId="31A5BB24">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第五，设备应具有良好的耐用性和防水防尘功能，IP等级应达到IP65标准，适用于各种户外环境。</w:t>
            </w:r>
          </w:p>
          <w:p w14:paraId="3E091558">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第六，设备应配备直观易用的操作界面，支持触摸屏操作，并且具有实体按键以方便快速设置和调整录制参数。</w:t>
            </w:r>
          </w:p>
          <w:p w14:paraId="7D8497F6">
            <w:pPr>
              <w:adjustRightInd w:val="0"/>
              <w:spacing w:line="288" w:lineRule="auto"/>
              <w:ind w:left="420" w:firstLine="59" w:firstLineChars="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（3）专用便携式工作站（1台）</w:t>
            </w:r>
          </w:p>
          <w:p w14:paraId="62C6A95B">
            <w:pPr>
              <w:adjustRightInd w:val="0"/>
              <w:spacing w:line="288"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w:t>
            </w:r>
            <w:r>
              <w:rPr>
                <w:rFonts w:hint="eastAsia" w:ascii="宋体" w:hAnsi="宋体" w:eastAsia="宋体" w:cs="宋体"/>
                <w:color w:val="auto"/>
                <w:szCs w:val="21"/>
                <w:highlight w:val="none"/>
                <w:lang w:bidi="ar"/>
              </w:rPr>
              <w:t>支持正版Windows 10及以上版本、Linux（Ubuntu、CentOS等）或</w:t>
            </w:r>
            <w:r>
              <w:rPr>
                <w:rFonts w:hint="eastAsia" w:ascii="宋体" w:hAnsi="宋体" w:eastAsia="宋体" w:cs="宋体"/>
                <w:color w:val="auto"/>
                <w:szCs w:val="21"/>
                <w:highlight w:val="none"/>
              </w:rPr>
              <w:t>国产</w:t>
            </w:r>
            <w:r>
              <w:rPr>
                <w:rFonts w:hint="eastAsia" w:ascii="宋体" w:hAnsi="宋体" w:eastAsia="宋体" w:cs="宋体"/>
                <w:color w:val="auto"/>
                <w:szCs w:val="21"/>
                <w:highlight w:val="none"/>
                <w:lang w:bidi="ar"/>
              </w:rPr>
              <w:t>操作系统</w:t>
            </w:r>
            <w:r>
              <w:rPr>
                <w:rFonts w:hint="eastAsia" w:ascii="宋体" w:hAnsi="宋体" w:eastAsia="宋体" w:cs="宋体"/>
                <w:color w:val="auto"/>
                <w:szCs w:val="21"/>
                <w:highlight w:val="none"/>
              </w:rPr>
              <w:t>，处理器Intel i7 13600H及以上，内存≥16G，显卡Nivdia独立显卡3060</w:t>
            </w:r>
            <w:r>
              <w:rPr>
                <w:rFonts w:hint="eastAsia" w:ascii="宋体" w:hAnsi="宋体" w:eastAsia="宋体" w:cs="宋体"/>
                <w:color w:val="auto"/>
                <w:szCs w:val="21"/>
                <w:highlight w:val="none"/>
                <w:lang w:eastAsia="zh"/>
              </w:rPr>
              <w:t>及</w:t>
            </w:r>
            <w:r>
              <w:rPr>
                <w:rFonts w:hint="eastAsia" w:ascii="宋体" w:hAnsi="宋体" w:eastAsia="宋体" w:cs="宋体"/>
                <w:color w:val="auto"/>
                <w:szCs w:val="21"/>
                <w:highlight w:val="none"/>
              </w:rPr>
              <w:t>以上，屏幕刷新率≥120Hz，分辨率≥2560*1600</w:t>
            </w:r>
            <w:r>
              <w:rPr>
                <w:rFonts w:hint="eastAsia" w:ascii="宋体" w:hAnsi="宋体" w:eastAsia="宋体" w:cs="宋体"/>
                <w:color w:val="auto"/>
                <w:szCs w:val="21"/>
                <w:highlight w:val="none"/>
                <w:lang w:eastAsia="zh"/>
              </w:rPr>
              <w:t>，</w:t>
            </w:r>
            <w:r>
              <w:rPr>
                <w:rStyle w:val="109"/>
                <w:rFonts w:hint="eastAsia" w:ascii="宋体" w:hAnsi="宋体" w:eastAsia="宋体" w:cs="宋体"/>
                <w:b w:val="0"/>
                <w:color w:val="auto"/>
                <w:szCs w:val="21"/>
                <w:highlight w:val="none"/>
                <w:lang w:bidi="ar"/>
              </w:rPr>
              <w:t>显示屏尺寸≥14英寸</w:t>
            </w:r>
            <w:r>
              <w:rPr>
                <w:rFonts w:hint="eastAsia" w:ascii="宋体" w:hAnsi="宋体" w:eastAsia="宋体" w:cs="宋体"/>
                <w:color w:val="auto"/>
                <w:szCs w:val="21"/>
                <w:highlight w:val="none"/>
              </w:rPr>
              <w:t>。</w:t>
            </w:r>
          </w:p>
          <w:p w14:paraId="7A5C04F6">
            <w:pPr>
              <w:adjustRightInd w:val="0"/>
              <w:spacing w:line="288"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第二，所有音视频和记录日志均应按日期和时间自动排序，并保存在预设的位置。操作面板应支持序贯分析，能够分析特定行为发生时，该行为的前后行为发生的频率。</w:t>
            </w:r>
          </w:p>
          <w:p w14:paraId="373749B4">
            <w:pPr>
              <w:adjustRightInd w:val="0"/>
              <w:spacing w:line="288"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第三，操作面板应支持可靠性分析，包括内部检验和外部检验。操作面板应能够在单一项目中添加</w:t>
            </w:r>
            <w:r>
              <w:rPr>
                <w:rFonts w:hint="eastAsia" w:ascii="宋体" w:hAnsi="宋体" w:eastAsia="宋体" w:cs="宋体"/>
                <w:color w:val="auto"/>
                <w:szCs w:val="21"/>
                <w:highlight w:val="none"/>
                <w:lang w:eastAsia="zh"/>
              </w:rPr>
              <w:t>不少于90</w:t>
            </w:r>
            <w:r>
              <w:rPr>
                <w:rFonts w:hint="eastAsia" w:ascii="宋体" w:hAnsi="宋体" w:eastAsia="宋体" w:cs="宋体"/>
                <w:color w:val="auto"/>
                <w:szCs w:val="21"/>
                <w:highlight w:val="none"/>
              </w:rPr>
              <w:t>个独立的变量进行精准的行为描述。</w:t>
            </w:r>
          </w:p>
          <w:p w14:paraId="5F134D70">
            <w:pPr>
              <w:adjustRightInd w:val="0"/>
              <w:spacing w:line="288"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（4）便携式防震航空箱（1套）</w:t>
            </w:r>
          </w:p>
          <w:p w14:paraId="028EB3BC">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第一，便携式防震航空箱应采用高强度聚碳酸酯材料制造，箱体厚度不少于3毫米，确保设备在运输过程中不受损坏。</w:t>
            </w:r>
          </w:p>
          <w:p w14:paraId="3791D1F2">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第二，箱子应具备良好的密封性能，</w:t>
            </w:r>
            <w:r>
              <w:rPr>
                <w:rFonts w:hint="eastAsia" w:ascii="宋体" w:hAnsi="宋体" w:eastAsia="宋体" w:cs="宋体"/>
                <w:color w:val="auto"/>
                <w:szCs w:val="21"/>
                <w:highlight w:val="none"/>
                <w:lang w:eastAsia="zh"/>
              </w:rPr>
              <w:t>防护等级不低于</w:t>
            </w:r>
            <w:r>
              <w:rPr>
                <w:rFonts w:hint="eastAsia" w:ascii="宋体" w:hAnsi="宋体" w:eastAsia="宋体" w:cs="宋体"/>
                <w:color w:val="auto"/>
                <w:szCs w:val="21"/>
                <w:highlight w:val="none"/>
              </w:rPr>
              <w:t>IP67，防止水和灰尘进入。</w:t>
            </w:r>
          </w:p>
          <w:p w14:paraId="702FEF8E">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第三，箱子内部应设计有定制的EVA泡沫隔层，能够根据设备形状定制，固定和保护设备免受冲击。</w:t>
            </w:r>
          </w:p>
          <w:p w14:paraId="7A0605BB">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第四，箱子应配备坚固的手柄和可伸缩拉杆，手柄应采用抗压材料，并且拉杆承重能力不少于20公斤。</w:t>
            </w:r>
          </w:p>
          <w:p w14:paraId="5416CD8B">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第五，箱子应具有双排滚轮设计，确保在平坦的地面上顺畅移动，并且滚轮应具备耐磨特性。</w:t>
            </w:r>
          </w:p>
          <w:p w14:paraId="09D83C05">
            <w:pPr>
              <w:adjustRightIn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第六，箱子应提供足够的空间，内部空间应满足存放至少1台便携式工作站，至少1台视频采集设备及组件电源等，并且能够轻松打开和关闭，配备高强度锁具。</w:t>
            </w:r>
          </w:p>
        </w:tc>
        <w:tc>
          <w:tcPr>
            <w:tcW w:w="304" w:type="pct"/>
            <w:vAlign w:val="center"/>
          </w:tcPr>
          <w:p w14:paraId="47833C38">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r>
      <w:tr w14:paraId="1CB1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6849A83E">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91" w:type="pct"/>
            <w:shd w:val="clear" w:color="auto" w:fill="auto"/>
            <w:vAlign w:val="center"/>
          </w:tcPr>
          <w:p w14:paraId="6CC837C0">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视觉动态追踪系统</w:t>
            </w:r>
          </w:p>
        </w:tc>
        <w:tc>
          <w:tcPr>
            <w:tcW w:w="3930" w:type="pct"/>
            <w:vAlign w:val="center"/>
          </w:tcPr>
          <w:p w14:paraId="580FA9CC">
            <w:pPr>
              <w:adjustRightInd w:val="0"/>
              <w:spacing w:line="288"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功能要求：可以测量呈现在任何面板上的刺激，如显示器，投影，或真实物体，提供一个对被试的无干扰数据采集方案，具有但不限于便携性、兼容性等性能。</w:t>
            </w:r>
          </w:p>
          <w:p w14:paraId="6BF1EA6C">
            <w:pPr>
              <w:adjustRightInd w:val="0"/>
              <w:spacing w:line="288"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通过硬件的配置：能够为数据采集提供计算能力、图像处理能力和移动能力，保障视觉动态追踪系统正常运转。</w:t>
            </w:r>
          </w:p>
          <w:p w14:paraId="3ABB1FFB">
            <w:pPr>
              <w:adjustRightInd w:val="0"/>
              <w:spacing w:line="288" w:lineRule="auto"/>
              <w:ind w:firstLine="420"/>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rPr>
              <w:t>具体包括但不限于以下功能模块：</w:t>
            </w:r>
          </w:p>
          <w:p w14:paraId="37C6A5A5">
            <w:pPr>
              <w:adjustRightInd w:val="0"/>
              <w:spacing w:line="288"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（1）头部穿戴式模块</w:t>
            </w:r>
          </w:p>
          <w:p w14:paraId="5ACD6D07">
            <w:pPr>
              <w:spacing w:line="288"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第一，系统应采用轻量化眼镜式设计，眼动核心部件集成于镜片中，确保佩戴舒适且不影响被试者的自然行为表现。对称式设计，兼容各类头盔和防护装备，确保在各种环境下都能正常使用。</w:t>
            </w:r>
          </w:p>
          <w:p w14:paraId="15DC8754">
            <w:pPr>
              <w:spacing w:line="288"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eastAsia="zh"/>
              </w:rPr>
              <w:t>二</w:t>
            </w:r>
            <w:r>
              <w:rPr>
                <w:rFonts w:hint="eastAsia" w:ascii="宋体" w:hAnsi="宋体" w:eastAsia="宋体" w:cs="宋体"/>
                <w:color w:val="auto"/>
                <w:szCs w:val="21"/>
                <w:highlight w:val="none"/>
              </w:rPr>
              <w:t>，配备场景摄像机，要求分辨率≥1920x1080@25fps，视野范围（对角线）≥10</w:t>
            </w:r>
            <w:r>
              <w:rPr>
                <w:rFonts w:hint="eastAsia" w:ascii="宋体" w:hAnsi="宋体" w:eastAsia="宋体" w:cs="宋体"/>
                <w:color w:val="auto"/>
                <w:szCs w:val="21"/>
                <w:highlight w:val="none"/>
                <w:lang w:eastAsia="zh"/>
              </w:rPr>
              <w:t>0</w:t>
            </w:r>
            <w:r>
              <w:rPr>
                <w:rFonts w:hint="eastAsia" w:ascii="宋体" w:hAnsi="宋体" w:eastAsia="宋体" w:cs="宋体"/>
                <w:color w:val="auto"/>
                <w:szCs w:val="21"/>
                <w:highlight w:val="none"/>
              </w:rPr>
              <w:t>度，确保高质量的视频录制效果。</w:t>
            </w:r>
          </w:p>
          <w:p w14:paraId="48405691">
            <w:pPr>
              <w:spacing w:line="288"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eastAsia="zh"/>
              </w:rPr>
              <w:t>三</w:t>
            </w:r>
            <w:r>
              <w:rPr>
                <w:rFonts w:hint="eastAsia" w:ascii="宋体" w:hAnsi="宋体" w:eastAsia="宋体" w:cs="宋体"/>
                <w:color w:val="auto"/>
                <w:szCs w:val="21"/>
                <w:highlight w:val="none"/>
              </w:rPr>
              <w:t>，配备眼动传感器</w:t>
            </w:r>
            <w:r>
              <w:rPr>
                <w:rFonts w:hint="eastAsia" w:ascii="宋体" w:hAnsi="宋体" w:eastAsia="宋体" w:cs="宋体"/>
                <w:color w:val="auto"/>
                <w:szCs w:val="21"/>
                <w:highlight w:val="none"/>
                <w:lang w:eastAsia="zh"/>
              </w:rPr>
              <w:t>至少</w:t>
            </w:r>
            <w:r>
              <w:rPr>
                <w:rFonts w:hint="eastAsia" w:ascii="宋体" w:hAnsi="宋体" w:eastAsia="宋体" w:cs="宋体"/>
                <w:color w:val="auto"/>
                <w:szCs w:val="21"/>
                <w:highlight w:val="none"/>
              </w:rPr>
              <w:t>4枚，每只眼睛2枚，镜片嵌入式，确保数据采集的准确性。</w:t>
            </w:r>
          </w:p>
          <w:p w14:paraId="6745C33A">
            <w:pPr>
              <w:spacing w:line="288"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eastAsia="zh"/>
              </w:rPr>
              <w:t>四</w:t>
            </w:r>
            <w:r>
              <w:rPr>
                <w:rFonts w:hint="eastAsia" w:ascii="宋体" w:hAnsi="宋体" w:eastAsia="宋体" w:cs="宋体"/>
                <w:color w:val="auto"/>
                <w:szCs w:val="21"/>
                <w:highlight w:val="none"/>
              </w:rPr>
              <w:t>，配备参照光源</w:t>
            </w:r>
            <w:r>
              <w:rPr>
                <w:rFonts w:hint="eastAsia" w:ascii="宋体" w:hAnsi="宋体" w:eastAsia="宋体" w:cs="宋体"/>
                <w:color w:val="auto"/>
                <w:szCs w:val="21"/>
                <w:highlight w:val="none"/>
                <w:lang w:eastAsia="zh"/>
              </w:rPr>
              <w:t>至少</w:t>
            </w:r>
            <w:r>
              <w:rPr>
                <w:rFonts w:hint="eastAsia" w:ascii="宋体" w:hAnsi="宋体" w:eastAsia="宋体" w:cs="宋体"/>
                <w:color w:val="auto"/>
                <w:szCs w:val="21"/>
                <w:highlight w:val="none"/>
              </w:rPr>
              <w:t>16枚，每只眼睛8枚，镜片嵌入式，提供充足的照明条件，以保证数据的可靠性。</w:t>
            </w:r>
          </w:p>
          <w:p w14:paraId="7A5F7E01">
            <w:pPr>
              <w:spacing w:line="288"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eastAsia="zh"/>
              </w:rPr>
              <w:t>五</w:t>
            </w:r>
            <w:r>
              <w:rPr>
                <w:rFonts w:hint="eastAsia" w:ascii="宋体" w:hAnsi="宋体" w:eastAsia="宋体" w:cs="宋体"/>
                <w:color w:val="auto"/>
                <w:szCs w:val="21"/>
                <w:highlight w:val="none"/>
              </w:rPr>
              <w:t>，系统支持实时数据传输，内置3.5mm TTL同步接口，可实现TTL、TCP/IP和NTP方式的数据同步，确保数据的一致性。</w:t>
            </w:r>
          </w:p>
          <w:p w14:paraId="3C71E8D2">
            <w:pPr>
              <w:spacing w:line="288"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w:t>
            </w:r>
            <w:r>
              <w:rPr>
                <w:rFonts w:hint="eastAsia" w:ascii="宋体" w:hAnsi="宋体" w:eastAsia="宋体" w:cs="宋体"/>
                <w:bCs/>
                <w:color w:val="auto"/>
                <w:szCs w:val="21"/>
                <w:highlight w:val="none"/>
                <w:lang w:eastAsia="zh"/>
              </w:rPr>
              <w:t>六</w:t>
            </w:r>
            <w:r>
              <w:rPr>
                <w:rFonts w:hint="eastAsia" w:ascii="宋体" w:hAnsi="宋体" w:eastAsia="宋体" w:cs="宋体"/>
                <w:bCs/>
                <w:color w:val="auto"/>
                <w:szCs w:val="21"/>
                <w:highlight w:val="none"/>
              </w:rPr>
              <w:t>，采样率≥50Hz，确保数据采集的准确性和实时性。</w:t>
            </w:r>
          </w:p>
          <w:p w14:paraId="78FD8EE3">
            <w:pPr>
              <w:spacing w:line="288"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w:t>
            </w:r>
            <w:r>
              <w:rPr>
                <w:rFonts w:hint="eastAsia" w:ascii="宋体" w:hAnsi="宋体" w:eastAsia="宋体" w:cs="宋体"/>
                <w:bCs/>
                <w:color w:val="auto"/>
                <w:szCs w:val="21"/>
                <w:highlight w:val="none"/>
                <w:lang w:eastAsia="zh"/>
              </w:rPr>
              <w:t>七</w:t>
            </w:r>
            <w:r>
              <w:rPr>
                <w:rFonts w:hint="eastAsia" w:ascii="宋体" w:hAnsi="宋体" w:eastAsia="宋体" w:cs="宋体"/>
                <w:bCs/>
                <w:color w:val="auto"/>
                <w:szCs w:val="21"/>
                <w:highlight w:val="none"/>
              </w:rPr>
              <w:t>，系统采用双眼采集方式，使用暗瞳技术，实现全视域追踪，以获得更全面的眼动数据。系统具备引导式一点定标功能，自动矫正平行视差，简化校准过程。</w:t>
            </w:r>
          </w:p>
          <w:p w14:paraId="325F890F">
            <w:pPr>
              <w:spacing w:line="288"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w:t>
            </w:r>
            <w:r>
              <w:rPr>
                <w:rFonts w:hint="eastAsia" w:ascii="宋体" w:hAnsi="宋体" w:eastAsia="宋体" w:cs="宋体"/>
                <w:bCs/>
                <w:color w:val="auto"/>
                <w:szCs w:val="21"/>
                <w:highlight w:val="none"/>
                <w:lang w:eastAsia="zh"/>
              </w:rPr>
              <w:t>八</w:t>
            </w:r>
            <w:r>
              <w:rPr>
                <w:rFonts w:hint="eastAsia" w:ascii="宋体" w:hAnsi="宋体" w:eastAsia="宋体" w:cs="宋体"/>
                <w:bCs/>
                <w:color w:val="auto"/>
                <w:szCs w:val="21"/>
                <w:highlight w:val="none"/>
              </w:rPr>
              <w:t>，系统提供快装式视力矫正镜片组，度数范围-5dpt.到+3dpt.</w:t>
            </w:r>
            <w:r>
              <w:rPr>
                <w:rFonts w:hint="eastAsia" w:ascii="宋体" w:hAnsi="宋体" w:eastAsia="宋体" w:cs="宋体"/>
                <w:bCs/>
                <w:color w:val="auto"/>
                <w:szCs w:val="21"/>
                <w:highlight w:val="none"/>
                <w:lang w:eastAsia="zh"/>
              </w:rPr>
              <w:t>之间</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
              </w:rPr>
              <w:t>要求至少</w:t>
            </w:r>
            <w:r>
              <w:rPr>
                <w:rFonts w:hint="eastAsia" w:ascii="宋体" w:hAnsi="宋体" w:eastAsia="宋体" w:cs="宋体"/>
                <w:bCs/>
                <w:color w:val="auto"/>
                <w:szCs w:val="21"/>
                <w:highlight w:val="none"/>
              </w:rPr>
              <w:t>每0.5 dpt一个梯度，左右眼可单独更换，以适应不同视力状况的被试者。</w:t>
            </w:r>
          </w:p>
          <w:p w14:paraId="1619E230">
            <w:pPr>
              <w:spacing w:line="288"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w:t>
            </w:r>
            <w:r>
              <w:rPr>
                <w:rFonts w:hint="eastAsia" w:ascii="宋体" w:hAnsi="宋体" w:eastAsia="宋体" w:cs="宋体"/>
                <w:bCs/>
                <w:color w:val="auto"/>
                <w:szCs w:val="21"/>
                <w:highlight w:val="none"/>
                <w:lang w:eastAsia="zh"/>
              </w:rPr>
              <w:t>九</w:t>
            </w:r>
            <w:r>
              <w:rPr>
                <w:rFonts w:hint="eastAsia" w:ascii="宋体" w:hAnsi="宋体" w:eastAsia="宋体" w:cs="宋体"/>
                <w:bCs/>
                <w:color w:val="auto"/>
                <w:szCs w:val="21"/>
                <w:highlight w:val="none"/>
              </w:rPr>
              <w:t>，采集软件</w:t>
            </w:r>
            <w:r>
              <w:rPr>
                <w:rFonts w:hint="eastAsia" w:ascii="宋体" w:hAnsi="宋体" w:eastAsia="宋体" w:cs="宋体"/>
                <w:bCs/>
                <w:color w:val="auto"/>
                <w:szCs w:val="21"/>
                <w:highlight w:val="none"/>
                <w:lang w:eastAsia="zh"/>
              </w:rPr>
              <w:t>需要</w:t>
            </w:r>
            <w:r>
              <w:rPr>
                <w:rFonts w:hint="eastAsia" w:ascii="宋体" w:hAnsi="宋体" w:eastAsia="宋体" w:cs="宋体"/>
                <w:bCs/>
                <w:color w:val="auto"/>
                <w:szCs w:val="21"/>
                <w:highlight w:val="none"/>
              </w:rPr>
              <w:t>支持安装在</w:t>
            </w:r>
            <w:r>
              <w:rPr>
                <w:rFonts w:hint="eastAsia" w:ascii="宋体" w:hAnsi="宋体" w:eastAsia="宋体" w:cs="宋体"/>
                <w:bCs/>
                <w:color w:val="auto"/>
                <w:szCs w:val="21"/>
                <w:highlight w:val="none"/>
                <w:lang w:eastAsia="zh"/>
              </w:rPr>
              <w:t>主流</w:t>
            </w:r>
            <w:r>
              <w:rPr>
                <w:rFonts w:hint="eastAsia" w:ascii="宋体" w:hAnsi="宋体" w:eastAsia="宋体" w:cs="宋体"/>
                <w:bCs/>
                <w:color w:val="auto"/>
                <w:szCs w:val="21"/>
                <w:highlight w:val="none"/>
              </w:rPr>
              <w:t>手机</w:t>
            </w:r>
            <w:r>
              <w:rPr>
                <w:rFonts w:hint="eastAsia" w:ascii="宋体" w:hAnsi="宋体" w:eastAsia="宋体" w:cs="宋体"/>
                <w:bCs/>
                <w:color w:val="auto"/>
                <w:szCs w:val="21"/>
                <w:highlight w:val="none"/>
                <w:lang w:eastAsia="zh"/>
              </w:rPr>
              <w:t>、</w:t>
            </w:r>
            <w:r>
              <w:rPr>
                <w:rFonts w:hint="eastAsia" w:ascii="宋体" w:hAnsi="宋体" w:eastAsia="宋体" w:cs="宋体"/>
                <w:bCs/>
                <w:color w:val="auto"/>
                <w:szCs w:val="21"/>
                <w:highlight w:val="none"/>
              </w:rPr>
              <w:t>平板</w:t>
            </w:r>
            <w:r>
              <w:rPr>
                <w:rFonts w:hint="eastAsia" w:ascii="宋体" w:hAnsi="宋体" w:eastAsia="宋体" w:cs="宋体"/>
                <w:bCs/>
                <w:color w:val="auto"/>
                <w:szCs w:val="21"/>
                <w:highlight w:val="none"/>
                <w:lang w:eastAsia="zh"/>
              </w:rPr>
              <w:t>端以及</w:t>
            </w:r>
            <w:r>
              <w:rPr>
                <w:rFonts w:hint="eastAsia" w:ascii="宋体" w:hAnsi="宋体" w:eastAsia="宋体" w:cs="宋体"/>
                <w:bCs/>
                <w:color w:val="auto"/>
                <w:szCs w:val="21"/>
                <w:highlight w:val="none"/>
              </w:rPr>
              <w:t>电脑</w:t>
            </w:r>
            <w:r>
              <w:rPr>
                <w:rFonts w:hint="eastAsia" w:ascii="宋体" w:hAnsi="宋体" w:eastAsia="宋体" w:cs="宋体"/>
                <w:bCs/>
                <w:color w:val="auto"/>
                <w:szCs w:val="21"/>
                <w:highlight w:val="none"/>
                <w:lang w:eastAsia="zh"/>
              </w:rPr>
              <w:t>端</w:t>
            </w:r>
            <w:r>
              <w:rPr>
                <w:rFonts w:hint="eastAsia" w:ascii="宋体" w:hAnsi="宋体" w:eastAsia="宋体" w:cs="宋体"/>
                <w:bCs/>
                <w:color w:val="auto"/>
                <w:szCs w:val="21"/>
                <w:highlight w:val="none"/>
              </w:rPr>
              <w:t>，支持实时查看视线位置，方便现场观察。</w:t>
            </w:r>
          </w:p>
          <w:p w14:paraId="7A0707D4">
            <w:pPr>
              <w:spacing w:line="288"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w:t>
            </w:r>
            <w:r>
              <w:rPr>
                <w:rFonts w:hint="eastAsia" w:ascii="宋体" w:hAnsi="宋体" w:eastAsia="宋体" w:cs="宋体"/>
                <w:bCs/>
                <w:color w:val="auto"/>
                <w:szCs w:val="21"/>
                <w:highlight w:val="none"/>
                <w:lang w:eastAsia="zh"/>
              </w:rPr>
              <w:t>十</w:t>
            </w:r>
            <w:r>
              <w:rPr>
                <w:rFonts w:hint="eastAsia" w:ascii="宋体" w:hAnsi="宋体" w:eastAsia="宋体" w:cs="宋体"/>
                <w:bCs/>
                <w:color w:val="auto"/>
                <w:szCs w:val="21"/>
                <w:highlight w:val="none"/>
              </w:rPr>
              <w:t>，系统应采用3D眼球模型结合微传感器自动补偿技术，应内置陀螺仪、加速度传感器与磁力计，用于滑移补偿与眼动行为的过滤，提高数据的可靠性，确保数据的连续性和准确性。</w:t>
            </w:r>
          </w:p>
          <w:p w14:paraId="7AC43949">
            <w:pPr>
              <w:spacing w:line="288"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（2）视觉动态数据分析</w:t>
            </w:r>
          </w:p>
          <w:p w14:paraId="54D6ADAA">
            <w:pPr>
              <w:pStyle w:val="101"/>
              <w:spacing w:line="288" w:lineRule="auto"/>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第一，系统应支持Wi-Fi无线数据传输，实现实时观察，便于远程监控。</w:t>
            </w:r>
          </w:p>
          <w:p w14:paraId="4AD12E3F">
            <w:pPr>
              <w:pStyle w:val="101"/>
              <w:spacing w:line="288" w:lineRule="auto"/>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第二，系统应内置麦克风，支持≥16位单声道录音，便于同步记录音频信息。</w:t>
            </w:r>
          </w:p>
          <w:p w14:paraId="55E7F868">
            <w:pPr>
              <w:pStyle w:val="101"/>
              <w:spacing w:line="288" w:lineRule="auto"/>
              <w:ind w:left="0"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第三，采集软件支持被试信息管理，可添加字数不限的描述和注释信息，并在记录结束后立即回放叠加了视线位置的视频，便于快速分析。</w:t>
            </w:r>
            <w:r>
              <w:rPr>
                <w:rFonts w:hint="eastAsia" w:ascii="宋体" w:hAnsi="宋体" w:cs="宋体"/>
                <w:b/>
                <w:bCs/>
                <w:color w:val="auto"/>
                <w:sz w:val="21"/>
                <w:szCs w:val="21"/>
                <w:highlight w:val="none"/>
                <w:lang w:eastAsia="zh"/>
              </w:rPr>
              <w:t>（需要演示</w:t>
            </w:r>
            <w:r>
              <w:rPr>
                <w:rFonts w:hint="eastAsia" w:ascii="宋体" w:hAnsi="宋体" w:cs="宋体"/>
                <w:b/>
                <w:bCs/>
                <w:color w:val="auto"/>
                <w:sz w:val="21"/>
                <w:szCs w:val="21"/>
                <w:highlight w:val="none"/>
              </w:rPr>
              <w:t>9</w:t>
            </w:r>
            <w:r>
              <w:rPr>
                <w:rFonts w:hint="eastAsia" w:ascii="宋体" w:hAnsi="宋体" w:cs="宋体"/>
                <w:b/>
                <w:bCs/>
                <w:color w:val="auto"/>
                <w:sz w:val="21"/>
                <w:szCs w:val="21"/>
                <w:highlight w:val="none"/>
                <w:lang w:eastAsia="zh"/>
              </w:rPr>
              <w:t>）</w:t>
            </w:r>
          </w:p>
          <w:p w14:paraId="3F319F99">
            <w:pPr>
              <w:pStyle w:val="101"/>
              <w:spacing w:line="288" w:lineRule="auto"/>
              <w:ind w:left="0" w:firstLine="422" w:firstLineChars="200"/>
              <w:rPr>
                <w:rFonts w:hint="eastAsia" w:ascii="宋体" w:hAnsi="宋体" w:cs="宋体"/>
                <w:b/>
                <w:bCs/>
                <w:color w:val="auto"/>
                <w:sz w:val="21"/>
                <w:szCs w:val="21"/>
                <w:highlight w:val="none"/>
                <w:lang w:eastAsia="zh"/>
              </w:rPr>
            </w:pPr>
            <w:r>
              <w:rPr>
                <w:rFonts w:hint="eastAsia" w:ascii="宋体" w:hAnsi="宋体" w:cs="宋体"/>
                <w:b/>
                <w:bCs/>
                <w:color w:val="auto"/>
                <w:sz w:val="21"/>
                <w:szCs w:val="21"/>
                <w:highlight w:val="none"/>
              </w:rPr>
              <w:t>第四，系统应提供热点图、注视轨迹图、注视轨迹回放视频等可视化结果呈现与导出功能，方便后续分析。</w:t>
            </w:r>
            <w:r>
              <w:rPr>
                <w:rFonts w:hint="eastAsia" w:ascii="宋体" w:hAnsi="宋体" w:cs="宋体"/>
                <w:b/>
                <w:bCs/>
                <w:color w:val="auto"/>
                <w:sz w:val="21"/>
                <w:szCs w:val="21"/>
                <w:highlight w:val="none"/>
                <w:lang w:eastAsia="zh"/>
              </w:rPr>
              <w:t>（需要演示</w:t>
            </w:r>
            <w:r>
              <w:rPr>
                <w:rFonts w:hint="eastAsia" w:ascii="宋体" w:hAnsi="宋体" w:cs="宋体"/>
                <w:b/>
                <w:bCs/>
                <w:color w:val="auto"/>
                <w:sz w:val="21"/>
                <w:szCs w:val="21"/>
                <w:highlight w:val="none"/>
              </w:rPr>
              <w:t>10</w:t>
            </w:r>
            <w:r>
              <w:rPr>
                <w:rFonts w:hint="eastAsia" w:ascii="宋体" w:hAnsi="宋体" w:cs="宋体"/>
                <w:b/>
                <w:bCs/>
                <w:color w:val="auto"/>
                <w:sz w:val="21"/>
                <w:szCs w:val="21"/>
                <w:highlight w:val="none"/>
                <w:lang w:eastAsia="zh"/>
              </w:rPr>
              <w:t>）</w:t>
            </w:r>
          </w:p>
          <w:p w14:paraId="6DC4870C">
            <w:pPr>
              <w:pStyle w:val="101"/>
              <w:spacing w:line="288" w:lineRule="auto"/>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第五，系统支持将眼动数据导出至行为分析软件中进行分析，便于进一步研究。</w:t>
            </w:r>
          </w:p>
          <w:p w14:paraId="277DC8BA">
            <w:pPr>
              <w:adjustRightInd w:val="0"/>
              <w:spacing w:line="288"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需要配备以下相关组件（包括但不限于）：</w:t>
            </w:r>
          </w:p>
          <w:p w14:paraId="1F8A5AAB">
            <w:pPr>
              <w:spacing w:line="288"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（1）专用便携式工作站（1台）</w:t>
            </w:r>
          </w:p>
          <w:p w14:paraId="19C51675">
            <w:pPr>
              <w:spacing w:line="288"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支持正版Windows 10及以上版本、Linux（Ubuntu、CentOS等）或</w:t>
            </w:r>
            <w:r>
              <w:rPr>
                <w:rFonts w:hint="eastAsia" w:ascii="宋体" w:hAnsi="宋体" w:eastAsia="宋体" w:cs="宋体"/>
                <w:color w:val="auto"/>
                <w:szCs w:val="21"/>
                <w:highlight w:val="none"/>
              </w:rPr>
              <w:t>国产</w:t>
            </w:r>
            <w:r>
              <w:rPr>
                <w:rFonts w:hint="eastAsia" w:ascii="宋体" w:hAnsi="宋体" w:eastAsia="宋体" w:cs="宋体"/>
                <w:color w:val="auto"/>
                <w:szCs w:val="21"/>
                <w:highlight w:val="none"/>
                <w:lang w:bidi="ar"/>
              </w:rPr>
              <w:t>操作系统</w:t>
            </w:r>
            <w:r>
              <w:rPr>
                <w:rFonts w:hint="eastAsia" w:ascii="宋体" w:hAnsi="宋体" w:eastAsia="宋体" w:cs="宋体"/>
                <w:color w:val="auto"/>
                <w:szCs w:val="21"/>
                <w:highlight w:val="none"/>
              </w:rPr>
              <w:t>，处理器Intel i7 13600H及以上，内存≥16G，显卡Nivdia独立显卡3060</w:t>
            </w:r>
            <w:r>
              <w:rPr>
                <w:rFonts w:hint="eastAsia" w:ascii="宋体" w:hAnsi="宋体" w:eastAsia="宋体" w:cs="宋体"/>
                <w:color w:val="auto"/>
                <w:szCs w:val="21"/>
                <w:highlight w:val="none"/>
                <w:lang w:eastAsia="zh"/>
              </w:rPr>
              <w:t>及</w:t>
            </w:r>
            <w:r>
              <w:rPr>
                <w:rFonts w:hint="eastAsia" w:ascii="宋体" w:hAnsi="宋体" w:eastAsia="宋体" w:cs="宋体"/>
                <w:color w:val="auto"/>
                <w:szCs w:val="21"/>
                <w:highlight w:val="none"/>
              </w:rPr>
              <w:t>以上，屏幕刷新率≥120Hz，分辨率≥2560*1600</w:t>
            </w:r>
            <w:r>
              <w:rPr>
                <w:rFonts w:hint="eastAsia" w:ascii="宋体" w:hAnsi="宋体" w:eastAsia="宋体" w:cs="宋体"/>
                <w:color w:val="auto"/>
                <w:szCs w:val="21"/>
                <w:highlight w:val="none"/>
                <w:lang w:eastAsia="zh"/>
              </w:rPr>
              <w:t>，</w:t>
            </w:r>
            <w:r>
              <w:rPr>
                <w:rStyle w:val="109"/>
                <w:rFonts w:hint="eastAsia" w:ascii="宋体" w:hAnsi="宋体" w:eastAsia="宋体" w:cs="宋体"/>
                <w:b w:val="0"/>
                <w:color w:val="auto"/>
                <w:szCs w:val="21"/>
                <w:highlight w:val="none"/>
                <w:lang w:bidi="ar"/>
              </w:rPr>
              <w:t>显示屏尺寸≥14英寸</w:t>
            </w:r>
            <w:r>
              <w:rPr>
                <w:rFonts w:hint="eastAsia" w:ascii="宋体" w:hAnsi="宋体" w:eastAsia="宋体" w:cs="宋体"/>
                <w:color w:val="auto"/>
                <w:szCs w:val="21"/>
                <w:highlight w:val="none"/>
              </w:rPr>
              <w:t>。</w:t>
            </w:r>
          </w:p>
        </w:tc>
        <w:tc>
          <w:tcPr>
            <w:tcW w:w="304" w:type="pct"/>
            <w:vAlign w:val="center"/>
          </w:tcPr>
          <w:p w14:paraId="38FB5328">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r>
      <w:tr w14:paraId="4FBF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72935D35">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91" w:type="pct"/>
            <w:shd w:val="clear" w:color="auto" w:fill="auto"/>
            <w:vAlign w:val="center"/>
          </w:tcPr>
          <w:p w14:paraId="1A6BB9A2">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遥测式生理信号采集分析系统</w:t>
            </w:r>
          </w:p>
        </w:tc>
        <w:tc>
          <w:tcPr>
            <w:tcW w:w="3930" w:type="pct"/>
            <w:vAlign w:val="center"/>
          </w:tcPr>
          <w:p w14:paraId="31BD4D99">
            <w:pPr>
              <w:adjustRightInd w:val="0"/>
              <w:spacing w:line="288" w:lineRule="auto"/>
              <w:ind w:firstLine="420"/>
              <w:rPr>
                <w:rFonts w:hint="eastAsia" w:ascii="宋体" w:hAnsi="宋体" w:eastAsia="宋体" w:cs="宋体"/>
                <w:color w:val="auto"/>
                <w:spacing w:val="4"/>
                <w:szCs w:val="21"/>
                <w:highlight w:val="none"/>
                <w:shd w:val="clear" w:color="auto" w:fill="FFFFFF"/>
              </w:rPr>
            </w:pPr>
            <w:r>
              <w:rPr>
                <w:rFonts w:hint="eastAsia" w:ascii="宋体" w:hAnsi="宋体" w:eastAsia="宋体" w:cs="宋体"/>
                <w:color w:val="auto"/>
                <w:spacing w:val="4"/>
                <w:szCs w:val="21"/>
                <w:highlight w:val="none"/>
                <w:shd w:val="clear" w:color="auto" w:fill="FFFFFF"/>
              </w:rPr>
              <w:t>功能要求：可以支持采集并分析感知觉、注意、工作记忆、决策过程、社会认知、情绪与认知等各种心理过程及其脑机制，具有但不限于数据采集、数据分析、数据网络储存等功能。</w:t>
            </w:r>
          </w:p>
          <w:p w14:paraId="4656C6F1">
            <w:pPr>
              <w:adjustRightInd w:val="0"/>
              <w:spacing w:line="288" w:lineRule="auto"/>
              <w:ind w:firstLine="420"/>
              <w:rPr>
                <w:rFonts w:hint="eastAsia" w:ascii="宋体" w:hAnsi="宋体" w:eastAsia="宋体" w:cs="宋体"/>
                <w:color w:val="auto"/>
                <w:spacing w:val="4"/>
                <w:szCs w:val="21"/>
                <w:highlight w:val="none"/>
                <w:shd w:val="clear" w:color="auto" w:fill="FFFFFF"/>
              </w:rPr>
            </w:pPr>
            <w:r>
              <w:rPr>
                <w:rFonts w:hint="eastAsia" w:ascii="宋体" w:hAnsi="宋体" w:eastAsia="宋体" w:cs="宋体"/>
                <w:color w:val="auto"/>
                <w:spacing w:val="4"/>
                <w:szCs w:val="21"/>
                <w:highlight w:val="none"/>
                <w:shd w:val="clear" w:color="auto" w:fill="FFFFFF"/>
              </w:rPr>
              <w:t>通过硬件的配置：能够提供必要的计算能力、图形处理能力、系统兼容性、可扩展性、专业软件支持、数据安全性、长期稳定运行和复杂计算支持，确保遥测式生理信号采集分析系统正常运转。</w:t>
            </w:r>
          </w:p>
          <w:p w14:paraId="0A1AD5A9">
            <w:pPr>
              <w:adjustRightInd w:val="0"/>
              <w:spacing w:line="288" w:lineRule="auto"/>
              <w:ind w:firstLine="420"/>
              <w:rPr>
                <w:rFonts w:hint="eastAsia" w:ascii="宋体" w:hAnsi="宋体" w:eastAsia="宋体" w:cs="宋体"/>
                <w:bCs/>
                <w:color w:val="auto"/>
                <w:szCs w:val="21"/>
                <w:highlight w:val="none"/>
                <w:lang w:eastAsia="zh"/>
              </w:rPr>
            </w:pPr>
            <w:r>
              <w:rPr>
                <w:rFonts w:hint="eastAsia" w:ascii="宋体" w:hAnsi="宋体" w:eastAsia="宋体" w:cs="宋体"/>
                <w:color w:val="auto"/>
                <w:spacing w:val="4"/>
                <w:szCs w:val="21"/>
                <w:highlight w:val="none"/>
                <w:shd w:val="clear" w:color="auto" w:fill="FFFFFF"/>
              </w:rPr>
              <w:t>具体包括但不限于以下功能模块：</w:t>
            </w:r>
          </w:p>
          <w:p w14:paraId="42835A29">
            <w:pPr>
              <w:adjustRightInd w:val="0"/>
              <w:spacing w:line="288"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（1）生理信号采集分析系统主机</w:t>
            </w:r>
          </w:p>
          <w:p w14:paraId="44269F5A">
            <w:pPr>
              <w:numPr>
                <w:ilvl w:val="255"/>
                <w:numId w:val="0"/>
              </w:numPr>
              <w:adjustRightInd w:val="0"/>
              <w:spacing w:line="288" w:lineRule="auto"/>
              <w:ind w:left="59" w:leftChars="28"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理信号采集分析系统主机是整个系统的中心设备，用于连接各种生物传感器，实现对人体多导生理信号的同步采集。首先，系统应支持多种生理信号的采集，包括肌电图（EMG）、心电图（ECG）、呼吸信号、皮肤电响应（GSR）等。其次，主机应内置高分辨率ADC（模数转换器），可以将采集到的模拟信号转换为数字信号，以确保数据的高精度和稳定性。再次，系统应支持在线监测、存储并分析生理信号，可以实现参数提取、统计分析等功能。此外，主机应具备数据同步功能，可以与行为观察分析系统、面部表情系统实时同步采集，并自带行为观察系统数据输出模块插件。最后，主机应可以通过数字I/O口控制其他的TTL设备，并支持联网工作，数据可以通过局域网共享到其他终端用户。</w:t>
            </w:r>
          </w:p>
          <w:p w14:paraId="18BC0BFA">
            <w:pPr>
              <w:numPr>
                <w:ilvl w:val="255"/>
                <w:numId w:val="0"/>
              </w:numPr>
              <w:adjustRightInd w:val="0"/>
              <w:spacing w:line="288" w:lineRule="auto"/>
              <w:ind w:left="59" w:leftChars="28" w:firstLine="42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主机要求</w:t>
            </w:r>
            <w:r>
              <w:rPr>
                <w:rFonts w:ascii="宋体" w:hAnsi="宋体" w:eastAsia="宋体" w:cs="宋体"/>
                <w:b/>
                <w:color w:val="auto"/>
                <w:szCs w:val="21"/>
                <w:highlight w:val="none"/>
              </w:rPr>
              <w:t>至少16个通道</w:t>
            </w:r>
            <w:r>
              <w:rPr>
                <w:rFonts w:hint="eastAsia" w:ascii="宋体" w:hAnsi="宋体" w:eastAsia="宋体" w:cs="宋体"/>
                <w:b/>
                <w:color w:val="auto"/>
                <w:szCs w:val="21"/>
                <w:highlight w:val="none"/>
              </w:rPr>
              <w:t>用于</w:t>
            </w:r>
            <w:r>
              <w:rPr>
                <w:rFonts w:ascii="宋体" w:hAnsi="宋体" w:eastAsia="宋体" w:cs="宋体"/>
                <w:b/>
                <w:color w:val="auto"/>
                <w:szCs w:val="21"/>
                <w:highlight w:val="none"/>
              </w:rPr>
              <w:t>模拟信号输入</w:t>
            </w:r>
            <w:r>
              <w:rPr>
                <w:rFonts w:hint="eastAsia" w:ascii="宋体" w:hAnsi="宋体" w:eastAsia="宋体" w:cs="宋体"/>
                <w:b/>
                <w:color w:val="auto"/>
                <w:szCs w:val="21"/>
                <w:highlight w:val="none"/>
              </w:rPr>
              <w:t>和至少2个通道用于</w:t>
            </w:r>
            <w:r>
              <w:rPr>
                <w:rFonts w:ascii="宋体" w:hAnsi="宋体" w:eastAsia="宋体" w:cs="宋体"/>
                <w:b/>
                <w:color w:val="auto"/>
                <w:szCs w:val="21"/>
                <w:highlight w:val="none"/>
              </w:rPr>
              <w:t>模拟信号</w:t>
            </w:r>
            <w:r>
              <w:rPr>
                <w:rFonts w:hint="eastAsia" w:ascii="宋体" w:hAnsi="宋体" w:eastAsia="宋体" w:cs="宋体"/>
                <w:b/>
                <w:color w:val="auto"/>
                <w:szCs w:val="21"/>
                <w:highlight w:val="none"/>
              </w:rPr>
              <w:t>输出</w:t>
            </w:r>
            <w:r>
              <w:rPr>
                <w:rFonts w:ascii="宋体" w:hAnsi="宋体" w:eastAsia="宋体" w:cs="宋体"/>
                <w:b/>
                <w:color w:val="auto"/>
                <w:szCs w:val="21"/>
                <w:highlight w:val="none"/>
              </w:rPr>
              <w:t>，拥有不低于16位的A/D分辨率，输入阻抗不超过1.0MΩ，适合多种应用场景</w:t>
            </w:r>
            <w:r>
              <w:rPr>
                <w:rFonts w:hint="eastAsia" w:ascii="宋体" w:hAnsi="宋体" w:eastAsia="宋体" w:cs="宋体"/>
                <w:b/>
                <w:color w:val="auto"/>
                <w:szCs w:val="21"/>
                <w:highlight w:val="none"/>
              </w:rPr>
              <w:t>与精准操作。</w:t>
            </w:r>
          </w:p>
          <w:p w14:paraId="012425DA">
            <w:pPr>
              <w:adjustRightInd w:val="0"/>
              <w:spacing w:line="288" w:lineRule="auto"/>
              <w:ind w:left="420" w:firstLine="59" w:firstLineChars="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（2）无线双通道肌电采集通道</w:t>
            </w:r>
          </w:p>
          <w:p w14:paraId="62CCE03A">
            <w:pPr>
              <w:adjustRightInd w:val="0"/>
              <w:spacing w:line="288" w:lineRule="auto"/>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无线双通道肌电采集通道用于采集肌肉活动产生的电信号（EMG），该采集通道应支持至少两个通道的同步采集，确保可以同时记录不同部位的肌电信号。采集通道应采用无线设计，减轻被试者的负担，并且不会影响其自然行为表现。采集通道还应具备高灵敏度和抗干扰能力，从而确保数据的质量。采集通道应支持实时数据传输，并且内置3.5mm TTL同步接口，可实现TTL、TCP/IP和NTP方式的数据同步（包含但不限于）。</w:t>
            </w:r>
          </w:p>
          <w:p w14:paraId="68C30E93">
            <w:pPr>
              <w:adjustRightInd w:val="0"/>
              <w:spacing w:line="288" w:lineRule="auto"/>
              <w:ind w:left="420" w:firstLine="59" w:firstLineChars="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（3）无线呼吸与心电采集通道</w:t>
            </w:r>
          </w:p>
          <w:p w14:paraId="1E130C39">
            <w:pPr>
              <w:adjustRightInd w:val="0"/>
              <w:spacing w:line="288" w:lineRule="auto"/>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无线呼吸与心电采集通道用于同步采集呼吸信号和心电图（ECG），该采集通道应支持同时记录呼吸频率和心脏活动，为研究提供全面的生理指标。采集通道应采用无线设计，便于在不同场景下进行测试。采集通道应具备高精度和稳定性，确保数据的可靠性和一致性。采集通道应支持实时数据传输，内置3.5mm TTL同步接口，可实现TTL、TCP/IP和NTP方式的数据同步（包含但不限于）。</w:t>
            </w:r>
          </w:p>
          <w:p w14:paraId="5BC8B2FC">
            <w:pPr>
              <w:adjustRightInd w:val="0"/>
              <w:spacing w:line="288" w:lineRule="auto"/>
              <w:ind w:left="420" w:firstLine="59" w:firstLineChars="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（4）无线脉搏与皮电采集通道</w:t>
            </w:r>
          </w:p>
          <w:p w14:paraId="3D8743F1">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无线脉搏与皮电采集通道用于同步采集脉搏信号和皮肤电响应（GSR），该采集通道应支持两个通道的同步采集，确保可以同时记录脉搏和皮肤电活动。采集通道应采用无线设计，方便在各种环境中使用。采集通道应具备高灵敏度和抗干扰能力，确保数据的准确性和稳定性。采集通道应支持实时数据传输，并且内置3.5mm TTL同步接口，可实现TTL、TCP/IP和NTP方式的数据同步（包含但不限于）。</w:t>
            </w:r>
          </w:p>
          <w:p w14:paraId="09463897">
            <w:pPr>
              <w:adjustRightInd w:val="0"/>
              <w:spacing w:line="288" w:lineRule="auto"/>
              <w:ind w:left="420" w:firstLine="59" w:firstLineChars="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（5）生理信号采集分析软件</w:t>
            </w:r>
          </w:p>
          <w:p w14:paraId="65F5A9A2">
            <w:pPr>
              <w:spacing w:line="288"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理信号采集分析软件是用于处理和分析采集到的生理信号的专业软件，软件应支持多种生理信号的实时监测，并且可以在线存储生理信号数据。软件应具备强大的分析工具，支持参数提取、统计分析等功能，包括计算dp/dt（时间变化率）、最大值、最小值、平均值、峰值、心率、斜率、微分、积分、指数运算、对数运算、傅立叶变换、面积、偏差、标准差、绝对值、三角函数、曲线平滑、直方图等复杂运算。软件应支持至少60个通道显示，可选择外触发或内触发，以适应不同的实验设计需求。软件应支持</w:t>
            </w:r>
            <w:r>
              <w:rPr>
                <w:rFonts w:hint="eastAsia" w:ascii="宋体" w:hAnsi="宋体" w:eastAsia="宋体" w:cs="宋体"/>
                <w:color w:val="auto"/>
                <w:szCs w:val="21"/>
                <w:highlight w:val="none"/>
                <w:lang w:bidi="ar"/>
              </w:rPr>
              <w:t>输出多种文件格式，可</w:t>
            </w:r>
            <w:r>
              <w:rPr>
                <w:rFonts w:hint="eastAsia" w:ascii="宋体" w:hAnsi="宋体" w:eastAsia="宋体" w:cs="宋体"/>
                <w:color w:val="auto"/>
                <w:szCs w:val="21"/>
                <w:highlight w:val="none"/>
              </w:rPr>
              <w:t>将数据结果导出进行进一步的统计计算。</w:t>
            </w:r>
          </w:p>
          <w:p w14:paraId="1C798F35">
            <w:pPr>
              <w:adjustRightInd w:val="0"/>
              <w:spacing w:line="288"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需要配备以下相关组件（包括但不限于）：</w:t>
            </w:r>
          </w:p>
          <w:p w14:paraId="7E77B88B">
            <w:pPr>
              <w:adjustRightInd w:val="0"/>
              <w:spacing w:line="288" w:lineRule="auto"/>
              <w:ind w:firstLine="422" w:firstLineChars="200"/>
              <w:rPr>
                <w:rFonts w:hint="eastAsia" w:ascii="宋体" w:hAnsi="宋体" w:eastAsia="宋体" w:cs="宋体"/>
                <w:color w:val="auto"/>
                <w:szCs w:val="21"/>
                <w:highlight w:val="none"/>
              </w:rPr>
            </w:pPr>
            <w:r>
              <w:rPr>
                <w:rStyle w:val="109"/>
                <w:rFonts w:hint="eastAsia" w:ascii="宋体" w:hAnsi="宋体" w:eastAsia="宋体" w:cs="宋体"/>
                <w:color w:val="auto"/>
                <w:szCs w:val="21"/>
                <w:highlight w:val="none"/>
                <w:lang w:bidi="ar"/>
              </w:rPr>
              <w:t>（1）专用台式工作站（1台）</w:t>
            </w:r>
          </w:p>
          <w:p w14:paraId="51EFB9F6">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处理器：配置不低于Intel Alder Lake系列或AMD Ryzen Threadripper系列处理器，至少16核心，以确保高负载下多任务并行处理能力。</w:t>
            </w:r>
          </w:p>
          <w:p w14:paraId="74BDE9CE">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内存：至少64GB ECC DDR4 RAM，保证大数据处理和复杂算法运行的流畅性。</w:t>
            </w:r>
          </w:p>
          <w:p w14:paraId="34BF8311">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存储：NVMe SSD系统盘，容量不低于1TB，外加至少1TB的高速固态硬盘或RAID阵列，用于存储大量实验数据和快取加速。</w:t>
            </w:r>
          </w:p>
          <w:p w14:paraId="3213E723">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显卡：NVIDIA RTX系列专业显卡，如RTX A4000或以上，支持CUDA并行计算，加速图像处理与机器学习算法的运算速度。</w:t>
            </w:r>
          </w:p>
          <w:p w14:paraId="4096F9E3">
            <w:pPr>
              <w:adjustRightInd w:val="0"/>
              <w:spacing w:line="288"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网络交换机端口配置：至少含8个10/100/1000Mbps自适应电口，以及至少2个10G SFP+光口，支持PoE+（以太网供电）功能，以便为网络摄像头或其他IP终端设备供电。</w:t>
            </w:r>
          </w:p>
          <w:p w14:paraId="7AFD60F0">
            <w:pPr>
              <w:adjustRightInd w:val="0"/>
              <w:spacing w:line="288" w:lineRule="auto"/>
              <w:ind w:firstLine="420" w:firstLineChars="200"/>
              <w:rPr>
                <w:rFonts w:hint="eastAsia" w:ascii="宋体" w:hAnsi="宋体" w:eastAsia="宋体" w:cs="宋体"/>
                <w:color w:val="auto"/>
                <w:szCs w:val="21"/>
                <w:highlight w:val="none"/>
                <w:lang w:bidi="ar"/>
              </w:rPr>
            </w:pPr>
            <w:r>
              <w:rPr>
                <w:rStyle w:val="109"/>
                <w:rFonts w:hint="eastAsia" w:ascii="宋体" w:hAnsi="宋体" w:eastAsia="宋体" w:cs="宋体"/>
                <w:b w:val="0"/>
                <w:bCs/>
                <w:color w:val="auto"/>
                <w:szCs w:val="21"/>
                <w:highlight w:val="none"/>
                <w:lang w:bidi="ar"/>
              </w:rPr>
              <w:t>操作系统与软件兼容性：</w:t>
            </w:r>
            <w:r>
              <w:rPr>
                <w:rFonts w:hint="eastAsia" w:ascii="宋体" w:hAnsi="宋体" w:eastAsia="宋体" w:cs="宋体"/>
                <w:color w:val="auto"/>
                <w:szCs w:val="21"/>
                <w:highlight w:val="none"/>
                <w:lang w:bidi="ar"/>
              </w:rPr>
              <w:t>支持正版Windows 10及以上版本、Linux（Ubuntu、CentOS等）或</w:t>
            </w:r>
            <w:r>
              <w:rPr>
                <w:rFonts w:hint="eastAsia" w:ascii="宋体" w:hAnsi="宋体" w:eastAsia="宋体" w:cs="宋体"/>
                <w:color w:val="auto"/>
                <w:szCs w:val="21"/>
                <w:highlight w:val="none"/>
              </w:rPr>
              <w:t>国产</w:t>
            </w:r>
            <w:r>
              <w:rPr>
                <w:rFonts w:hint="eastAsia" w:ascii="宋体" w:hAnsi="宋体" w:eastAsia="宋体" w:cs="宋体"/>
                <w:color w:val="auto"/>
                <w:szCs w:val="21"/>
                <w:highlight w:val="none"/>
                <w:lang w:bidi="ar"/>
              </w:rPr>
              <w:t>操作系统，确保与常用行为分析软件（如FaceReader、OpenFace等）及深度学习框架（TensorFlow、PyTorch）的兼容性。</w:t>
            </w:r>
          </w:p>
          <w:p w14:paraId="657CD178">
            <w:pPr>
              <w:adjustRightInd w:val="0"/>
              <w:spacing w:line="288" w:lineRule="auto"/>
              <w:ind w:firstLine="420" w:firstLineChars="200"/>
              <w:rPr>
                <w:rFonts w:hint="eastAsia" w:ascii="宋体" w:hAnsi="宋体" w:eastAsia="宋体" w:cs="宋体"/>
                <w:color w:val="auto"/>
                <w:szCs w:val="21"/>
                <w:highlight w:val="none"/>
              </w:rPr>
            </w:pPr>
            <w:r>
              <w:rPr>
                <w:rStyle w:val="109"/>
                <w:rFonts w:hint="eastAsia" w:ascii="宋体" w:hAnsi="宋体" w:eastAsia="宋体" w:cs="宋体"/>
                <w:b w:val="0"/>
                <w:color w:val="auto"/>
                <w:szCs w:val="21"/>
                <w:highlight w:val="none"/>
                <w:lang w:bidi="ar"/>
              </w:rPr>
              <w:t>显示屏：尺寸≥27寸，分辨率≥1920x1080高清显示屏，IPS面板，刷新率≥60Hz，至少包含HDMI, DisplayPort，以及USB-C接口以适应不同设备连接。</w:t>
            </w:r>
          </w:p>
        </w:tc>
        <w:tc>
          <w:tcPr>
            <w:tcW w:w="304" w:type="pct"/>
            <w:vAlign w:val="center"/>
          </w:tcPr>
          <w:p w14:paraId="007CD339">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1套</w:t>
            </w:r>
          </w:p>
        </w:tc>
      </w:tr>
      <w:bookmarkEnd w:id="41"/>
    </w:tbl>
    <w:p w14:paraId="0CC2D08A">
      <w:pPr>
        <w:adjustRightInd w:val="0"/>
        <w:snapToGrid w:val="0"/>
        <w:spacing w:line="288" w:lineRule="auto"/>
        <w:rPr>
          <w:rFonts w:hint="eastAsia" w:ascii="宋体" w:hAnsi="宋体" w:eastAsia="宋体" w:cs="Times New Roman"/>
          <w:b/>
          <w:bCs/>
          <w:color w:val="auto"/>
          <w:szCs w:val="21"/>
          <w:highlight w:val="none"/>
        </w:rPr>
      </w:pPr>
    </w:p>
    <w:p w14:paraId="66EC4AC4">
      <w:pPr>
        <w:adjustRightInd w:val="0"/>
        <w:snapToGrid w:val="0"/>
        <w:spacing w:line="288" w:lineRule="auto"/>
        <w:outlineLvl w:val="1"/>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五、演示要求</w:t>
      </w:r>
    </w:p>
    <w:p w14:paraId="11FD2755">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1.本项目需要提供演示，演示内容如下：</w:t>
      </w:r>
    </w:p>
    <w:tbl>
      <w:tblPr>
        <w:tblStyle w:val="24"/>
        <w:tblW w:w="46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263"/>
        <w:gridCol w:w="7095"/>
      </w:tblGrid>
      <w:tr w14:paraId="53C2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79" w:type="pct"/>
            <w:vAlign w:val="center"/>
          </w:tcPr>
          <w:p w14:paraId="37DAB176">
            <w:pPr>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698" w:type="pct"/>
            <w:vAlign w:val="center"/>
          </w:tcPr>
          <w:p w14:paraId="5BD6BD94">
            <w:pPr>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货物名称</w:t>
            </w:r>
          </w:p>
        </w:tc>
        <w:tc>
          <w:tcPr>
            <w:tcW w:w="3921" w:type="pct"/>
            <w:vAlign w:val="center"/>
          </w:tcPr>
          <w:p w14:paraId="5833BC11">
            <w:pPr>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演示内容要求</w:t>
            </w:r>
          </w:p>
        </w:tc>
      </w:tr>
      <w:tr w14:paraId="09D8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7286EED7">
            <w:pPr>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98" w:type="pct"/>
            <w:vMerge w:val="restart"/>
            <w:shd w:val="clear" w:color="auto" w:fill="auto"/>
            <w:vAlign w:val="center"/>
          </w:tcPr>
          <w:p w14:paraId="3D85B5A7">
            <w:pPr>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超模态行为洞察平台</w:t>
            </w:r>
          </w:p>
        </w:tc>
        <w:tc>
          <w:tcPr>
            <w:tcW w:w="3921" w:type="pct"/>
            <w:vAlign w:val="center"/>
          </w:tcPr>
          <w:p w14:paraId="4D9691C6">
            <w:pPr>
              <w:numPr>
                <w:ilvl w:val="255"/>
                <w:numId w:val="0"/>
              </w:num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（1）行为编码模块</w:t>
            </w:r>
          </w:p>
          <w:p w14:paraId="2463250F">
            <w:pPr>
              <w:numPr>
                <w:ilvl w:val="255"/>
                <w:numId w:val="0"/>
              </w:num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第三，系统应配备可视化界面</w:t>
            </w:r>
            <w:r>
              <w:rPr>
                <w:rFonts w:hint="eastAsia" w:ascii="宋体" w:hAnsi="宋体" w:eastAsia="宋体" w:cs="宋体"/>
                <w:bCs/>
                <w:color w:val="auto"/>
                <w:szCs w:val="21"/>
                <w:highlight w:val="none"/>
                <w:lang w:eastAsia="zh"/>
              </w:rPr>
              <w:t>，</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
              </w:rPr>
              <w:t>如</w:t>
            </w:r>
            <w:r>
              <w:rPr>
                <w:rFonts w:hint="eastAsia" w:ascii="宋体" w:hAnsi="宋体" w:eastAsia="宋体" w:cs="宋体"/>
                <w:bCs/>
                <w:color w:val="auto"/>
                <w:szCs w:val="21"/>
                <w:highlight w:val="none"/>
              </w:rPr>
              <w:t>事件日志、图形时间轴联动展示等展现形式。（需要演示</w:t>
            </w:r>
            <w:r>
              <w:rPr>
                <w:rFonts w:hint="eastAsia" w:ascii="宋体" w:hAnsi="宋体" w:eastAsia="宋体" w:cs="宋体"/>
                <w:bCs/>
                <w:color w:val="auto"/>
                <w:szCs w:val="21"/>
                <w:highlight w:val="none"/>
                <w:lang w:eastAsia="zh"/>
              </w:rPr>
              <w:t>1</w:t>
            </w:r>
            <w:r>
              <w:rPr>
                <w:rFonts w:hint="eastAsia" w:ascii="宋体" w:hAnsi="宋体" w:eastAsia="宋体" w:cs="宋体"/>
                <w:bCs/>
                <w:color w:val="auto"/>
                <w:szCs w:val="21"/>
                <w:highlight w:val="none"/>
              </w:rPr>
              <w:t>）</w:t>
            </w:r>
          </w:p>
          <w:p w14:paraId="0A9178E9">
            <w:pPr>
              <w:numPr>
                <w:ilvl w:val="255"/>
                <w:numId w:val="0"/>
              </w:num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第五，系统应具备导入/导出编码结果的能力（例如支持导出CSV或ODX等其他格式数据），可将数据发送到其他行为编码软件或第三方分析软件分析，便于后续的数据管理和分析。（需要演示</w:t>
            </w:r>
            <w:r>
              <w:rPr>
                <w:rFonts w:hint="eastAsia" w:ascii="宋体" w:hAnsi="宋体" w:eastAsia="宋体" w:cs="宋体"/>
                <w:bCs/>
                <w:color w:val="auto"/>
                <w:szCs w:val="21"/>
                <w:highlight w:val="none"/>
                <w:lang w:eastAsia="zh"/>
              </w:rPr>
              <w:t>2</w:t>
            </w:r>
            <w:r>
              <w:rPr>
                <w:rFonts w:hint="eastAsia" w:ascii="宋体" w:hAnsi="宋体" w:eastAsia="宋体" w:cs="宋体"/>
                <w:bCs/>
                <w:color w:val="auto"/>
                <w:szCs w:val="21"/>
                <w:highlight w:val="none"/>
              </w:rPr>
              <w:t>）</w:t>
            </w:r>
          </w:p>
        </w:tc>
      </w:tr>
      <w:tr w14:paraId="1A58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4498CC57">
            <w:pPr>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98" w:type="pct"/>
            <w:vMerge w:val="continue"/>
            <w:shd w:val="clear" w:color="auto" w:fill="auto"/>
            <w:vAlign w:val="center"/>
          </w:tcPr>
          <w:p w14:paraId="34E41001">
            <w:pPr>
              <w:spacing w:line="288" w:lineRule="auto"/>
              <w:jc w:val="center"/>
              <w:rPr>
                <w:rFonts w:hint="eastAsia" w:ascii="宋体" w:hAnsi="宋体" w:eastAsia="宋体" w:cs="宋体"/>
                <w:bCs/>
                <w:color w:val="auto"/>
                <w:szCs w:val="21"/>
                <w:highlight w:val="none"/>
                <w:lang w:bidi="ar"/>
              </w:rPr>
            </w:pPr>
          </w:p>
        </w:tc>
        <w:tc>
          <w:tcPr>
            <w:tcW w:w="3921" w:type="pct"/>
            <w:vAlign w:val="center"/>
          </w:tcPr>
          <w:p w14:paraId="2C46CD82">
            <w:pPr>
              <w:numPr>
                <w:ilvl w:val="255"/>
                <w:numId w:val="0"/>
              </w:num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（2）生理电导反应模块</w:t>
            </w:r>
          </w:p>
          <w:p w14:paraId="3346B138">
            <w:pPr>
              <w:numPr>
                <w:ilvl w:val="255"/>
                <w:numId w:val="0"/>
              </w:num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第三，系统应提供可视化工具，如趋势图，以直观展示生理反应的变化。（需要演示3）</w:t>
            </w:r>
          </w:p>
          <w:p w14:paraId="3A0985A4">
            <w:pPr>
              <w:numPr>
                <w:ilvl w:val="255"/>
                <w:numId w:val="0"/>
              </w:num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第四，系统需要支持与行为编码模块的数据联动，标识出特定行为发生时的生理反应变化。（需要演示4）</w:t>
            </w:r>
          </w:p>
        </w:tc>
      </w:tr>
      <w:tr w14:paraId="7AA4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55CAEBDE">
            <w:pPr>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98" w:type="pct"/>
            <w:vMerge w:val="continue"/>
            <w:shd w:val="clear" w:color="auto" w:fill="auto"/>
            <w:vAlign w:val="center"/>
          </w:tcPr>
          <w:p w14:paraId="64C77C83">
            <w:pPr>
              <w:spacing w:line="288" w:lineRule="auto"/>
              <w:jc w:val="center"/>
              <w:rPr>
                <w:rFonts w:hint="eastAsia" w:ascii="宋体" w:hAnsi="宋体" w:eastAsia="宋体" w:cs="宋体"/>
                <w:bCs/>
                <w:color w:val="auto"/>
                <w:szCs w:val="21"/>
                <w:highlight w:val="none"/>
                <w:lang w:bidi="ar"/>
              </w:rPr>
            </w:pPr>
          </w:p>
        </w:tc>
        <w:tc>
          <w:tcPr>
            <w:tcW w:w="3921" w:type="pct"/>
            <w:vAlign w:val="center"/>
          </w:tcPr>
          <w:p w14:paraId="540097C3">
            <w:pPr>
              <w:numPr>
                <w:ilvl w:val="255"/>
                <w:numId w:val="0"/>
              </w:num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（3）视动采集模块</w:t>
            </w:r>
          </w:p>
          <w:p w14:paraId="35CAFC71">
            <w:pPr>
              <w:numPr>
                <w:ilvl w:val="255"/>
                <w:numId w:val="0"/>
              </w:num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第二，系统提供眼动注视点位、瞳孔直径、眼跳。以帮助分析受试者的注意力分布及认知负荷。（需要演示5）</w:t>
            </w:r>
          </w:p>
          <w:p w14:paraId="47434468">
            <w:pPr>
              <w:numPr>
                <w:ilvl w:val="255"/>
                <w:numId w:val="0"/>
              </w:num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第三，系统应提供可视化工具，如趋势图，以直观展示生理反应的变化。（需要演示6）</w:t>
            </w:r>
          </w:p>
        </w:tc>
      </w:tr>
      <w:tr w14:paraId="06D8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04F787F3">
            <w:pPr>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98" w:type="pct"/>
            <w:vMerge w:val="continue"/>
            <w:shd w:val="clear" w:color="auto" w:fill="auto"/>
            <w:vAlign w:val="center"/>
          </w:tcPr>
          <w:p w14:paraId="27271785">
            <w:pPr>
              <w:spacing w:line="288" w:lineRule="auto"/>
              <w:jc w:val="center"/>
              <w:rPr>
                <w:rFonts w:hint="eastAsia" w:ascii="宋体" w:hAnsi="宋体" w:eastAsia="宋体" w:cs="宋体"/>
                <w:bCs/>
                <w:color w:val="auto"/>
                <w:szCs w:val="21"/>
                <w:highlight w:val="none"/>
                <w:lang w:bidi="ar"/>
              </w:rPr>
            </w:pPr>
          </w:p>
        </w:tc>
        <w:tc>
          <w:tcPr>
            <w:tcW w:w="3921" w:type="pct"/>
            <w:vAlign w:val="center"/>
          </w:tcPr>
          <w:p w14:paraId="21BE2388">
            <w:p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（4）心理情绪分析模块（需要演示7）</w:t>
            </w:r>
          </w:p>
          <w:p w14:paraId="1665E68F">
            <w:p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第一，系统应自动进行情绪识别，通过摄像机捕捉被试面部，软件识别建模后分析面部表情（喜、怒、哀、乐、惊、惧、中性）基本表情及困惑、无趣、感兴趣等情绪，采集后所得数据支持实时可视化呈现。</w:t>
            </w:r>
          </w:p>
          <w:p w14:paraId="5E4AC0BB">
            <w:p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第二，系统应提供情绪强度的量化指标，以客观评估情绪变化的程度。</w:t>
            </w:r>
          </w:p>
          <w:p w14:paraId="74D0BC64">
            <w:p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第三，系统应具备同时获取不少于2人的表情数据，并支持将分析结果与行为数据和眼动、生理数据进行关联分析的功能，以满足模拟提案实验中的多人实时数据采集。</w:t>
            </w:r>
          </w:p>
        </w:tc>
      </w:tr>
      <w:tr w14:paraId="5905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33632F92">
            <w:pPr>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98" w:type="pct"/>
            <w:shd w:val="clear" w:color="auto" w:fill="auto"/>
            <w:vAlign w:val="center"/>
          </w:tcPr>
          <w:p w14:paraId="7F24B7EC">
            <w:pPr>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便携式行为观察记录分析系统</w:t>
            </w:r>
          </w:p>
        </w:tc>
        <w:tc>
          <w:tcPr>
            <w:tcW w:w="3921" w:type="pct"/>
            <w:vAlign w:val="center"/>
          </w:tcPr>
          <w:p w14:paraId="3EB0C84E">
            <w:pPr>
              <w:numPr>
                <w:ilvl w:val="0"/>
                <w:numId w:val="3"/>
              </w:num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行为分析系统软件</w:t>
            </w:r>
          </w:p>
          <w:p w14:paraId="1F011DA6">
            <w:pPr>
              <w:pStyle w:val="101"/>
              <w:adjustRightInd w:val="0"/>
              <w:spacing w:line="288" w:lineRule="auto"/>
              <w:ind w:left="0"/>
              <w:rPr>
                <w:rFonts w:hint="eastAsia" w:ascii="宋体" w:hAnsi="宋体" w:cs="宋体"/>
                <w:bCs/>
                <w:color w:val="auto"/>
                <w:sz w:val="21"/>
                <w:szCs w:val="21"/>
                <w:highlight w:val="none"/>
              </w:rPr>
            </w:pPr>
            <w:r>
              <w:rPr>
                <w:rFonts w:hint="eastAsia" w:ascii="宋体" w:hAnsi="宋体" w:cs="宋体"/>
                <w:bCs/>
                <w:color w:val="auto"/>
                <w:sz w:val="21"/>
                <w:szCs w:val="21"/>
                <w:highlight w:val="none"/>
              </w:rPr>
              <w:t>①视频处理模块（需要演示8）</w:t>
            </w:r>
          </w:p>
          <w:p w14:paraId="08DB1D75">
            <w:pPr>
              <w:numPr>
                <w:ilvl w:val="255"/>
                <w:numId w:val="0"/>
              </w:numPr>
              <w:adjustRightIn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数据采样机制需灵活多样，囊括连续采样、瞬时采样及两者混合模式</w:t>
            </w:r>
            <w:r>
              <w:rPr>
                <w:rFonts w:hint="eastAsia" w:ascii="宋体" w:hAnsi="宋体" w:eastAsia="宋体" w:cs="宋体"/>
                <w:bCs/>
                <w:color w:val="auto"/>
                <w:szCs w:val="21"/>
                <w:highlight w:val="none"/>
                <w:lang w:eastAsia="zh"/>
              </w:rPr>
              <w:t>，</w:t>
            </w:r>
            <w:r>
              <w:rPr>
                <w:rFonts w:hint="eastAsia" w:ascii="宋体" w:hAnsi="宋体" w:eastAsia="宋体" w:cs="宋体"/>
                <w:bCs/>
                <w:color w:val="auto"/>
                <w:szCs w:val="21"/>
                <w:highlight w:val="none"/>
              </w:rPr>
              <w:t>并借助可视化界面</w:t>
            </w:r>
            <w:r>
              <w:rPr>
                <w:rFonts w:hint="eastAsia" w:ascii="宋体" w:hAnsi="宋体" w:eastAsia="宋体" w:cs="宋体"/>
                <w:bCs/>
                <w:color w:val="auto"/>
                <w:szCs w:val="21"/>
                <w:highlight w:val="none"/>
                <w:lang w:eastAsia="zh"/>
              </w:rPr>
              <w:t>，如</w:t>
            </w:r>
            <w:r>
              <w:rPr>
                <w:rFonts w:hint="eastAsia" w:ascii="宋体" w:hAnsi="宋体" w:eastAsia="宋体" w:cs="宋体"/>
                <w:bCs/>
                <w:color w:val="auto"/>
                <w:szCs w:val="21"/>
                <w:highlight w:val="none"/>
              </w:rPr>
              <w:t>事件日志</w:t>
            </w:r>
            <w:r>
              <w:rPr>
                <w:rFonts w:hint="eastAsia" w:ascii="宋体" w:hAnsi="宋体" w:eastAsia="宋体" w:cs="宋体"/>
                <w:bCs/>
                <w:color w:val="auto"/>
                <w:szCs w:val="21"/>
                <w:highlight w:val="none"/>
                <w:lang w:eastAsia="zh"/>
              </w:rPr>
              <w:t>和</w:t>
            </w:r>
            <w:r>
              <w:rPr>
                <w:rFonts w:hint="eastAsia" w:ascii="宋体" w:hAnsi="宋体" w:eastAsia="宋体" w:cs="宋体"/>
                <w:bCs/>
                <w:color w:val="auto"/>
                <w:szCs w:val="21"/>
                <w:highlight w:val="none"/>
              </w:rPr>
              <w:t>图形时间轴联动展示，方便对已标记事件进行查阅和分析，并具备uASQ实时调查问卷功能、uLog记录鼠标键盘操作功能。</w:t>
            </w:r>
          </w:p>
        </w:tc>
      </w:tr>
      <w:tr w14:paraId="415B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4FCF86EC">
            <w:pPr>
              <w:spacing w:line="288" w:lineRule="auto"/>
              <w:jc w:val="center"/>
              <w:rPr>
                <w:rFonts w:hint="eastAsia" w:ascii="宋体" w:hAnsi="宋体" w:eastAsia="宋体" w:cs="宋体"/>
                <w:bCs/>
                <w:color w:val="auto"/>
                <w:szCs w:val="21"/>
                <w:highlight w:val="none"/>
                <w:lang w:eastAsia="zh"/>
              </w:rPr>
            </w:pPr>
            <w:r>
              <w:rPr>
                <w:rFonts w:hint="eastAsia" w:ascii="宋体" w:hAnsi="宋体" w:eastAsia="宋体" w:cs="宋体"/>
                <w:bCs/>
                <w:color w:val="auto"/>
                <w:szCs w:val="21"/>
                <w:highlight w:val="none"/>
              </w:rPr>
              <w:t>6</w:t>
            </w:r>
          </w:p>
        </w:tc>
        <w:tc>
          <w:tcPr>
            <w:tcW w:w="698" w:type="pct"/>
            <w:shd w:val="clear" w:color="auto" w:fill="auto"/>
            <w:vAlign w:val="center"/>
          </w:tcPr>
          <w:p w14:paraId="6777DD54">
            <w:pPr>
              <w:spacing w:line="288" w:lineRule="auto"/>
              <w:jc w:val="center"/>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视觉动态追踪系统</w:t>
            </w:r>
          </w:p>
        </w:tc>
        <w:tc>
          <w:tcPr>
            <w:tcW w:w="3921" w:type="pct"/>
            <w:vAlign w:val="center"/>
          </w:tcPr>
          <w:p w14:paraId="7C72D84C">
            <w:pPr>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（2）视觉动态数据分析软件</w:t>
            </w:r>
          </w:p>
          <w:p w14:paraId="5CE0D451">
            <w:pPr>
              <w:pStyle w:val="101"/>
              <w:spacing w:line="288" w:lineRule="auto"/>
              <w:ind w:left="0"/>
              <w:rPr>
                <w:rFonts w:hint="eastAsia" w:ascii="宋体" w:hAnsi="宋体" w:cs="宋体"/>
                <w:bCs/>
                <w:color w:val="auto"/>
                <w:sz w:val="21"/>
                <w:szCs w:val="21"/>
                <w:highlight w:val="none"/>
              </w:rPr>
            </w:pPr>
            <w:r>
              <w:rPr>
                <w:rFonts w:hint="eastAsia" w:ascii="宋体" w:hAnsi="宋体" w:cs="宋体"/>
                <w:bCs/>
                <w:color w:val="auto"/>
                <w:sz w:val="21"/>
                <w:szCs w:val="21"/>
                <w:highlight w:val="none"/>
              </w:rPr>
              <w:t>第三，采集软件支持被试信息管理，可添加字数不限的描述和注释信息，并在记录结束后立即回放叠加了视线位置的视频，便于快速分析。</w:t>
            </w:r>
            <w:r>
              <w:rPr>
                <w:rFonts w:hint="eastAsia" w:ascii="宋体" w:hAnsi="宋体" w:cs="宋体"/>
                <w:bCs/>
                <w:color w:val="auto"/>
                <w:sz w:val="21"/>
                <w:szCs w:val="21"/>
                <w:highlight w:val="none"/>
                <w:lang w:eastAsia="zh"/>
              </w:rPr>
              <w:t>（需要演示</w:t>
            </w:r>
            <w:r>
              <w:rPr>
                <w:rFonts w:hint="eastAsia" w:ascii="宋体" w:hAnsi="宋体" w:cs="宋体"/>
                <w:bCs/>
                <w:color w:val="auto"/>
                <w:sz w:val="21"/>
                <w:szCs w:val="21"/>
                <w:highlight w:val="none"/>
              </w:rPr>
              <w:t>9</w:t>
            </w:r>
            <w:r>
              <w:rPr>
                <w:rFonts w:hint="eastAsia" w:ascii="宋体" w:hAnsi="宋体" w:cs="宋体"/>
                <w:bCs/>
                <w:color w:val="auto"/>
                <w:sz w:val="21"/>
                <w:szCs w:val="21"/>
                <w:highlight w:val="none"/>
                <w:lang w:eastAsia="zh"/>
              </w:rPr>
              <w:t>）</w:t>
            </w:r>
          </w:p>
          <w:p w14:paraId="383E193E">
            <w:pPr>
              <w:pStyle w:val="101"/>
              <w:spacing w:line="288" w:lineRule="auto"/>
              <w:ind w:left="0"/>
              <w:rPr>
                <w:rFonts w:hint="eastAsia" w:ascii="宋体" w:hAnsi="宋体" w:cs="宋体"/>
                <w:bCs/>
                <w:color w:val="auto"/>
                <w:sz w:val="21"/>
                <w:szCs w:val="21"/>
                <w:highlight w:val="none"/>
              </w:rPr>
            </w:pPr>
            <w:r>
              <w:rPr>
                <w:rFonts w:hint="eastAsia" w:ascii="宋体" w:hAnsi="宋体" w:cs="宋体"/>
                <w:bCs/>
                <w:color w:val="auto"/>
                <w:sz w:val="21"/>
                <w:szCs w:val="21"/>
                <w:highlight w:val="none"/>
                <w:lang w:eastAsia="zh"/>
              </w:rPr>
              <w:t>第四，</w:t>
            </w:r>
            <w:r>
              <w:rPr>
                <w:rFonts w:hint="eastAsia" w:ascii="宋体" w:hAnsi="宋体" w:cs="宋体"/>
                <w:bCs/>
                <w:color w:val="auto"/>
                <w:sz w:val="21"/>
                <w:szCs w:val="21"/>
                <w:highlight w:val="none"/>
              </w:rPr>
              <w:t>系统应提供热点图、注视轨迹图、注视轨迹回放视频等可视化结果呈现与导出功能，方便后续分析。</w:t>
            </w:r>
            <w:r>
              <w:rPr>
                <w:rFonts w:hint="eastAsia" w:ascii="宋体" w:hAnsi="宋体" w:cs="宋体"/>
                <w:bCs/>
                <w:color w:val="auto"/>
                <w:sz w:val="21"/>
                <w:szCs w:val="21"/>
                <w:highlight w:val="none"/>
                <w:lang w:eastAsia="zh"/>
              </w:rPr>
              <w:t>（需要演示</w:t>
            </w:r>
            <w:r>
              <w:rPr>
                <w:rFonts w:hint="eastAsia" w:ascii="宋体" w:hAnsi="宋体" w:cs="宋体"/>
                <w:bCs/>
                <w:color w:val="auto"/>
                <w:sz w:val="21"/>
                <w:szCs w:val="21"/>
                <w:highlight w:val="none"/>
              </w:rPr>
              <w:t>10</w:t>
            </w:r>
            <w:r>
              <w:rPr>
                <w:rFonts w:hint="eastAsia" w:ascii="宋体" w:hAnsi="宋体" w:cs="宋体"/>
                <w:bCs/>
                <w:color w:val="auto"/>
                <w:sz w:val="21"/>
                <w:szCs w:val="21"/>
                <w:highlight w:val="none"/>
                <w:lang w:eastAsia="zh"/>
              </w:rPr>
              <w:t>）</w:t>
            </w:r>
          </w:p>
        </w:tc>
      </w:tr>
    </w:tbl>
    <w:p w14:paraId="63331C46">
      <w:pPr>
        <w:adjustRightInd w:val="0"/>
        <w:snapToGrid w:val="0"/>
        <w:spacing w:line="288" w:lineRule="auto"/>
        <w:rPr>
          <w:rFonts w:hint="eastAsia" w:ascii="宋体" w:hAnsi="宋体" w:eastAsia="宋体" w:cs="Times New Roman"/>
          <w:color w:val="auto"/>
          <w:szCs w:val="21"/>
          <w:highlight w:val="none"/>
        </w:rPr>
      </w:pPr>
    </w:p>
    <w:p w14:paraId="3AD0A2D0">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2.演示时间不超过</w:t>
      </w:r>
      <w:r>
        <w:rPr>
          <w:rFonts w:ascii="宋体" w:hAnsi="宋体" w:eastAsia="宋体" w:cs="宋体"/>
          <w:color w:val="auto"/>
          <w:szCs w:val="21"/>
          <w:highlight w:val="none"/>
          <w:lang w:bidi="ar"/>
        </w:rPr>
        <w:t>15</w:t>
      </w:r>
      <w:r>
        <w:rPr>
          <w:rFonts w:hint="eastAsia" w:ascii="宋体" w:hAnsi="宋体" w:eastAsia="宋体" w:cs="宋体"/>
          <w:color w:val="auto"/>
          <w:szCs w:val="21"/>
          <w:highlight w:val="none"/>
          <w:lang w:bidi="ar"/>
        </w:rPr>
        <w:t>分钟（所有演示总时长），演示过程需要准备的器材、软件、网络等设施由供应商自行准备。</w:t>
      </w:r>
    </w:p>
    <w:p w14:paraId="7102E94A">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3.演示U盘：</w:t>
      </w:r>
    </w:p>
    <w:p w14:paraId="17BCB306">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3.1供应商需将以上演示过程录制视频，演示时长不超过15分钟以mp4.格式存储于U盘。</w:t>
      </w:r>
    </w:p>
    <w:p w14:paraId="3D2C9976">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 演示U盘可以EMS或顺丰邮寄形式在投标文件提交截止时间前递交，演示U盘应当密封包装并在包装上标注演示U盘、项目名称、供应商名称并加盖公章。</w:t>
      </w:r>
    </w:p>
    <w:p w14:paraId="73082B1E">
      <w:pPr>
        <w:adjustRightInd w:val="0"/>
        <w:snapToGrid w:val="0"/>
        <w:spacing w:line="288" w:lineRule="auto"/>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3.3未按招标文件要求提供演示U盘造成评审专家无法正常评审的风险由供应商自行承担。</w:t>
      </w:r>
    </w:p>
    <w:p w14:paraId="1B6B0347">
      <w:pPr>
        <w:adjustRightInd w:val="0"/>
        <w:snapToGrid w:val="0"/>
        <w:spacing w:line="288" w:lineRule="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4.</w:t>
      </w:r>
      <w:r>
        <w:rPr>
          <w:rFonts w:hint="eastAsia" w:ascii="宋体" w:hAnsi="宋体" w:eastAsia="宋体" w:cs="宋体"/>
          <w:b/>
          <w:bCs/>
          <w:color w:val="auto"/>
          <w:szCs w:val="21"/>
          <w:highlight w:val="none"/>
          <w:lang w:bidi="ar"/>
        </w:rPr>
        <w:t>▲未提供演示的，投标无效。</w:t>
      </w:r>
    </w:p>
    <w:p w14:paraId="4AFAE806">
      <w:pPr>
        <w:widowControl/>
        <w:adjustRightInd w:val="0"/>
        <w:snapToGrid w:val="0"/>
        <w:spacing w:line="288" w:lineRule="auto"/>
        <w:jc w:val="left"/>
        <w:rPr>
          <w:rFonts w:ascii="宋体" w:hAnsi="宋体" w:eastAsia="宋体" w:cs="Times New Roman"/>
          <w:color w:val="auto"/>
          <w:szCs w:val="21"/>
          <w:highlight w:val="none"/>
        </w:rPr>
      </w:pPr>
    </w:p>
    <w:p w14:paraId="5B111A8A">
      <w:pPr>
        <w:widowControl/>
        <w:adjustRightInd w:val="0"/>
        <w:snapToGrid w:val="0"/>
        <w:spacing w:line="288" w:lineRule="auto"/>
        <w:jc w:val="left"/>
        <w:rPr>
          <w:rFonts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368EC3B6">
      <w:pPr>
        <w:adjustRightInd w:val="0"/>
        <w:snapToGrid w:val="0"/>
        <w:spacing w:line="288" w:lineRule="auto"/>
        <w:jc w:val="center"/>
        <w:outlineLvl w:val="0"/>
        <w:rPr>
          <w:rFonts w:ascii="宋体" w:hAnsi="宋体" w:eastAsia="宋体" w:cs="Times New Roman"/>
          <w:color w:val="auto"/>
          <w:sz w:val="32"/>
          <w:szCs w:val="32"/>
          <w:highlight w:val="none"/>
        </w:rPr>
      </w:pPr>
      <w:r>
        <w:rPr>
          <w:rFonts w:hint="eastAsia" w:ascii="宋体" w:hAnsi="宋体" w:eastAsia="宋体" w:cs="Times New Roman"/>
          <w:b/>
          <w:color w:val="auto"/>
          <w:sz w:val="32"/>
          <w:szCs w:val="32"/>
          <w:highlight w:val="none"/>
        </w:rPr>
        <w:t>第三章  投标人须知</w:t>
      </w:r>
    </w:p>
    <w:p w14:paraId="33D2B460">
      <w:pPr>
        <w:adjustRightInd w:val="0"/>
        <w:snapToGrid w:val="0"/>
        <w:spacing w:line="288" w:lineRule="auto"/>
        <w:ind w:left="238"/>
        <w:jc w:val="center"/>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w:t>
      </w:r>
      <w:r>
        <w:rPr>
          <w:rFonts w:ascii="宋体" w:hAnsi="宋体" w:eastAsia="宋体" w:cs="Times New Roman"/>
          <w:b/>
          <w:color w:val="auto"/>
          <w:szCs w:val="21"/>
          <w:highlight w:val="none"/>
        </w:rPr>
        <w:t>须知</w:t>
      </w:r>
      <w:r>
        <w:rPr>
          <w:rFonts w:hint="eastAsia" w:ascii="宋体" w:hAnsi="宋体" w:eastAsia="宋体" w:cs="Times New Roman"/>
          <w:b/>
          <w:color w:val="auto"/>
          <w:szCs w:val="21"/>
          <w:highlight w:val="none"/>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1BCF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03F9804">
            <w:pP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条款号</w:t>
            </w:r>
          </w:p>
        </w:tc>
        <w:tc>
          <w:tcPr>
            <w:tcW w:w="1701" w:type="dxa"/>
            <w:vAlign w:val="center"/>
          </w:tcPr>
          <w:p w14:paraId="0374DCB3">
            <w:pP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内容</w:t>
            </w:r>
          </w:p>
        </w:tc>
        <w:tc>
          <w:tcPr>
            <w:tcW w:w="6663" w:type="dxa"/>
            <w:vAlign w:val="center"/>
          </w:tcPr>
          <w:p w14:paraId="3A00F716">
            <w:pP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说明与要求</w:t>
            </w:r>
          </w:p>
        </w:tc>
      </w:tr>
      <w:tr w14:paraId="0A8C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3C91716">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（一）</w:t>
            </w:r>
          </w:p>
        </w:tc>
        <w:tc>
          <w:tcPr>
            <w:tcW w:w="1701" w:type="dxa"/>
            <w:vAlign w:val="center"/>
          </w:tcPr>
          <w:p w14:paraId="7A80D424">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适用范围</w:t>
            </w:r>
          </w:p>
        </w:tc>
        <w:tc>
          <w:tcPr>
            <w:tcW w:w="6663" w:type="dxa"/>
            <w:vAlign w:val="center"/>
          </w:tcPr>
          <w:p w14:paraId="4603417A">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本招标文件适用于</w:t>
            </w:r>
            <w:r>
              <w:rPr>
                <w:rFonts w:hint="eastAsia" w:ascii="宋体" w:hAnsi="宋体" w:eastAsia="宋体"/>
                <w:color w:val="auto"/>
                <w:szCs w:val="21"/>
                <w:highlight w:val="none"/>
                <w:lang w:eastAsia="zh-CN"/>
              </w:rPr>
              <w:t>浙江工商大学未来营养健康与共同富裕计算设备更新-共同富裕计算设备（第一批）</w:t>
            </w:r>
            <w:r>
              <w:rPr>
                <w:rFonts w:hint="eastAsia" w:ascii="宋体" w:hAnsi="宋体" w:eastAsia="宋体"/>
                <w:color w:val="auto"/>
                <w:szCs w:val="21"/>
                <w:highlight w:val="none"/>
              </w:rPr>
              <w:t>的招标、评标、定标、验收、合同履约、付款等（法律、法规另有规定的，从其规定）。</w:t>
            </w:r>
          </w:p>
        </w:tc>
      </w:tr>
      <w:tr w14:paraId="60C5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8B47BD3">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（二）</w:t>
            </w:r>
          </w:p>
        </w:tc>
        <w:tc>
          <w:tcPr>
            <w:tcW w:w="1701" w:type="dxa"/>
            <w:vAlign w:val="center"/>
          </w:tcPr>
          <w:p w14:paraId="102682C7">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招标方式</w:t>
            </w:r>
          </w:p>
        </w:tc>
        <w:tc>
          <w:tcPr>
            <w:tcW w:w="6663" w:type="dxa"/>
            <w:vAlign w:val="center"/>
          </w:tcPr>
          <w:p w14:paraId="2E1D2E75">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本次招标采用公开招标（线上电子招投标）方式进行。</w:t>
            </w:r>
          </w:p>
        </w:tc>
      </w:tr>
      <w:tr w14:paraId="6284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A05ABAF">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（三）</w:t>
            </w:r>
          </w:p>
        </w:tc>
        <w:tc>
          <w:tcPr>
            <w:tcW w:w="1701" w:type="dxa"/>
            <w:vAlign w:val="center"/>
          </w:tcPr>
          <w:p w14:paraId="2400A36A">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投标委托</w:t>
            </w:r>
          </w:p>
        </w:tc>
        <w:tc>
          <w:tcPr>
            <w:tcW w:w="6663" w:type="dxa"/>
            <w:vAlign w:val="center"/>
          </w:tcPr>
          <w:p w14:paraId="365D1119">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.投标人代表是法定代表人</w:t>
            </w:r>
            <w:r>
              <w:rPr>
                <w:rFonts w:hint="eastAsia" w:ascii="宋体" w:hAnsi="宋体" w:eastAsia="宋体"/>
                <w:color w:val="auto"/>
                <w:szCs w:val="21"/>
                <w:highlight w:val="none"/>
              </w:rPr>
              <w:t>（单位负责人、自然人本人）的，须提供本人身份证明。</w:t>
            </w:r>
          </w:p>
          <w:p w14:paraId="41528DD2">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w:t>
            </w:r>
            <w:r>
              <w:rPr>
                <w:rFonts w:ascii="宋体" w:hAnsi="宋体" w:eastAsia="宋体"/>
                <w:color w:val="auto"/>
                <w:szCs w:val="21"/>
                <w:highlight w:val="none"/>
              </w:rPr>
              <w:t>投标人代表不是法定代表人</w:t>
            </w:r>
            <w:r>
              <w:rPr>
                <w:rFonts w:hint="eastAsia" w:ascii="宋体" w:hAnsi="宋体" w:eastAsia="宋体"/>
                <w:color w:val="auto"/>
                <w:szCs w:val="21"/>
                <w:highlight w:val="none"/>
              </w:rPr>
              <w:t>（单位负责人、自然人本人）的</w:t>
            </w:r>
            <w:r>
              <w:rPr>
                <w:rFonts w:ascii="宋体" w:hAnsi="宋体" w:eastAsia="宋体"/>
                <w:color w:val="auto"/>
                <w:szCs w:val="21"/>
                <w:highlight w:val="none"/>
              </w:rPr>
              <w:t>，须提供</w:t>
            </w:r>
            <w:r>
              <w:rPr>
                <w:rFonts w:ascii="宋体" w:hAnsi="宋体" w:eastAsia="宋体"/>
                <w:bCs/>
                <w:color w:val="auto"/>
                <w:szCs w:val="21"/>
                <w:highlight w:val="none"/>
              </w:rPr>
              <w:t>授权</w:t>
            </w:r>
            <w:r>
              <w:rPr>
                <w:rFonts w:hint="eastAsia" w:ascii="宋体" w:hAnsi="宋体" w:eastAsia="宋体"/>
                <w:bCs/>
                <w:color w:val="auto"/>
                <w:szCs w:val="21"/>
                <w:highlight w:val="none"/>
              </w:rPr>
              <w:t>委托</w:t>
            </w:r>
            <w:r>
              <w:rPr>
                <w:rFonts w:ascii="宋体" w:hAnsi="宋体" w:eastAsia="宋体"/>
                <w:bCs/>
                <w:color w:val="auto"/>
                <w:szCs w:val="21"/>
                <w:highlight w:val="none"/>
              </w:rPr>
              <w:t>书</w:t>
            </w:r>
            <w:r>
              <w:rPr>
                <w:rFonts w:hint="eastAsia" w:ascii="宋体" w:hAnsi="宋体" w:eastAsia="宋体"/>
                <w:color w:val="auto"/>
                <w:szCs w:val="21"/>
                <w:highlight w:val="none"/>
              </w:rPr>
              <w:t>（格式详见招标文件第六章）和授权代表社保缴纳证明</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2024年6月（含）</w:t>
            </w:r>
            <w:r>
              <w:rPr>
                <w:rFonts w:ascii="宋体" w:hAnsi="宋体" w:eastAsia="宋体"/>
                <w:color w:val="auto"/>
                <w:szCs w:val="21"/>
                <w:highlight w:val="none"/>
              </w:rPr>
              <w:t>以后任意一月）</w:t>
            </w:r>
            <w:r>
              <w:rPr>
                <w:rFonts w:hint="eastAsia" w:ascii="宋体" w:hAnsi="宋体" w:eastAsia="宋体"/>
                <w:color w:val="auto"/>
                <w:szCs w:val="21"/>
                <w:highlight w:val="none"/>
              </w:rPr>
              <w:t>；</w:t>
            </w:r>
          </w:p>
          <w:p w14:paraId="57EF0746">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color w:val="auto"/>
                <w:szCs w:val="21"/>
                <w:highlight w:val="none"/>
              </w:rPr>
              <w:t>投标人委派不在本单位缴纳社保的人员作为授权代表的，应当在投标文件中，说明具体原因、授权代表缴纳社保的单位，并附列该授权代表缴纳社保清单。</w:t>
            </w:r>
          </w:p>
        </w:tc>
      </w:tr>
      <w:tr w14:paraId="00A0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EA003F6">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（四）</w:t>
            </w:r>
          </w:p>
        </w:tc>
        <w:tc>
          <w:tcPr>
            <w:tcW w:w="1701" w:type="dxa"/>
            <w:vAlign w:val="center"/>
          </w:tcPr>
          <w:p w14:paraId="5EF18EB7">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投标费用</w:t>
            </w:r>
          </w:p>
        </w:tc>
        <w:tc>
          <w:tcPr>
            <w:tcW w:w="6663" w:type="dxa"/>
            <w:vAlign w:val="center"/>
          </w:tcPr>
          <w:p w14:paraId="25222DBA">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1.不论投标结果如何，投标人均应自行承担所有与投标有关的全部费用；</w:t>
            </w:r>
          </w:p>
          <w:p w14:paraId="2E2D0F9C">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2.中标人在中标通知书发出之日起七个工作日内，向采购代理机构交纳代理服务费；</w:t>
            </w:r>
          </w:p>
          <w:p w14:paraId="281D2F80">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637CAF0D">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14:paraId="7B105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jc w:val="center"/>
              </w:trPr>
              <w:tc>
                <w:tcPr>
                  <w:tcW w:w="2551" w:type="dxa"/>
                  <w:tcMar>
                    <w:top w:w="0" w:type="dxa"/>
                    <w:left w:w="108" w:type="dxa"/>
                    <w:bottom w:w="0" w:type="dxa"/>
                    <w:right w:w="108" w:type="dxa"/>
                  </w:tcMar>
                  <w:vAlign w:val="center"/>
                </w:tcPr>
                <w:p w14:paraId="6E09FC97">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中标金额（万元）</w:t>
                  </w:r>
                </w:p>
              </w:tc>
              <w:tc>
                <w:tcPr>
                  <w:tcW w:w="3070" w:type="dxa"/>
                  <w:tcMar>
                    <w:top w:w="0" w:type="dxa"/>
                    <w:left w:w="108" w:type="dxa"/>
                    <w:bottom w:w="0" w:type="dxa"/>
                    <w:right w:w="108" w:type="dxa"/>
                  </w:tcMar>
                  <w:vAlign w:val="center"/>
                </w:tcPr>
                <w:p w14:paraId="51680E04">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收费标准（费率，%）</w:t>
                  </w:r>
                </w:p>
              </w:tc>
            </w:tr>
            <w:tr w14:paraId="4CEEF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3CDE5354">
                  <w:pPr>
                    <w:widowControl/>
                    <w:jc w:val="center"/>
                    <w:textAlignment w:val="center"/>
                    <w:rPr>
                      <w:rFonts w:ascii="宋体" w:hAnsi="宋体" w:eastAsia="宋体"/>
                      <w:color w:val="auto"/>
                      <w:szCs w:val="21"/>
                      <w:highlight w:val="none"/>
                    </w:rPr>
                  </w:pPr>
                  <w:r>
                    <w:rPr>
                      <w:rFonts w:hint="eastAsia" w:ascii="宋体" w:hAnsi="宋体" w:eastAsia="宋体" w:cs="宋体"/>
                      <w:color w:val="auto"/>
                      <w:kern w:val="0"/>
                      <w:szCs w:val="21"/>
                      <w:highlight w:val="none"/>
                      <w:lang w:bidi="ar"/>
                    </w:rPr>
                    <w:t>100以下</w:t>
                  </w:r>
                </w:p>
              </w:tc>
              <w:tc>
                <w:tcPr>
                  <w:tcW w:w="3070" w:type="dxa"/>
                  <w:tcMar>
                    <w:top w:w="0" w:type="dxa"/>
                    <w:left w:w="108" w:type="dxa"/>
                    <w:bottom w:w="0" w:type="dxa"/>
                    <w:right w:w="108" w:type="dxa"/>
                  </w:tcMar>
                  <w:vAlign w:val="center"/>
                </w:tcPr>
                <w:p w14:paraId="23AF60B8">
                  <w:pPr>
                    <w:widowControl/>
                    <w:jc w:val="center"/>
                    <w:textAlignment w:val="center"/>
                    <w:rPr>
                      <w:rFonts w:ascii="宋体" w:hAnsi="宋体" w:eastAsia="宋体"/>
                      <w:color w:val="auto"/>
                      <w:szCs w:val="21"/>
                      <w:highlight w:val="none"/>
                    </w:rPr>
                  </w:pPr>
                  <w:r>
                    <w:rPr>
                      <w:rFonts w:hint="eastAsia" w:ascii="宋体" w:hAnsi="宋体" w:eastAsia="宋体" w:cs="宋体"/>
                      <w:color w:val="auto"/>
                      <w:kern w:val="0"/>
                      <w:szCs w:val="21"/>
                      <w:highlight w:val="none"/>
                      <w:lang w:bidi="ar"/>
                    </w:rPr>
                    <w:t>1.05%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（不足2000元按2000元计）</w:t>
                  </w:r>
                </w:p>
              </w:tc>
            </w:tr>
            <w:tr w14:paraId="75B6D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56ED81D6">
                  <w:pPr>
                    <w:widowControl/>
                    <w:jc w:val="center"/>
                    <w:textAlignment w:val="center"/>
                    <w:rPr>
                      <w:rFonts w:ascii="宋体" w:hAnsi="宋体" w:eastAsia="宋体"/>
                      <w:color w:val="auto"/>
                      <w:szCs w:val="21"/>
                      <w:highlight w:val="none"/>
                    </w:rPr>
                  </w:pPr>
                  <w:r>
                    <w:rPr>
                      <w:rFonts w:hint="eastAsia" w:ascii="宋体" w:hAnsi="宋体" w:eastAsia="宋体" w:cs="宋体"/>
                      <w:color w:val="auto"/>
                      <w:kern w:val="0"/>
                      <w:szCs w:val="21"/>
                      <w:highlight w:val="none"/>
                      <w:lang w:bidi="ar"/>
                    </w:rPr>
                    <w:t>100-200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（超过200万按200万计算）</w:t>
                  </w:r>
                </w:p>
              </w:tc>
              <w:tc>
                <w:tcPr>
                  <w:tcW w:w="3070" w:type="dxa"/>
                  <w:tcMar>
                    <w:top w:w="0" w:type="dxa"/>
                    <w:left w:w="108" w:type="dxa"/>
                    <w:bottom w:w="0" w:type="dxa"/>
                    <w:right w:w="108" w:type="dxa"/>
                  </w:tcMar>
                  <w:vAlign w:val="center"/>
                </w:tcPr>
                <w:p w14:paraId="015EF731">
                  <w:pPr>
                    <w:widowControl/>
                    <w:jc w:val="center"/>
                    <w:textAlignment w:val="center"/>
                    <w:rPr>
                      <w:rFonts w:ascii="宋体" w:hAnsi="宋体" w:eastAsia="宋体"/>
                      <w:color w:val="auto"/>
                      <w:szCs w:val="21"/>
                      <w:highlight w:val="none"/>
                    </w:rPr>
                  </w:pPr>
                  <w:r>
                    <w:rPr>
                      <w:rFonts w:hint="eastAsia" w:ascii="宋体" w:hAnsi="宋体" w:eastAsia="宋体" w:cs="宋体"/>
                      <w:color w:val="auto"/>
                      <w:kern w:val="0"/>
                      <w:szCs w:val="21"/>
                      <w:highlight w:val="none"/>
                      <w:lang w:bidi="ar"/>
                    </w:rPr>
                    <w:t>0.77%</w:t>
                  </w:r>
                </w:p>
              </w:tc>
            </w:tr>
          </w:tbl>
          <w:p w14:paraId="17DF2423">
            <w:pPr>
              <w:adjustRightInd w:val="0"/>
              <w:snapToGrid w:val="0"/>
              <w:spacing w:line="288" w:lineRule="auto"/>
              <w:rPr>
                <w:rFonts w:ascii="宋体" w:hAnsi="宋体" w:eastAsia="宋体"/>
                <w:color w:val="auto"/>
                <w:szCs w:val="21"/>
                <w:highlight w:val="none"/>
              </w:rPr>
            </w:pPr>
          </w:p>
        </w:tc>
      </w:tr>
      <w:tr w14:paraId="32CD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BA83330">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（五）</w:t>
            </w:r>
          </w:p>
        </w:tc>
        <w:tc>
          <w:tcPr>
            <w:tcW w:w="1701" w:type="dxa"/>
            <w:vAlign w:val="center"/>
          </w:tcPr>
          <w:p w14:paraId="35DD790D">
            <w:pPr>
              <w:adjustRightInd w:val="0"/>
              <w:snapToGrid w:val="0"/>
              <w:spacing w:line="288" w:lineRule="auto"/>
              <w:ind w:right="-105" w:rightChars="-50"/>
              <w:jc w:val="center"/>
              <w:rPr>
                <w:rFonts w:ascii="宋体" w:hAnsi="宋体" w:eastAsia="宋体"/>
                <w:color w:val="auto"/>
                <w:szCs w:val="21"/>
                <w:highlight w:val="none"/>
              </w:rPr>
            </w:pPr>
            <w:r>
              <w:rPr>
                <w:rFonts w:hint="eastAsia" w:ascii="宋体" w:hAnsi="宋体" w:eastAsia="宋体" w:cs="Times New Roman"/>
                <w:color w:val="auto"/>
                <w:spacing w:val="-6"/>
                <w:szCs w:val="21"/>
                <w:highlight w:val="none"/>
              </w:rPr>
              <w:t>投标保证金（元）</w:t>
            </w:r>
          </w:p>
        </w:tc>
        <w:tc>
          <w:tcPr>
            <w:tcW w:w="6663" w:type="dxa"/>
            <w:vAlign w:val="center"/>
          </w:tcPr>
          <w:p w14:paraId="03A5FDDF">
            <w:pPr>
              <w:adjustRightInd w:val="0"/>
              <w:snapToGrid w:val="0"/>
              <w:spacing w:line="288" w:lineRule="auto"/>
              <w:rPr>
                <w:rFonts w:ascii="宋体" w:hAnsi="宋体" w:eastAsia="宋体"/>
                <w:color w:val="auto"/>
                <w:szCs w:val="21"/>
                <w:highlight w:val="none"/>
              </w:rPr>
            </w:pPr>
            <w:r>
              <w:rPr>
                <w:rFonts w:hint="eastAsia" w:ascii="宋体" w:hAnsi="宋体" w:eastAsia="宋体" w:cs="Times New Roman"/>
                <w:color w:val="auto"/>
                <w:spacing w:val="-6"/>
                <w:szCs w:val="21"/>
                <w:highlight w:val="none"/>
              </w:rPr>
              <w:t>无。</w:t>
            </w:r>
          </w:p>
        </w:tc>
      </w:tr>
      <w:tr w14:paraId="7FE4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C9AB57B">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（六）</w:t>
            </w:r>
          </w:p>
        </w:tc>
        <w:tc>
          <w:tcPr>
            <w:tcW w:w="1701" w:type="dxa"/>
            <w:vAlign w:val="center"/>
          </w:tcPr>
          <w:p w14:paraId="4E96E422">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联合体投标</w:t>
            </w:r>
          </w:p>
        </w:tc>
        <w:tc>
          <w:tcPr>
            <w:tcW w:w="6663" w:type="dxa"/>
            <w:vAlign w:val="center"/>
          </w:tcPr>
          <w:p w14:paraId="71E03103">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本项目（是）接受联合体投标。</w:t>
            </w:r>
          </w:p>
        </w:tc>
      </w:tr>
      <w:tr w14:paraId="1E0F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DA64370">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（七）</w:t>
            </w:r>
          </w:p>
        </w:tc>
        <w:tc>
          <w:tcPr>
            <w:tcW w:w="1701" w:type="dxa"/>
            <w:vAlign w:val="center"/>
          </w:tcPr>
          <w:p w14:paraId="689220C4">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转包与分包</w:t>
            </w:r>
          </w:p>
        </w:tc>
        <w:tc>
          <w:tcPr>
            <w:tcW w:w="6663" w:type="dxa"/>
            <w:vAlign w:val="center"/>
          </w:tcPr>
          <w:p w14:paraId="1C74A213">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37751719">
            <w:pPr>
              <w:adjustRightInd w:val="0"/>
              <w:snapToGrid w:val="0"/>
              <w:spacing w:line="288" w:lineRule="auto"/>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u w:val="single"/>
              </w:rPr>
              <w:t>设备运输</w:t>
            </w:r>
            <w:r>
              <w:rPr>
                <w:rFonts w:ascii="宋体" w:hAnsi="宋体" w:eastAsia="宋体"/>
                <w:color w:val="auto"/>
                <w:szCs w:val="21"/>
                <w:highlight w:val="none"/>
                <w:u w:val="single"/>
              </w:rPr>
              <w:t xml:space="preserve"> 。</w:t>
            </w:r>
          </w:p>
          <w:p w14:paraId="4D984B3E">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6855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66EECC8">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（八）</w:t>
            </w:r>
          </w:p>
        </w:tc>
        <w:tc>
          <w:tcPr>
            <w:tcW w:w="1701" w:type="dxa"/>
            <w:vAlign w:val="center"/>
          </w:tcPr>
          <w:p w14:paraId="6172C993">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b/>
                <w:bCs/>
                <w:color w:val="auto"/>
                <w:szCs w:val="21"/>
                <w:highlight w:val="none"/>
              </w:rPr>
              <w:t>信用记录</w:t>
            </w:r>
          </w:p>
        </w:tc>
        <w:tc>
          <w:tcPr>
            <w:tcW w:w="6663" w:type="dxa"/>
            <w:vAlign w:val="center"/>
          </w:tcPr>
          <w:p w14:paraId="11A3036D">
            <w:pPr>
              <w:adjustRightInd w:val="0"/>
              <w:snapToGrid w:val="0"/>
              <w:spacing w:line="288" w:lineRule="auto"/>
              <w:rPr>
                <w:rFonts w:ascii="宋体" w:hAnsi="宋体" w:eastAsia="宋体"/>
                <w:color w:val="auto"/>
                <w:szCs w:val="21"/>
                <w:highlight w:val="none"/>
              </w:rPr>
            </w:pPr>
            <w:r>
              <w:rPr>
                <w:rFonts w:hint="eastAsia" w:ascii="宋体" w:hAnsi="宋体" w:eastAsia="宋体"/>
                <w:bCs/>
                <w:color w:val="auto"/>
                <w:szCs w:val="21"/>
                <w:highlight w:val="none"/>
              </w:rPr>
              <w:t>根据财库[2016]125号《关于在政府采购活动中查询及使用信用记录有关问题的通知》要求，采购代理机构会对投标人信用记录进行查询并甄别。信用</w:t>
            </w:r>
            <w:r>
              <w:rPr>
                <w:rFonts w:hint="eastAsia" w:ascii="宋体" w:hAnsi="宋体" w:eastAsia="宋体"/>
                <w:color w:val="auto"/>
                <w:szCs w:val="21"/>
                <w:highlight w:val="none"/>
              </w:rPr>
              <w:t>信息查询的截止时点：投标截止时间；</w:t>
            </w:r>
          </w:p>
          <w:p w14:paraId="3623901A">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1</w:t>
            </w:r>
            <w:r>
              <w:rPr>
                <w:rFonts w:hint="eastAsia" w:ascii="宋体" w:hAnsi="宋体" w:eastAsia="宋体"/>
                <w:color w:val="auto"/>
                <w:szCs w:val="21"/>
                <w:highlight w:val="none"/>
              </w:rPr>
              <w:t>）查询渠道：“信用中国”（www.creditchina.gov.cn）、“中国政府采购网”（www.ccgp.gov.cn）；</w:t>
            </w:r>
          </w:p>
          <w:p w14:paraId="67FB51FD">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）信用信息查询记录和证据留存具体方式：采购代理机构经办人和监督人员将查询网页打印、签名与其他采购文件一并保存；</w:t>
            </w:r>
          </w:p>
          <w:p w14:paraId="6C536F40">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bCs/>
                <w:color w:val="auto"/>
                <w:szCs w:val="21"/>
                <w:highlight w:val="none"/>
              </w:rPr>
              <w:t>）信用信息的使用规则：投标人被列入失信被执行人、重大税收违法案件当事人名单、政府采购严重违法失信行为记录名单的，拒绝其参与政府采购活动。</w:t>
            </w:r>
          </w:p>
        </w:tc>
      </w:tr>
      <w:tr w14:paraId="42BE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AFE3BBA">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（九）</w:t>
            </w:r>
          </w:p>
        </w:tc>
        <w:tc>
          <w:tcPr>
            <w:tcW w:w="1701" w:type="dxa"/>
            <w:vAlign w:val="center"/>
          </w:tcPr>
          <w:p w14:paraId="53BD7B7D">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资格审查要求的资格证明材料</w:t>
            </w:r>
          </w:p>
        </w:tc>
        <w:tc>
          <w:tcPr>
            <w:tcW w:w="6663" w:type="dxa"/>
            <w:vAlign w:val="center"/>
          </w:tcPr>
          <w:p w14:paraId="50A2EE3F">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资格审查要求的资格证明材料（均需加盖公章）</w:t>
            </w:r>
          </w:p>
          <w:p w14:paraId="27F373F5">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1）有效的法人或者其他组织的营业执照等证明文件，自然人的身份证明</w:t>
            </w:r>
          </w:p>
          <w:p w14:paraId="41B44603">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2）符合参加政府采购活动应当具备的一般条件的承诺函</w:t>
            </w:r>
          </w:p>
          <w:p w14:paraId="3BEEA9EC">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bCs/>
                <w:color w:val="auto"/>
                <w:szCs w:val="21"/>
                <w:highlight w:val="none"/>
              </w:rPr>
              <w:t>（</w:t>
            </w:r>
            <w:r>
              <w:rPr>
                <w:rFonts w:ascii="宋体" w:hAnsi="宋体" w:eastAsia="宋体"/>
                <w:bCs/>
                <w:color w:val="auto"/>
                <w:szCs w:val="21"/>
                <w:highlight w:val="none"/>
              </w:rPr>
              <w:t>3</w:t>
            </w:r>
            <w:r>
              <w:rPr>
                <w:rFonts w:hint="eastAsia" w:ascii="宋体" w:hAnsi="宋体" w:eastAsia="宋体"/>
                <w:bCs/>
                <w:color w:val="auto"/>
                <w:szCs w:val="21"/>
                <w:highlight w:val="none"/>
              </w:rPr>
              <w:t>）</w:t>
            </w:r>
            <w:r>
              <w:rPr>
                <w:rFonts w:ascii="宋体" w:hAnsi="宋体" w:eastAsia="宋体"/>
                <w:bCs/>
                <w:color w:val="auto"/>
                <w:szCs w:val="21"/>
                <w:highlight w:val="none"/>
              </w:rPr>
              <w:t>落实政府采购政策需满足的资格要求：</w:t>
            </w:r>
            <w:r>
              <w:rPr>
                <w:rFonts w:hint="eastAsia" w:ascii="宋体" w:hAnsi="宋体" w:eastAsia="宋体"/>
                <w:bCs/>
                <w:color w:val="auto"/>
                <w:szCs w:val="21"/>
                <w:highlight w:val="none"/>
              </w:rPr>
              <w:t>无</w:t>
            </w:r>
          </w:p>
          <w:p w14:paraId="4DF98B7D">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4）</w:t>
            </w:r>
            <w:r>
              <w:rPr>
                <w:rFonts w:hint="eastAsia" w:ascii="宋体" w:hAnsi="宋体" w:eastAsia="宋体"/>
                <w:color w:val="auto"/>
                <w:szCs w:val="21"/>
                <w:highlight w:val="none"/>
              </w:rPr>
              <w:t>本项目的特定资格要求</w:t>
            </w:r>
            <w:r>
              <w:rPr>
                <w:rFonts w:ascii="宋体" w:hAnsi="宋体" w:eastAsia="宋体"/>
                <w:color w:val="auto"/>
                <w:szCs w:val="21"/>
                <w:highlight w:val="none"/>
              </w:rPr>
              <w:t>证明材料</w:t>
            </w:r>
            <w:r>
              <w:rPr>
                <w:rFonts w:ascii="宋体" w:hAnsi="宋体" w:eastAsia="宋体"/>
                <w:bCs/>
                <w:color w:val="auto"/>
                <w:szCs w:val="21"/>
                <w:highlight w:val="none"/>
              </w:rPr>
              <w:t>：</w:t>
            </w:r>
            <w:r>
              <w:rPr>
                <w:rFonts w:hint="eastAsia" w:ascii="宋体" w:hAnsi="宋体" w:eastAsia="宋体"/>
                <w:bCs/>
                <w:color w:val="auto"/>
                <w:szCs w:val="21"/>
                <w:highlight w:val="none"/>
              </w:rPr>
              <w:t>无</w:t>
            </w:r>
          </w:p>
          <w:p w14:paraId="7969228F">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（5）</w:t>
            </w:r>
            <w:r>
              <w:rPr>
                <w:rFonts w:hint="eastAsia" w:ascii="宋体" w:hAnsi="宋体" w:eastAsia="宋体"/>
                <w:color w:val="auto"/>
                <w:szCs w:val="21"/>
                <w:highlight w:val="none"/>
                <w:lang w:val="zh-CN"/>
              </w:rPr>
              <w:t>联合协议</w:t>
            </w:r>
            <w:r>
              <w:rPr>
                <w:rFonts w:hint="eastAsia" w:ascii="宋体" w:hAnsi="宋体" w:eastAsia="宋体"/>
                <w:color w:val="auto"/>
                <w:szCs w:val="21"/>
                <w:highlight w:val="none"/>
              </w:rPr>
              <w:t>（以联合体形式投标的，提供联合协议；本项目不接受联合体投标或者投标人不以联合体形式投标的，则不需要提供）</w:t>
            </w:r>
          </w:p>
          <w:p w14:paraId="4BBD6C05">
            <w:pPr>
              <w:adjustRightInd w:val="0"/>
              <w:snapToGrid w:val="0"/>
              <w:spacing w:line="288" w:lineRule="auto"/>
              <w:rPr>
                <w:rFonts w:ascii="宋体" w:hAnsi="宋体" w:eastAsia="宋体"/>
                <w:bCs/>
                <w:color w:val="auto"/>
                <w:szCs w:val="21"/>
                <w:highlight w:val="none"/>
              </w:rPr>
            </w:pPr>
          </w:p>
        </w:tc>
      </w:tr>
      <w:tr w14:paraId="3295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50E72BC">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w:t>
            </w:r>
          </w:p>
        </w:tc>
        <w:tc>
          <w:tcPr>
            <w:tcW w:w="1701" w:type="dxa"/>
            <w:vAlign w:val="center"/>
          </w:tcPr>
          <w:p w14:paraId="6CD37DDD">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投标文件份数</w:t>
            </w:r>
          </w:p>
        </w:tc>
        <w:tc>
          <w:tcPr>
            <w:tcW w:w="6663" w:type="dxa"/>
            <w:vAlign w:val="center"/>
          </w:tcPr>
          <w:p w14:paraId="061C598E">
            <w:pPr>
              <w:adjustRightInd w:val="0"/>
              <w:snapToGrid w:val="0"/>
              <w:spacing w:line="288" w:lineRule="auto"/>
              <w:ind w:firstLine="396" w:firstLineChars="200"/>
              <w:jc w:val="left"/>
              <w:rPr>
                <w:rFonts w:ascii="宋体" w:hAnsi="宋体" w:eastAsia="宋体"/>
                <w:bCs/>
                <w:color w:val="auto"/>
                <w:spacing w:val="-6"/>
                <w:szCs w:val="21"/>
                <w:highlight w:val="none"/>
              </w:rPr>
            </w:pPr>
            <w:r>
              <w:rPr>
                <w:rFonts w:hint="eastAsia" w:ascii="宋体" w:hAnsi="宋体" w:eastAsia="宋体"/>
                <w:bCs/>
                <w:color w:val="auto"/>
                <w:spacing w:val="-6"/>
                <w:szCs w:val="21"/>
                <w:highlight w:val="none"/>
              </w:rPr>
              <w:t>电子加密投标文件：政府采购云平台在线上传一份；</w:t>
            </w:r>
          </w:p>
          <w:p w14:paraId="577C1E65">
            <w:pPr>
              <w:adjustRightInd w:val="0"/>
              <w:snapToGrid w:val="0"/>
              <w:spacing w:line="288" w:lineRule="auto"/>
              <w:ind w:firstLine="396" w:firstLineChars="200"/>
              <w:jc w:val="left"/>
              <w:rPr>
                <w:rFonts w:ascii="宋体" w:hAnsi="宋体" w:eastAsia="宋体" w:cs="宋体"/>
                <w:bCs/>
                <w:color w:val="auto"/>
                <w:szCs w:val="21"/>
                <w:highlight w:val="none"/>
              </w:rPr>
            </w:pPr>
            <w:r>
              <w:rPr>
                <w:rFonts w:hint="eastAsia" w:ascii="宋体" w:hAnsi="宋体" w:eastAsia="宋体"/>
                <w:bCs/>
                <w:color w:val="auto"/>
                <w:spacing w:val="-6"/>
                <w:szCs w:val="21"/>
                <w:highlight w:val="none"/>
              </w:rPr>
              <w:t>备份投标文件：密封包装后EMS或顺丰邮寄形式递交一份（邮寄地址：</w:t>
            </w:r>
            <w:r>
              <w:rPr>
                <w:rFonts w:hint="eastAsia" w:ascii="宋体" w:hAnsi="宋体" w:eastAsia="宋体" w:cs="宋体"/>
                <w:bCs/>
                <w:color w:val="auto"/>
                <w:szCs w:val="21"/>
                <w:highlight w:val="none"/>
              </w:rPr>
              <w:t>杭州市西湖区玉古路173号中田大厦21楼H室，</w:t>
            </w:r>
            <w:r>
              <w:rPr>
                <w:rFonts w:hint="eastAsia" w:ascii="宋体" w:hAnsi="宋体" w:eastAsia="宋体" w:cs="宋体"/>
                <w:bCs/>
                <w:color w:val="auto"/>
                <w:szCs w:val="21"/>
                <w:highlight w:val="none"/>
              </w:rPr>
              <w:t>浙江求是招标代理有限公司（</w:t>
            </w:r>
            <w:r>
              <w:rPr>
                <w:rFonts w:hint="eastAsia" w:ascii="宋体" w:hAnsi="宋体" w:eastAsia="宋体" w:cs="宋体"/>
                <w:bCs/>
                <w:color w:val="auto"/>
                <w:szCs w:val="21"/>
                <w:highlight w:val="none"/>
                <w:lang w:eastAsia="zh-CN"/>
              </w:rPr>
              <w:t>温瑶</w:t>
            </w:r>
            <w:r>
              <w:rPr>
                <w:rFonts w:hint="eastAsia" w:ascii="宋体" w:hAnsi="宋体" w:eastAsia="宋体" w:cs="宋体"/>
                <w:bCs/>
                <w:color w:val="auto"/>
                <w:szCs w:val="21"/>
                <w:highlight w:val="none"/>
              </w:rPr>
              <w:t>）收，电话：</w:t>
            </w:r>
            <w:r>
              <w:rPr>
                <w:rFonts w:hint="eastAsia" w:ascii="宋体" w:hAnsi="宋体" w:eastAsia="宋体" w:cs="宋体"/>
                <w:bCs/>
                <w:color w:val="auto"/>
                <w:szCs w:val="21"/>
                <w:highlight w:val="none"/>
                <w:lang w:eastAsia="zh-CN"/>
              </w:rPr>
              <w:t>0571-87666115</w:t>
            </w:r>
            <w:r>
              <w:rPr>
                <w:rFonts w:hint="eastAsia" w:ascii="宋体" w:hAnsi="宋体" w:eastAsia="宋体" w:cs="宋体"/>
                <w:bCs/>
                <w:color w:val="auto"/>
                <w:szCs w:val="21"/>
                <w:highlight w:val="none"/>
              </w:rPr>
              <w:t>，寄出后将（快递单号、项目名称、公司名称、联系方式等相关信息）发至：</w:t>
            </w:r>
            <w:r>
              <w:rPr>
                <w:rFonts w:hint="eastAsia" w:ascii="宋体" w:hAnsi="宋体" w:eastAsia="宋体" w:cs="宋体"/>
                <w:bCs/>
                <w:color w:val="auto"/>
                <w:szCs w:val="21"/>
                <w:highlight w:val="none"/>
                <w:lang w:eastAsia="zh-CN"/>
              </w:rPr>
              <w:t>zb03@qszb.net</w:t>
            </w:r>
            <w:r>
              <w:rPr>
                <w:rFonts w:hint="eastAsia" w:ascii="宋体" w:hAnsi="宋体" w:eastAsia="宋体" w:cs="宋体"/>
                <w:bCs/>
                <w:color w:val="auto"/>
                <w:szCs w:val="21"/>
                <w:highlight w:val="none"/>
              </w:rPr>
              <w:t>，以便查收）。</w:t>
            </w:r>
          </w:p>
          <w:p w14:paraId="675EEC05">
            <w:pPr>
              <w:adjustRightInd w:val="0"/>
              <w:snapToGrid w:val="0"/>
              <w:spacing w:line="288" w:lineRule="auto"/>
              <w:ind w:firstLine="422" w:firstLineChars="200"/>
              <w:jc w:val="left"/>
              <w:rPr>
                <w:rFonts w:ascii="宋体" w:hAnsi="宋体" w:eastAsia="宋体"/>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tc>
      </w:tr>
      <w:tr w14:paraId="6B0C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1F3AC89">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（十一）</w:t>
            </w:r>
          </w:p>
        </w:tc>
        <w:tc>
          <w:tcPr>
            <w:tcW w:w="1701" w:type="dxa"/>
            <w:vAlign w:val="center"/>
          </w:tcPr>
          <w:p w14:paraId="704FCA3B">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投标报价</w:t>
            </w:r>
          </w:p>
        </w:tc>
        <w:tc>
          <w:tcPr>
            <w:tcW w:w="6663" w:type="dxa"/>
            <w:vAlign w:val="center"/>
          </w:tcPr>
          <w:p w14:paraId="79AB09A3">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6826AD6D">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2.以人民币报价；</w:t>
            </w:r>
          </w:p>
          <w:p w14:paraId="0A18A70F">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w:t>
            </w:r>
            <w:r>
              <w:rPr>
                <w:rFonts w:hint="eastAsia" w:ascii="宋体" w:hAnsi="宋体" w:eastAsia="宋体"/>
                <w:color w:val="auto"/>
                <w:szCs w:val="21"/>
                <w:highlight w:val="none"/>
              </w:rPr>
              <w:t>总价不为零，</w:t>
            </w:r>
            <w:r>
              <w:rPr>
                <w:rFonts w:hint="eastAsia" w:ascii="宋体" w:hAnsi="宋体" w:eastAsia="宋体"/>
                <w:color w:val="auto"/>
                <w:szCs w:val="21"/>
                <w:highlight w:val="none"/>
                <w:lang w:val="en-US" w:eastAsia="zh-CN"/>
              </w:rPr>
              <w:t>分项报价</w:t>
            </w:r>
            <w:r>
              <w:rPr>
                <w:rFonts w:hint="eastAsia" w:ascii="宋体" w:hAnsi="宋体" w:eastAsia="宋体"/>
                <w:color w:val="auto"/>
                <w:szCs w:val="21"/>
                <w:highlight w:val="none"/>
              </w:rPr>
              <w:t>中部分产品、服务单价为零的，视作已包含在总价中。</w:t>
            </w:r>
          </w:p>
          <w:p w14:paraId="36646E48">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56F5A2AF">
            <w:pPr>
              <w:pStyle w:val="13"/>
              <w:adjustRightInd w:val="0"/>
              <w:snapToGrid w:val="0"/>
              <w:spacing w:before="0" w:beforeLines="0" w:after="0" w:afterLines="0" w:line="288" w:lineRule="auto"/>
              <w:jc w:val="left"/>
              <w:rPr>
                <w:rFonts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p w14:paraId="012AD94C">
            <w:pPr>
              <w:pStyle w:val="13"/>
              <w:adjustRightInd w:val="0"/>
              <w:snapToGrid w:val="0"/>
              <w:spacing w:before="0" w:beforeLines="0" w:after="0" w:afterLines="0" w:line="288" w:lineRule="auto"/>
              <w:jc w:val="left"/>
              <w:rPr>
                <w:rFonts w:hAnsi="宋体" w:eastAsia="宋体" w:cs="宋体"/>
                <w:color w:val="auto"/>
                <w:sz w:val="21"/>
                <w:szCs w:val="21"/>
                <w:highlight w:val="none"/>
              </w:rPr>
            </w:pPr>
            <w:r>
              <w:rPr>
                <w:rFonts w:hint="eastAsia" w:hAnsi="宋体" w:eastAsia="宋体" w:cs="宋体"/>
                <w:color w:val="auto"/>
                <w:sz w:val="21"/>
                <w:szCs w:val="21"/>
                <w:highlight w:val="none"/>
              </w:rPr>
              <w:t>6.供应商不得进行影响产品质量或者诚信履约的恶意报价。供应商报价低于项目预算50%的，应当在报价文件中提供说明，详细阐述不影响产品质量或者诚信履约的具体原因。</w:t>
            </w:r>
          </w:p>
        </w:tc>
      </w:tr>
      <w:tr w14:paraId="7B5B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DA8772A">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（十二）</w:t>
            </w:r>
          </w:p>
        </w:tc>
        <w:tc>
          <w:tcPr>
            <w:tcW w:w="1701" w:type="dxa"/>
            <w:vAlign w:val="center"/>
          </w:tcPr>
          <w:p w14:paraId="2805998D">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投标有效期</w:t>
            </w:r>
          </w:p>
        </w:tc>
        <w:tc>
          <w:tcPr>
            <w:tcW w:w="6663" w:type="dxa"/>
            <w:vAlign w:val="center"/>
          </w:tcPr>
          <w:p w14:paraId="76B87745">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▲从提交投标文件的截止之日起</w:t>
            </w:r>
            <w:r>
              <w:rPr>
                <w:rFonts w:ascii="宋体" w:hAnsi="宋体" w:eastAsia="宋体"/>
                <w:color w:val="auto"/>
                <w:szCs w:val="21"/>
                <w:highlight w:val="none"/>
              </w:rPr>
              <w:t>90天，在原投标有效期满之前，如果出现特殊情况，采购人或采购代理机构以书面形式通知投标人延长投标有效期。</w:t>
            </w:r>
          </w:p>
        </w:tc>
      </w:tr>
      <w:tr w14:paraId="3984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1D76CE3">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（十三）</w:t>
            </w:r>
          </w:p>
        </w:tc>
        <w:tc>
          <w:tcPr>
            <w:tcW w:w="1701" w:type="dxa"/>
            <w:vAlign w:val="center"/>
          </w:tcPr>
          <w:p w14:paraId="0291164D">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评标方法和评标标准</w:t>
            </w:r>
          </w:p>
        </w:tc>
        <w:tc>
          <w:tcPr>
            <w:tcW w:w="6663" w:type="dxa"/>
            <w:vAlign w:val="center"/>
          </w:tcPr>
          <w:p w14:paraId="7FE98720">
            <w:pPr>
              <w:adjustRightInd w:val="0"/>
              <w:snapToGrid w:val="0"/>
              <w:spacing w:line="288" w:lineRule="auto"/>
              <w:rPr>
                <w:rFonts w:ascii="宋体" w:hAnsi="宋体" w:eastAsia="宋体"/>
                <w:color w:val="auto"/>
                <w:szCs w:val="21"/>
                <w:highlight w:val="none"/>
              </w:rPr>
            </w:pPr>
            <w:r>
              <w:rPr>
                <w:rFonts w:ascii="宋体" w:hAnsi="宋体" w:eastAsia="宋体"/>
                <w:color w:val="auto"/>
                <w:szCs w:val="21"/>
                <w:highlight w:val="none"/>
              </w:rPr>
              <w:t>详见“</w:t>
            </w:r>
            <w:r>
              <w:rPr>
                <w:rFonts w:hint="eastAsia" w:ascii="宋体" w:hAnsi="宋体" w:eastAsia="宋体"/>
                <w:color w:val="auto"/>
                <w:szCs w:val="21"/>
                <w:highlight w:val="none"/>
              </w:rPr>
              <w:t>第四章  评标方法和评标标准</w:t>
            </w:r>
            <w:r>
              <w:rPr>
                <w:rFonts w:ascii="宋体" w:hAnsi="宋体" w:eastAsia="宋体"/>
                <w:color w:val="auto"/>
                <w:szCs w:val="21"/>
                <w:highlight w:val="none"/>
              </w:rPr>
              <w:t>”</w:t>
            </w:r>
            <w:r>
              <w:rPr>
                <w:rFonts w:hint="eastAsia" w:ascii="宋体" w:hAnsi="宋体" w:eastAsia="宋体"/>
                <w:color w:val="auto"/>
                <w:szCs w:val="21"/>
                <w:highlight w:val="none"/>
              </w:rPr>
              <w:t>。</w:t>
            </w:r>
          </w:p>
        </w:tc>
      </w:tr>
      <w:tr w14:paraId="4A1F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CACA790">
            <w:pPr>
              <w:adjustRightInd w:val="0"/>
              <w:snapToGrid w:val="0"/>
              <w:spacing w:line="288" w:lineRule="auto"/>
              <w:jc w:val="center"/>
              <w:rPr>
                <w:rFonts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十四</w:t>
            </w:r>
            <w:r>
              <w:rPr>
                <w:rFonts w:ascii="宋体" w:hAnsi="宋体" w:eastAsia="宋体"/>
                <w:color w:val="auto"/>
                <w:szCs w:val="21"/>
                <w:highlight w:val="none"/>
              </w:rPr>
              <w:t>）</w:t>
            </w:r>
          </w:p>
        </w:tc>
        <w:tc>
          <w:tcPr>
            <w:tcW w:w="1701" w:type="dxa"/>
            <w:vAlign w:val="center"/>
          </w:tcPr>
          <w:p w14:paraId="20344190">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评标结果公示</w:t>
            </w:r>
          </w:p>
        </w:tc>
        <w:tc>
          <w:tcPr>
            <w:tcW w:w="6663" w:type="dxa"/>
            <w:vAlign w:val="center"/>
          </w:tcPr>
          <w:p w14:paraId="019E608F">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评标结果公示媒体：浙江政府采购网（http://zfcg.czt.zj.gov.cn）。</w:t>
            </w:r>
          </w:p>
        </w:tc>
      </w:tr>
      <w:tr w14:paraId="1621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214697C">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（十五）</w:t>
            </w:r>
          </w:p>
        </w:tc>
        <w:tc>
          <w:tcPr>
            <w:tcW w:w="1701" w:type="dxa"/>
            <w:vAlign w:val="center"/>
          </w:tcPr>
          <w:p w14:paraId="7170CEB7">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签订合同</w:t>
            </w:r>
          </w:p>
        </w:tc>
        <w:tc>
          <w:tcPr>
            <w:tcW w:w="6663" w:type="dxa"/>
            <w:vAlign w:val="center"/>
          </w:tcPr>
          <w:p w14:paraId="12ECDAE4">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中标通知书发出之日起30日内。</w:t>
            </w:r>
          </w:p>
        </w:tc>
      </w:tr>
    </w:tbl>
    <w:p w14:paraId="1C8E7640">
      <w:pPr>
        <w:adjustRightInd w:val="0"/>
        <w:snapToGrid w:val="0"/>
        <w:spacing w:line="288" w:lineRule="auto"/>
        <w:rPr>
          <w:rFonts w:ascii="宋体" w:hAnsi="宋体" w:eastAsia="宋体"/>
          <w:color w:val="auto"/>
          <w:szCs w:val="21"/>
          <w:highlight w:val="none"/>
        </w:rPr>
      </w:pPr>
    </w:p>
    <w:p w14:paraId="2E47E5FC">
      <w:pPr>
        <w:adjustRightInd w:val="0"/>
        <w:snapToGrid w:val="0"/>
        <w:spacing w:line="288" w:lineRule="auto"/>
        <w:rPr>
          <w:rFonts w:ascii="宋体" w:hAnsi="宋体" w:eastAsia="宋体"/>
          <w:color w:val="auto"/>
          <w:szCs w:val="21"/>
          <w:highlight w:val="none"/>
        </w:rPr>
      </w:pPr>
      <w:r>
        <w:rPr>
          <w:rFonts w:ascii="宋体" w:hAnsi="宋体" w:eastAsia="宋体"/>
          <w:color w:val="auto"/>
          <w:szCs w:val="21"/>
          <w:highlight w:val="none"/>
        </w:rPr>
        <w:br w:type="page"/>
      </w:r>
    </w:p>
    <w:p w14:paraId="6E063E55">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一</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总</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则</w:t>
      </w:r>
    </w:p>
    <w:p w14:paraId="31DED215">
      <w:pP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2" w:name="_Hlk94018326"/>
      <w:r>
        <w:rPr>
          <w:rFonts w:ascii="宋体" w:hAnsi="宋体" w:eastAsia="宋体" w:cs="Times New Roman"/>
          <w:color w:val="auto"/>
          <w:spacing w:val="-6"/>
          <w:szCs w:val="21"/>
          <w:highlight w:val="none"/>
        </w:rPr>
        <w:t>投标人应仔细阅读招标文件的所有内容，按照招标文件的要求提交投标文件，并对所提供的全部资料的真实性承担法律责任。</w:t>
      </w:r>
    </w:p>
    <w:bookmarkEnd w:id="42"/>
    <w:p w14:paraId="4670DC55">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适用范围</w:t>
      </w:r>
    </w:p>
    <w:p w14:paraId="05745BA1">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本招标文件适用于</w:t>
      </w:r>
      <w:r>
        <w:rPr>
          <w:rFonts w:hint="eastAsia" w:ascii="宋体" w:hAnsi="宋体" w:eastAsia="宋体" w:cs="Times New Roman"/>
          <w:color w:val="auto"/>
          <w:spacing w:val="-6"/>
          <w:szCs w:val="21"/>
          <w:highlight w:val="none"/>
          <w:lang w:eastAsia="zh-CN"/>
        </w:rPr>
        <w:t>浙江工商大学未来营养健康与共同富裕计算设备更新-共同富裕计算设备（第一批）</w:t>
      </w:r>
      <w:r>
        <w:rPr>
          <w:rFonts w:hint="eastAsia" w:ascii="宋体" w:hAnsi="宋体" w:eastAsia="宋体" w:cs="Times New Roman"/>
          <w:color w:val="auto"/>
          <w:spacing w:val="-6"/>
          <w:szCs w:val="21"/>
          <w:highlight w:val="none"/>
        </w:rPr>
        <w:t>的招标、评标、定标、验收、合同履约、付款等（法律、法规另有规定的，从其规定）。</w:t>
      </w:r>
    </w:p>
    <w:p w14:paraId="729AD766">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（二）定义</w:t>
      </w:r>
    </w:p>
    <w:p w14:paraId="1CF1824C">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w:t>
      </w:r>
      <w:r>
        <w:rPr>
          <w:rFonts w:ascii="宋体" w:hAnsi="宋体" w:eastAsia="宋体" w:cs="Times New Roman"/>
          <w:color w:val="auto"/>
          <w:spacing w:val="-6"/>
          <w:szCs w:val="21"/>
          <w:highlight w:val="none"/>
        </w:rPr>
        <w:t>人</w:t>
      </w:r>
      <w:r>
        <w:rPr>
          <w:rFonts w:hint="eastAsia" w:ascii="宋体" w:hAnsi="宋体" w:eastAsia="宋体" w:cs="Times New Roman"/>
          <w:color w:val="auto"/>
          <w:spacing w:val="-6"/>
          <w:szCs w:val="21"/>
          <w:highlight w:val="none"/>
        </w:rPr>
        <w:t>”系指</w:t>
      </w:r>
      <w:r>
        <w:rPr>
          <w:rFonts w:hint="eastAsia" w:ascii="宋体" w:hAnsi="宋体" w:eastAsia="宋体" w:cs="Times New Roman"/>
          <w:color w:val="auto"/>
          <w:spacing w:val="-6"/>
          <w:szCs w:val="21"/>
          <w:highlight w:val="none"/>
          <w:lang w:eastAsia="zh-CN"/>
        </w:rPr>
        <w:t>浙江工商大学</w:t>
      </w:r>
      <w:r>
        <w:rPr>
          <w:rFonts w:hint="eastAsia" w:ascii="宋体" w:hAnsi="宋体" w:eastAsia="宋体" w:cs="Times New Roman"/>
          <w:color w:val="auto"/>
          <w:spacing w:val="-6"/>
          <w:szCs w:val="21"/>
          <w:highlight w:val="none"/>
        </w:rPr>
        <w:t>；</w:t>
      </w:r>
    </w:p>
    <w:p w14:paraId="157529D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2.“采购代理机构”系指组织本次招标的浙江求是招标代理有限公司；</w:t>
      </w:r>
    </w:p>
    <w:p w14:paraId="10CB7AA8">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“投标人”系指响应招标、参加投标竞争的法人、其他组织或者自然人；</w:t>
      </w:r>
    </w:p>
    <w:p w14:paraId="7544B635">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4.“书面形式”包括合同书、信件和数据电文(包括电报、电传、传真、电子数据交换和电子邮件)等可以有形地表现所载内容的形式。</w:t>
      </w:r>
    </w:p>
    <w:p w14:paraId="14063837">
      <w:pPr>
        <w:adjustRightInd w:val="0"/>
        <w:snapToGrid w:val="0"/>
        <w:spacing w:line="288" w:lineRule="auto"/>
        <w:ind w:firstLine="396" w:firstLineChars="200"/>
        <w:jc w:val="left"/>
        <w:rPr>
          <w:rFonts w:ascii="宋体" w:hAnsi="宋体" w:eastAsia="宋体"/>
          <w:color w:val="auto"/>
          <w:szCs w:val="21"/>
          <w:highlight w:val="none"/>
        </w:rPr>
      </w:pPr>
      <w:r>
        <w:rPr>
          <w:rFonts w:hint="eastAsia" w:ascii="宋体" w:hAnsi="宋体" w:eastAsia="宋体" w:cs="Times New Roman"/>
          <w:color w:val="auto"/>
          <w:spacing w:val="-6"/>
          <w:szCs w:val="21"/>
          <w:highlight w:val="none"/>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3" w:name="_Hlk96327615"/>
      <w:r>
        <w:rPr>
          <w:rFonts w:ascii="宋体" w:hAnsi="宋体" w:eastAsia="宋体"/>
          <w:color w:val="auto"/>
          <w:szCs w:val="21"/>
          <w:highlight w:val="none"/>
        </w:rPr>
        <w:t>“电子签名”系指数据电文中以电子形式所含、所附用于识别签名人身份并表明签名人认可其中内容的数据；</w:t>
      </w:r>
      <w:r>
        <w:rPr>
          <w:rFonts w:hint="eastAsia" w:ascii="宋体" w:hAnsi="宋体" w:eastAsia="宋体"/>
          <w:color w:val="auto"/>
          <w:szCs w:val="21"/>
          <w:highlight w:val="none"/>
        </w:rPr>
        <w:t>“公章”系指单位法定名称章。因特殊原因需要使用冠以法定名称的业务专用章的，投标时须提供《业务专用章使用说明函》（附件1）。</w:t>
      </w:r>
    </w:p>
    <w:p w14:paraId="3E65A077">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招标文件对投标文件签署、盖章的要求适用于电子签名。</w:t>
      </w:r>
    </w:p>
    <w:bookmarkEnd w:id="43"/>
    <w:p w14:paraId="3299225A">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.“▲”系指实质性要求条款，投标人应当做出实质性响应。</w:t>
      </w:r>
    </w:p>
    <w:p w14:paraId="5DC94741">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（三）招标方式</w:t>
      </w:r>
    </w:p>
    <w:p w14:paraId="1C7CFAB2">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本次招标采用公开招标（线上电子招投标）方式进行。</w:t>
      </w:r>
    </w:p>
    <w:p w14:paraId="67A09521">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（四）投标费用</w:t>
      </w:r>
    </w:p>
    <w:p w14:paraId="05877922">
      <w:pP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1.不论投标结果如何，投标人均应自行承担所有与投标有关的全部费用；</w:t>
      </w:r>
    </w:p>
    <w:p w14:paraId="6D52B1DA">
      <w:pP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2.中标人在中标通知书发出之日起七个工作日内，向采购代理机构交纳代理服务费；</w:t>
      </w:r>
    </w:p>
    <w:p w14:paraId="2D130B1F">
      <w:pP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1E2B909D">
      <w:pPr>
        <w:adjustRightInd w:val="0"/>
        <w:snapToGrid w:val="0"/>
        <w:spacing w:line="288" w:lineRule="auto"/>
        <w:ind w:firstLine="424" w:firstLineChars="202"/>
        <w:jc w:val="left"/>
        <w:rPr>
          <w:rFonts w:ascii="宋体" w:hAnsi="宋体" w:eastAsia="宋体" w:cs="Times New Roman"/>
          <w:color w:val="auto"/>
          <w:spacing w:val="-6"/>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pacing w:val="-6"/>
          <w:szCs w:val="21"/>
          <w:highlight w:val="none"/>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2833"/>
      </w:tblGrid>
      <w:tr w14:paraId="25C1D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E8781BF">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833" w:type="dxa"/>
            <w:tcMar>
              <w:top w:w="0" w:type="dxa"/>
              <w:left w:w="108" w:type="dxa"/>
              <w:bottom w:w="0" w:type="dxa"/>
              <w:right w:w="108" w:type="dxa"/>
            </w:tcMar>
            <w:vAlign w:val="center"/>
          </w:tcPr>
          <w:p w14:paraId="47943852">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收费标准（费率，%）</w:t>
            </w:r>
          </w:p>
        </w:tc>
      </w:tr>
      <w:tr w14:paraId="3A940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14F9C57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100以下</w:t>
            </w:r>
          </w:p>
        </w:tc>
        <w:tc>
          <w:tcPr>
            <w:tcW w:w="2833" w:type="dxa"/>
            <w:tcMar>
              <w:top w:w="0" w:type="dxa"/>
              <w:left w:w="108" w:type="dxa"/>
              <w:bottom w:w="0" w:type="dxa"/>
              <w:right w:w="108" w:type="dxa"/>
            </w:tcMar>
            <w:vAlign w:val="center"/>
          </w:tcPr>
          <w:p w14:paraId="7C828BC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（不足2000元按2000元计）</w:t>
            </w:r>
          </w:p>
        </w:tc>
      </w:tr>
      <w:tr w14:paraId="04F25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2CB3CF1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100-200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（超过200万按200万计算）</w:t>
            </w:r>
          </w:p>
        </w:tc>
        <w:tc>
          <w:tcPr>
            <w:tcW w:w="2833" w:type="dxa"/>
            <w:tcMar>
              <w:top w:w="0" w:type="dxa"/>
              <w:left w:w="108" w:type="dxa"/>
              <w:bottom w:w="0" w:type="dxa"/>
              <w:right w:w="108" w:type="dxa"/>
            </w:tcMar>
            <w:vAlign w:val="center"/>
          </w:tcPr>
          <w:p w14:paraId="72F04C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0.77%</w:t>
            </w:r>
          </w:p>
        </w:tc>
      </w:tr>
    </w:tbl>
    <w:p w14:paraId="733C1508">
      <w:pPr>
        <w:adjustRightInd w:val="0"/>
        <w:snapToGrid w:val="0"/>
        <w:spacing w:line="288" w:lineRule="auto"/>
        <w:ind w:firstLine="399" w:firstLineChars="202"/>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投标保证金（元）：无。</w:t>
      </w:r>
    </w:p>
    <w:p w14:paraId="12C84CE5">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（五）投标委托</w:t>
      </w:r>
    </w:p>
    <w:p w14:paraId="1909536B">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1.投标人代表是法定代表人（单位负责人、自然人本人）的，须提供本人身份证明。</w:t>
      </w:r>
    </w:p>
    <w:p w14:paraId="4B4F1A15">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2.投标人代表不是法定代表人（单位负责人、自然人本人）的，须提供授权委托书（格式详见招标文件第六章）和授权代表社保缴纳证明</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lang w:eastAsia="zh-CN"/>
        </w:rPr>
        <w:t>2024年6月（含）</w:t>
      </w:r>
      <w:r>
        <w:rPr>
          <w:rFonts w:ascii="宋体" w:hAnsi="宋体" w:eastAsia="宋体" w:cs="Times New Roman"/>
          <w:color w:val="auto"/>
          <w:spacing w:val="-6"/>
          <w:szCs w:val="21"/>
          <w:highlight w:val="none"/>
        </w:rPr>
        <w:t>以后任意一月）；</w:t>
      </w:r>
    </w:p>
    <w:p w14:paraId="7EFF6AF6">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3.投标人委派不在本单位缴纳社保的人员作为授权代表的，应当在投标文件中，说明具体原因、授权代表缴纳社保的单位，并附列该授权代表缴纳社保清单。</w:t>
      </w:r>
    </w:p>
    <w:p w14:paraId="1D8E9BB6">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（六）联合体投标</w:t>
      </w:r>
    </w:p>
    <w:p w14:paraId="50D61F64">
      <w:pPr>
        <w:adjustRightInd w:val="0"/>
        <w:snapToGrid w:val="0"/>
        <w:spacing w:line="288"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olor w:val="auto"/>
          <w:szCs w:val="21"/>
          <w:highlight w:val="none"/>
        </w:rPr>
        <w:t>（是）</w:t>
      </w:r>
      <w:r>
        <w:rPr>
          <w:rFonts w:hint="eastAsia" w:ascii="宋体" w:hAnsi="宋体" w:eastAsia="宋体" w:cs="宋体"/>
          <w:color w:val="auto"/>
          <w:szCs w:val="21"/>
          <w:highlight w:val="none"/>
        </w:rPr>
        <w:t>接受联合体投标。</w:t>
      </w:r>
    </w:p>
    <w:p w14:paraId="3A968399">
      <w:pPr>
        <w:spacing w:line="288"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两个以上的自然人、法人或者其他组织可以组成一个联合体，以一个供应商的身份共同参加政府采购。</w:t>
      </w:r>
    </w:p>
    <w:p w14:paraId="231BC8A6">
      <w:pPr>
        <w:adjustRightInd w:val="0"/>
        <w:snapToGrid w:val="0"/>
        <w:spacing w:line="288"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5F039853">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（七）转包与分包</w:t>
      </w:r>
    </w:p>
    <w:p w14:paraId="60A77BB4">
      <w:pPr>
        <w:adjustRightInd w:val="0"/>
        <w:snapToGrid w:val="0"/>
        <w:spacing w:line="288" w:lineRule="auto"/>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3A0BBE22">
      <w:pPr>
        <w:adjustRightInd w:val="0"/>
        <w:snapToGrid w:val="0"/>
        <w:spacing w:line="288" w:lineRule="auto"/>
        <w:ind w:firstLine="424" w:firstLineChars="202"/>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p>
    <w:p w14:paraId="168F5BB3">
      <w:pPr>
        <w:adjustRightInd w:val="0"/>
        <w:snapToGrid w:val="0"/>
        <w:spacing w:line="288" w:lineRule="auto"/>
        <w:ind w:firstLine="424" w:firstLineChars="202"/>
        <w:jc w:val="left"/>
        <w:rPr>
          <w:rFonts w:ascii="宋体" w:hAnsi="宋体" w:eastAsia="宋体"/>
          <w:color w:val="auto"/>
          <w:szCs w:val="21"/>
          <w:highlight w:val="none"/>
        </w:rPr>
      </w:pPr>
      <w:r>
        <w:rPr>
          <w:rFonts w:ascii="宋体" w:hAnsi="宋体" w:eastAsia="宋体"/>
          <w:color w:val="auto"/>
          <w:szCs w:val="21"/>
          <w:highlight w:val="none"/>
          <w:u w:val="single"/>
        </w:rPr>
        <w:t xml:space="preserve">  </w:t>
      </w:r>
      <w:r>
        <w:rPr>
          <w:rFonts w:hint="eastAsia" w:ascii="宋体" w:hAnsi="宋体" w:eastAsia="宋体"/>
          <w:color w:val="auto"/>
          <w:szCs w:val="21"/>
          <w:highlight w:val="none"/>
          <w:u w:val="single"/>
        </w:rPr>
        <w:t>设备运输</w:t>
      </w:r>
      <w:r>
        <w:rPr>
          <w:rFonts w:ascii="宋体" w:hAnsi="宋体" w:eastAsia="宋体"/>
          <w:color w:val="auto"/>
          <w:szCs w:val="21"/>
          <w:highlight w:val="none"/>
          <w:u w:val="single"/>
        </w:rPr>
        <w:t xml:space="preserve">  。</w:t>
      </w:r>
    </w:p>
    <w:p w14:paraId="1C383D1F">
      <w:pPr>
        <w:adjustRightInd w:val="0"/>
        <w:snapToGrid w:val="0"/>
        <w:spacing w:line="288" w:lineRule="auto"/>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3D4D5779">
      <w:pPr>
        <w:adjustRightInd w:val="0"/>
        <w:snapToGrid w:val="0"/>
        <w:spacing w:line="288" w:lineRule="auto"/>
        <w:ind w:firstLine="402" w:firstLineChars="202"/>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（八）质疑和投诉</w:t>
      </w:r>
    </w:p>
    <w:p w14:paraId="7241FD9D">
      <w:pP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4" w:name="_Hlk92273406"/>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供应商认为采购文件、采购过程、中标或者成交结果使自己的权益受到损害的，可以在知道或者应知其权益受到损害之日起</w:t>
      </w:r>
      <w:r>
        <w:rPr>
          <w:rFonts w:ascii="宋体" w:hAnsi="宋体" w:eastAsia="宋体" w:cs="Times New Roman"/>
          <w:color w:val="auto"/>
          <w:spacing w:val="-6"/>
          <w:szCs w:val="21"/>
          <w:highlight w:val="none"/>
        </w:rPr>
        <w:t>7个工作日内，以书面形式向采购人、采购代理机构提出质疑。</w:t>
      </w:r>
      <w:r>
        <w:rPr>
          <w:rFonts w:hint="eastAsia" w:ascii="宋体" w:hAnsi="宋体" w:eastAsia="宋体" w:cs="Times New Roman"/>
          <w:color w:val="auto"/>
          <w:spacing w:val="-6"/>
          <w:szCs w:val="21"/>
          <w:highlight w:val="none"/>
        </w:rPr>
        <w:t>质疑供应商对采购人、采购代理机构的答复不满意，或者采购人、采购代理机构未在规定时间内作出答复的，可以在答复期满后</w:t>
      </w:r>
      <w:r>
        <w:rPr>
          <w:rFonts w:ascii="宋体" w:hAnsi="宋体" w:eastAsia="宋体" w:cs="Times New Roman"/>
          <w:color w:val="auto"/>
          <w:spacing w:val="-6"/>
          <w:szCs w:val="21"/>
          <w:highlight w:val="none"/>
        </w:rPr>
        <w:t>15个工作日内向</w:t>
      </w:r>
      <w:r>
        <w:rPr>
          <w:rFonts w:hint="eastAsia" w:ascii="宋体" w:hAnsi="宋体" w:eastAsia="宋体" w:cs="Times New Roman"/>
          <w:color w:val="auto"/>
          <w:spacing w:val="-6"/>
          <w:szCs w:val="21"/>
          <w:highlight w:val="none"/>
        </w:rPr>
        <w:t>本级财政部门</w:t>
      </w:r>
      <w:r>
        <w:rPr>
          <w:rFonts w:ascii="宋体" w:hAnsi="宋体" w:eastAsia="宋体" w:cs="Times New Roman"/>
          <w:color w:val="auto"/>
          <w:spacing w:val="-6"/>
          <w:szCs w:val="21"/>
          <w:highlight w:val="none"/>
        </w:rPr>
        <w:t>提起投诉。</w:t>
      </w:r>
    </w:p>
    <w:bookmarkEnd w:id="44"/>
    <w:p w14:paraId="3AE68E51">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2.投标人提出质疑应当提交质疑函和必要的证明材料，质疑函范本、投诉书范本请到浙江政府采购网下载专区下载。质疑函应当包括下列内容：</w:t>
      </w:r>
    </w:p>
    <w:p w14:paraId="1DCC36A6">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（1）供应商的姓名或者名称、地址、邮编、联系人及联系电话；</w:t>
      </w:r>
    </w:p>
    <w:p w14:paraId="395CB782">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（2）质疑项目的名称、编号；</w:t>
      </w:r>
    </w:p>
    <w:p w14:paraId="1E1E1000">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（3）具体、明确的质疑事项和与质疑事项相关的请求；</w:t>
      </w:r>
    </w:p>
    <w:p w14:paraId="40284E1A">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（4）事实依据；</w:t>
      </w:r>
    </w:p>
    <w:p w14:paraId="4D03B9F1">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（5）必要的法律依据；</w:t>
      </w:r>
    </w:p>
    <w:p w14:paraId="0144B16F">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（6）提出质疑的日期。</w:t>
      </w:r>
    </w:p>
    <w:p w14:paraId="6EC3FFA6">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投标人为自然人的，应当由本人签名；投标人为法人或者其他组织的，应当由法定代表人、主要负责人，或者其授权代表签名或者盖章，并加盖公章。</w:t>
      </w:r>
    </w:p>
    <w:p w14:paraId="04EED88C">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3.提出质疑的供应商应当是参与本项目招标活动的投标人。</w:t>
      </w:r>
      <w:r>
        <w:rPr>
          <w:rFonts w:hint="eastAsia" w:ascii="宋体" w:hAnsi="宋体" w:eastAsia="宋体" w:cs="Times New Roman"/>
          <w:b/>
          <w:color w:val="auto"/>
          <w:spacing w:val="-6"/>
          <w:szCs w:val="21"/>
          <w:highlight w:val="none"/>
        </w:rPr>
        <w:t>投标人在法定质疑期内应一次性提出针对同一采购程序环节的质疑。</w:t>
      </w:r>
    </w:p>
    <w:p w14:paraId="48BDE3D8">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4.根据《政府采购质疑和投诉办法》第三十七条的规定，投诉人在全国范围</w:t>
      </w:r>
      <w:r>
        <w:rPr>
          <w:rFonts w:ascii="宋体" w:hAnsi="宋体" w:eastAsia="宋体" w:cs="Times New Roman"/>
          <w:color w:val="auto"/>
          <w:spacing w:val="-6"/>
          <w:szCs w:val="21"/>
          <w:highlight w:val="none"/>
        </w:rPr>
        <w:t>12</w:t>
      </w:r>
      <w:r>
        <w:rPr>
          <w:rFonts w:hint="eastAsia" w:ascii="宋体" w:hAnsi="宋体" w:eastAsia="宋体" w:cs="Times New Roman"/>
          <w:color w:val="auto"/>
          <w:spacing w:val="-6"/>
          <w:szCs w:val="21"/>
          <w:highlight w:val="none"/>
        </w:rPr>
        <w:t>个月内三次以上投诉查无实据的，由财政部门列入不良行为记录名单。</w:t>
      </w:r>
    </w:p>
    <w:p w14:paraId="3415A9F6">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投诉人有下列行为之一的，属于虚假、恶意投诉，由财政部门列入不良行为记录名单，禁止其</w:t>
      </w:r>
      <w:r>
        <w:rPr>
          <w:rFonts w:ascii="宋体" w:hAnsi="宋体" w:eastAsia="宋体" w:cs="Times New Roman"/>
          <w:color w:val="auto"/>
          <w:spacing w:val="-6"/>
          <w:szCs w:val="21"/>
          <w:highlight w:val="none"/>
        </w:rPr>
        <w:t>1</w:t>
      </w:r>
      <w:r>
        <w:rPr>
          <w:rFonts w:hint="eastAsia" w:ascii="宋体" w:hAnsi="宋体" w:eastAsia="宋体" w:cs="Times New Roman"/>
          <w:color w:val="auto"/>
          <w:spacing w:val="-6"/>
          <w:szCs w:val="21"/>
          <w:highlight w:val="none"/>
        </w:rPr>
        <w:t>至</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年内参加政府采购活动：</w:t>
      </w:r>
    </w:p>
    <w:p w14:paraId="6615FE40">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（1）捏造事实；</w:t>
      </w:r>
    </w:p>
    <w:p w14:paraId="4139F10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（2）提供虚假材料；</w:t>
      </w:r>
    </w:p>
    <w:p w14:paraId="3BEDCCB1">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（3）以非法手段取得证明材料。证据来源的合法性存在明显疑问，投诉人无法证明其取得方式合法的，视为以非法手段取得证明材料。</w:t>
      </w:r>
    </w:p>
    <w:p w14:paraId="2C9A6060">
      <w:pPr>
        <w:adjustRightInd w:val="0"/>
        <w:snapToGrid w:val="0"/>
        <w:spacing w:line="288" w:lineRule="auto"/>
        <w:outlineLvl w:val="2"/>
        <w:rPr>
          <w:rFonts w:hint="eastAsia" w:ascii="宋体" w:hAnsi="宋体" w:eastAsia="宋体" w:cs="宋体"/>
          <w:b/>
          <w:color w:val="auto"/>
          <w:spacing w:val="-6"/>
          <w:kern w:val="0"/>
          <w:szCs w:val="21"/>
          <w:highlight w:val="none"/>
        </w:rPr>
      </w:pPr>
      <w:bookmarkStart w:id="45" w:name="_Hlk94018492"/>
      <w:bookmarkStart w:id="46" w:name="_Hlk92273111"/>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九</w:t>
      </w:r>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采购项目需要落实的政府采购政策</w:t>
      </w:r>
    </w:p>
    <w:bookmarkEnd w:id="45"/>
    <w:bookmarkEnd w:id="46"/>
    <w:p w14:paraId="5A973184">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1.</w:t>
      </w:r>
      <w:r>
        <w:rPr>
          <w:rFonts w:hint="eastAsia" w:ascii="宋体" w:hAnsi="宋体" w:eastAsia="宋体" w:cs="宋体"/>
          <w:b/>
          <w:bCs/>
          <w:i w:val="0"/>
          <w:iCs w:val="0"/>
          <w:color w:val="auto"/>
          <w:sz w:val="21"/>
          <w:szCs w:val="21"/>
          <w:highlight w:val="none"/>
        </w:rPr>
        <w:t>进口产品</w:t>
      </w:r>
    </w:p>
    <w:p w14:paraId="79E3587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本项目原则上采购本国生产的货物、服务，不允许采购进口产品。优先采购向我国企业转让技术、与我国企业签订消化吸收再创新方案的供应商的进口产品。</w:t>
      </w:r>
    </w:p>
    <w:p w14:paraId="3875F7BB">
      <w:pPr>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ind w:firstLine="369" w:firstLineChars="176"/>
        <w:jc w:val="left"/>
        <w:textAlignment w:val="auto"/>
        <w:outlineLvl w:val="9"/>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采购人已经在采购活动开始前向财政部门提出申请并获得财政部门审核同意</w:t>
      </w:r>
      <w:r>
        <w:rPr>
          <w:rFonts w:hint="eastAsia" w:ascii="宋体" w:hAnsi="宋体" w:eastAsia="宋体" w:cs="宋体"/>
          <w:i w:val="0"/>
          <w:iCs w:val="0"/>
          <w:color w:val="auto"/>
          <w:sz w:val="21"/>
          <w:szCs w:val="21"/>
          <w:highlight w:val="none"/>
          <w:lang w:eastAsia="zh-CN"/>
        </w:rPr>
        <w:t>（高校和科研院所采购用于科研的进口仪器设备，以及其他根据财政部规定实行备案管理的，实行备案管理）</w:t>
      </w:r>
      <w:r>
        <w:rPr>
          <w:rFonts w:hint="eastAsia" w:ascii="宋体" w:hAnsi="宋体" w:eastAsia="宋体" w:cs="宋体"/>
          <w:i w:val="0"/>
          <w:iCs w:val="0"/>
          <w:color w:val="auto"/>
          <w:sz w:val="21"/>
          <w:szCs w:val="21"/>
          <w:highlight w:val="none"/>
        </w:rPr>
        <w:t>购买进口产品的，将在</w:t>
      </w:r>
      <w:r>
        <w:rPr>
          <w:rFonts w:hint="eastAsia" w:ascii="宋体" w:hAnsi="宋体" w:eastAsia="宋体" w:cs="宋体"/>
          <w:i w:val="0"/>
          <w:iCs w:val="0"/>
          <w:color w:val="auto"/>
          <w:sz w:val="21"/>
          <w:szCs w:val="21"/>
          <w:highlight w:val="none"/>
          <w:lang w:val="en-US" w:eastAsia="zh-CN"/>
        </w:rPr>
        <w:t>招标文件</w:t>
      </w:r>
      <w:r>
        <w:rPr>
          <w:rFonts w:hint="eastAsia" w:ascii="宋体" w:hAnsi="宋体" w:eastAsia="宋体" w:cs="宋体"/>
          <w:i w:val="0"/>
          <w:iCs w:val="0"/>
          <w:color w:val="auto"/>
          <w:sz w:val="21"/>
          <w:szCs w:val="21"/>
          <w:highlight w:val="none"/>
        </w:rPr>
        <w:t>中明确规定可以采购进口产品（但如果因信息不对称等原因，仍有满足需求的国内产品要求参与采购竞争的，不会对其加以限制，仍将按照公平竞争原则实施采购）</w:t>
      </w:r>
      <w:r>
        <w:rPr>
          <w:rFonts w:hint="eastAsia" w:ascii="宋体" w:hAnsi="宋体" w:eastAsia="宋体" w:cs="宋体"/>
          <w:i w:val="0"/>
          <w:iCs w:val="0"/>
          <w:color w:val="auto"/>
          <w:sz w:val="21"/>
          <w:szCs w:val="21"/>
          <w:highlight w:val="none"/>
          <w:lang w:eastAsia="zh-CN"/>
        </w:rPr>
        <w:t>。</w:t>
      </w:r>
    </w:p>
    <w:p w14:paraId="15D04C3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3267585F">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2.</w:t>
      </w:r>
      <w:r>
        <w:rPr>
          <w:rFonts w:hint="eastAsia" w:ascii="宋体" w:hAnsi="宋体" w:eastAsia="宋体" w:cs="宋体"/>
          <w:b/>
          <w:bCs/>
          <w:i w:val="0"/>
          <w:iCs w:val="0"/>
          <w:color w:val="auto"/>
          <w:sz w:val="21"/>
          <w:szCs w:val="21"/>
          <w:highlight w:val="none"/>
        </w:rPr>
        <w:t>支持绿色发展</w:t>
      </w:r>
    </w:p>
    <w:p w14:paraId="4501DE12">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采购人拟采购的产品属于</w:t>
      </w:r>
      <w:r>
        <w:rPr>
          <w:rFonts w:hint="eastAsia" w:ascii="宋体" w:hAnsi="宋体" w:eastAsia="宋体" w:cs="宋体"/>
          <w:i w:val="0"/>
          <w:iCs w:val="0"/>
          <w:color w:val="auto"/>
          <w:sz w:val="21"/>
          <w:szCs w:val="21"/>
          <w:highlight w:val="none"/>
          <w:lang w:eastAsia="zh-CN"/>
        </w:rPr>
        <w:t>节能产品、</w:t>
      </w:r>
      <w:r>
        <w:rPr>
          <w:rFonts w:hint="eastAsia" w:ascii="宋体" w:hAnsi="宋体" w:eastAsia="宋体" w:cs="宋体"/>
          <w:i w:val="0"/>
          <w:iCs w:val="0"/>
          <w:color w:val="auto"/>
          <w:sz w:val="21"/>
          <w:szCs w:val="21"/>
          <w:highlight w:val="none"/>
          <w:lang w:val="en-US" w:eastAsia="zh-CN"/>
        </w:rPr>
        <w:t>环境标志产品</w:t>
      </w:r>
      <w:r>
        <w:rPr>
          <w:rFonts w:hint="eastAsia" w:ascii="宋体" w:hAnsi="宋体" w:eastAsia="宋体" w:cs="宋体"/>
          <w:i w:val="0"/>
          <w:iCs w:val="0"/>
          <w:color w:val="auto"/>
          <w:sz w:val="21"/>
          <w:szCs w:val="21"/>
          <w:highlight w:val="none"/>
          <w:lang w:eastAsia="zh-CN"/>
        </w:rPr>
        <w:t>政府采购品目清单</w:t>
      </w:r>
      <w:r>
        <w:rPr>
          <w:rFonts w:hint="eastAsia" w:ascii="宋体" w:hAnsi="宋体" w:eastAsia="宋体" w:cs="宋体"/>
          <w:i w:val="0"/>
          <w:iCs w:val="0"/>
          <w:color w:val="auto"/>
          <w:sz w:val="21"/>
          <w:szCs w:val="21"/>
          <w:highlight w:val="none"/>
        </w:rPr>
        <w:t>范围的，将依据国家确定的认证机构出具的、处于有效期之内的节能产品、环境标志产品认证证书，对获得证书的产品实施政府优先采购或强制采购。</w:t>
      </w:r>
    </w:p>
    <w:p w14:paraId="49FA18CD">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采购人拟采购产品属于节能产品政府采购清单规定必须强制采购的，</w:t>
      </w:r>
      <w:r>
        <w:rPr>
          <w:rFonts w:hint="eastAsia" w:ascii="宋体" w:hAnsi="宋体" w:eastAsia="宋体" w:cs="宋体"/>
          <w:i w:val="0"/>
          <w:iCs w:val="0"/>
          <w:color w:val="auto"/>
          <w:sz w:val="21"/>
          <w:szCs w:val="21"/>
          <w:highlight w:val="none"/>
          <w:u w:val="none"/>
        </w:rPr>
        <w:t>将在</w:t>
      </w:r>
      <w:r>
        <w:rPr>
          <w:rFonts w:hint="eastAsia" w:ascii="宋体" w:hAnsi="宋体" w:eastAsia="宋体" w:cs="宋体"/>
          <w:i w:val="0"/>
          <w:iCs w:val="0"/>
          <w:color w:val="auto"/>
          <w:sz w:val="21"/>
          <w:szCs w:val="21"/>
          <w:highlight w:val="none"/>
          <w:u w:val="none"/>
          <w:lang w:val="en-US" w:eastAsia="zh-CN"/>
        </w:rPr>
        <w:t>招标文件</w:t>
      </w:r>
      <w:r>
        <w:rPr>
          <w:rFonts w:hint="eastAsia" w:ascii="宋体" w:hAnsi="宋体" w:eastAsia="宋体" w:cs="宋体"/>
          <w:i w:val="0"/>
          <w:iCs w:val="0"/>
          <w:color w:val="auto"/>
          <w:sz w:val="21"/>
          <w:szCs w:val="21"/>
          <w:highlight w:val="none"/>
          <w:u w:val="none"/>
        </w:rPr>
        <w:t>中明确载明</w:t>
      </w:r>
      <w:r>
        <w:rPr>
          <w:rFonts w:hint="eastAsia" w:ascii="宋体" w:hAnsi="宋体" w:eastAsia="宋体" w:cs="宋体"/>
          <w:i w:val="0"/>
          <w:iCs w:val="0"/>
          <w:color w:val="auto"/>
          <w:sz w:val="21"/>
          <w:szCs w:val="21"/>
          <w:highlight w:val="none"/>
        </w:rPr>
        <w:t>，供应商相应的投标产品</w:t>
      </w:r>
      <w:r>
        <w:rPr>
          <w:rFonts w:hint="eastAsia" w:ascii="宋体" w:hAnsi="宋体" w:eastAsia="宋体" w:cs="宋体"/>
          <w:i w:val="0"/>
          <w:iCs w:val="0"/>
          <w:color w:val="auto"/>
          <w:sz w:val="21"/>
          <w:szCs w:val="21"/>
          <w:highlight w:val="none"/>
        </w:rPr>
        <w:t>须提供</w:t>
      </w:r>
      <w:r>
        <w:rPr>
          <w:rFonts w:hint="eastAsia" w:ascii="宋体" w:hAnsi="宋体" w:eastAsia="宋体" w:cs="宋体"/>
          <w:i w:val="0"/>
          <w:iCs w:val="0"/>
          <w:color w:val="auto"/>
          <w:sz w:val="21"/>
          <w:szCs w:val="21"/>
          <w:highlight w:val="none"/>
        </w:rPr>
        <w:t>国家确定的认证机构出具的、处于有效期之内的节能产品认证证书。</w:t>
      </w:r>
    </w:p>
    <w:p w14:paraId="6FA43B27">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3.</w:t>
      </w:r>
      <w:r>
        <w:rPr>
          <w:rFonts w:hint="eastAsia" w:ascii="宋体" w:hAnsi="宋体" w:eastAsia="宋体" w:cs="宋体"/>
          <w:b/>
          <w:bCs/>
          <w:i w:val="0"/>
          <w:iCs w:val="0"/>
          <w:color w:val="auto"/>
          <w:sz w:val="21"/>
          <w:szCs w:val="21"/>
          <w:highlight w:val="none"/>
        </w:rPr>
        <w:t>支持中小企业发展</w:t>
      </w:r>
    </w:p>
    <w:p w14:paraId="5C320ADD">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3.1 </w:t>
      </w:r>
      <w:r>
        <w:rPr>
          <w:rFonts w:hint="eastAsia" w:ascii="宋体" w:hAnsi="宋体" w:eastAsia="宋体" w:cs="宋体"/>
          <w:i w:val="0"/>
          <w:iCs w:val="0"/>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6DACE3E">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3.2 </w:t>
      </w:r>
      <w:r>
        <w:rPr>
          <w:rFonts w:hint="eastAsia" w:ascii="宋体" w:hAnsi="宋体" w:eastAsia="宋体" w:cs="宋体"/>
          <w:i w:val="0"/>
          <w:iCs w:val="0"/>
          <w:color w:val="auto"/>
          <w:sz w:val="21"/>
          <w:szCs w:val="21"/>
          <w:highlight w:val="none"/>
        </w:rPr>
        <w:t>在政府采购活动中，供应商提供的货物或者服务符合下列情形的，享受中小企业扶持政策：</w:t>
      </w:r>
    </w:p>
    <w:p w14:paraId="47D39619">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在货物采购项目中，货物由中小企业制造，即货物由</w:t>
      </w:r>
      <w:r>
        <w:rPr>
          <w:rFonts w:hint="eastAsia" w:ascii="宋体" w:hAnsi="宋体" w:eastAsia="宋体" w:cs="宋体"/>
          <w:i w:val="0"/>
          <w:iCs w:val="0"/>
          <w:color w:val="auto"/>
          <w:sz w:val="21"/>
          <w:szCs w:val="21"/>
          <w:highlight w:val="none"/>
          <w:u w:val="single"/>
        </w:rPr>
        <w:t>中小企业生产且使用该中小企业商号或者注册商标</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rPr>
        <w:t>如果一个采购项目或采购包含有多个采购标的的，则每个采购标的均应由中小企业制造。</w:t>
      </w:r>
      <w:r>
        <w:rPr>
          <w:rFonts w:hint="eastAsia" w:ascii="宋体" w:hAnsi="宋体" w:eastAsia="宋体" w:cs="宋体"/>
          <w:i w:val="0"/>
          <w:iCs w:val="0"/>
          <w:color w:val="auto"/>
          <w:sz w:val="21"/>
          <w:szCs w:val="21"/>
          <w:highlight w:val="none"/>
        </w:rPr>
        <w:t>在服务采购项目中，服务由中小企业承接，即提供服务的人员为中小企业依照《中华人民共和国劳动合同法》订立劳动合同的从业人员。</w:t>
      </w:r>
    </w:p>
    <w:p w14:paraId="50816DBD">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3.3 </w:t>
      </w:r>
      <w:r>
        <w:rPr>
          <w:rFonts w:hint="eastAsia" w:ascii="宋体" w:hAnsi="宋体" w:eastAsia="宋体" w:cs="宋体"/>
          <w:i w:val="0"/>
          <w:iCs w:val="0"/>
          <w:color w:val="auto"/>
          <w:sz w:val="21"/>
          <w:szCs w:val="21"/>
          <w:highlight w:val="none"/>
        </w:rPr>
        <w:t>供应商提供的货物既有中小企业制造货物，也有大型企业制造货物的，不享受中小企业扶持政策；</w:t>
      </w:r>
      <w:r>
        <w:rPr>
          <w:rFonts w:hint="eastAsia" w:ascii="宋体" w:hAnsi="宋体" w:eastAsia="宋体" w:cs="宋体"/>
          <w:i w:val="0"/>
          <w:iCs w:val="0"/>
          <w:color w:val="auto"/>
          <w:sz w:val="21"/>
          <w:szCs w:val="21"/>
          <w:highlight w:val="none"/>
        </w:rPr>
        <w:t>供应商提供的货物既有中型企业制造，也有小微企业制造的，不享受</w:t>
      </w:r>
      <w:r>
        <w:rPr>
          <w:rFonts w:hint="eastAsia" w:ascii="宋体" w:hAnsi="宋体" w:eastAsia="宋体" w:cs="宋体"/>
          <w:i w:val="0"/>
          <w:iCs w:val="0"/>
          <w:color w:val="auto"/>
          <w:sz w:val="21"/>
          <w:szCs w:val="21"/>
          <w:highlight w:val="none"/>
        </w:rPr>
        <w:t>办法规定的小微企业扶持政策。对于联合体中由中小企业承担的部分，或者分包给中小企业的部分，必须全部由中小企业制造、承建或者承接。</w:t>
      </w:r>
    </w:p>
    <w:p w14:paraId="4F56781C">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中小企业享受扶持政策获得政府采购合同的，小微企业不得将合同分包给大中型企业，中型企业不得将合同分包给大型企业。</w:t>
      </w:r>
    </w:p>
    <w:p w14:paraId="2CC0DF5D">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3.4 </w:t>
      </w:r>
      <w:r>
        <w:rPr>
          <w:rFonts w:hint="eastAsia" w:ascii="宋体" w:hAnsi="宋体" w:eastAsia="宋体" w:cs="宋体"/>
          <w:i w:val="0"/>
          <w:iCs w:val="0"/>
          <w:color w:val="auto"/>
          <w:sz w:val="21"/>
          <w:szCs w:val="21"/>
          <w:highlight w:val="none"/>
        </w:rPr>
        <w:t>以联合体形式参加政府采购活动，联合体各方均为中小企业的，联合体视同中小企业。其中，联合体各方均为小微企业的，联合体视同小微企业。</w:t>
      </w:r>
    </w:p>
    <w:p w14:paraId="6FDFD56A">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3.5 </w:t>
      </w:r>
      <w:r>
        <w:rPr>
          <w:rFonts w:hint="eastAsia" w:ascii="宋体" w:hAnsi="宋体" w:eastAsia="宋体" w:cs="宋体"/>
          <w:i w:val="0"/>
          <w:iCs w:val="0"/>
          <w:color w:val="auto"/>
          <w:sz w:val="21"/>
          <w:szCs w:val="21"/>
          <w:highlight w:val="none"/>
        </w:rPr>
        <w:t>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45BC673C">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组成联合体或者接受分包合同的中小企业与联合体内其他企业、分包企业之间不得存在直接控股、管理关系。</w:t>
      </w:r>
    </w:p>
    <w:p w14:paraId="0E45A2FF">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专门面向中小企业采购的项目或者采购包，不再执行价格评审优惠的扶持政策。</w:t>
      </w:r>
    </w:p>
    <w:p w14:paraId="5D9D45AB">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3.6 </w:t>
      </w:r>
      <w:r>
        <w:rPr>
          <w:rFonts w:hint="eastAsia" w:ascii="宋体" w:hAnsi="宋体" w:eastAsia="宋体" w:cs="宋体"/>
          <w:i w:val="0"/>
          <w:iCs w:val="0"/>
          <w:color w:val="auto"/>
          <w:sz w:val="21"/>
          <w:szCs w:val="21"/>
          <w:highlight w:val="none"/>
        </w:rPr>
        <w:t>未预留份额专门面向中小企业采购的采购项目，以及预留份额项目中的非预留部分采购包，对符合《政府采购促进中小企业发展管理办法》规定的小微企业报价给予</w:t>
      </w:r>
      <w:r>
        <w:rPr>
          <w:rFonts w:hint="eastAsia" w:ascii="宋体" w:hAnsi="宋体" w:eastAsia="宋体" w:cs="宋体"/>
          <w:i w:val="0"/>
          <w:iCs w:val="0"/>
          <w:color w:val="auto"/>
          <w:sz w:val="21"/>
          <w:szCs w:val="21"/>
          <w:highlight w:val="none"/>
        </w:rPr>
        <w:t>10%的扣除，</w:t>
      </w:r>
      <w:r>
        <w:rPr>
          <w:rFonts w:hint="eastAsia" w:ascii="宋体" w:hAnsi="宋体" w:eastAsia="宋体" w:cs="宋体"/>
          <w:i w:val="0"/>
          <w:iCs w:val="0"/>
          <w:color w:val="auto"/>
          <w:sz w:val="21"/>
          <w:szCs w:val="21"/>
          <w:highlight w:val="none"/>
        </w:rPr>
        <w:t>用扣除后的价格参加评审。接受大中型企业与小微企业组成联合体或者允许大中型企业向一家或者多家小微企业分包的采购项目，对于联合协议或者分包意向协议约定小微企业的合同份额</w:t>
      </w:r>
      <w:r>
        <w:rPr>
          <w:rFonts w:hint="eastAsia" w:ascii="宋体" w:hAnsi="宋体" w:eastAsia="宋体" w:cs="宋体"/>
          <w:i w:val="0"/>
          <w:iCs w:val="0"/>
          <w:color w:val="auto"/>
          <w:sz w:val="21"/>
          <w:szCs w:val="21"/>
          <w:highlight w:val="none"/>
        </w:rPr>
        <w:t>占到合同总金额30%以上的</w:t>
      </w:r>
      <w:r>
        <w:rPr>
          <w:rFonts w:hint="eastAsia" w:ascii="宋体" w:hAnsi="宋体" w:eastAsia="宋体" w:cs="宋体"/>
          <w:i w:val="0"/>
          <w:iCs w:val="0"/>
          <w:color w:val="auto"/>
          <w:sz w:val="21"/>
          <w:szCs w:val="21"/>
          <w:highlight w:val="none"/>
        </w:rPr>
        <w:t>，对联合体或者大中型企业的报价给予</w:t>
      </w:r>
      <w:r>
        <w:rPr>
          <w:rFonts w:hint="eastAsia" w:ascii="宋体" w:hAnsi="宋体" w:eastAsia="宋体" w:cs="宋体"/>
          <w:i w:val="0"/>
          <w:iCs w:val="0"/>
          <w:color w:val="auto"/>
          <w:sz w:val="21"/>
          <w:szCs w:val="21"/>
          <w:highlight w:val="none"/>
        </w:rPr>
        <w:t>4%的扣除</w:t>
      </w:r>
      <w:r>
        <w:rPr>
          <w:rFonts w:hint="eastAsia" w:ascii="宋体" w:hAnsi="宋体" w:eastAsia="宋体" w:cs="宋体"/>
          <w:i w:val="0"/>
          <w:iCs w:val="0"/>
          <w:color w:val="auto"/>
          <w:sz w:val="21"/>
          <w:szCs w:val="21"/>
          <w:highlight w:val="none"/>
        </w:rPr>
        <w:t>，用扣除后的价格参加评审。组成联合体或者接受分包的小微企业与联合体内其他企业、分包企业之间存在直接控股、管理关系的，不享受价格扣除优惠政策。</w:t>
      </w:r>
    </w:p>
    <w:p w14:paraId="35E61AA9">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3.7 </w:t>
      </w:r>
      <w:r>
        <w:rPr>
          <w:rFonts w:hint="eastAsia" w:ascii="宋体" w:hAnsi="宋体" w:eastAsia="宋体" w:cs="宋体"/>
          <w:color w:val="auto"/>
          <w:sz w:val="21"/>
          <w:szCs w:val="21"/>
          <w:highlight w:val="none"/>
          <w:lang w:eastAsia="zh-CN"/>
        </w:rPr>
        <w:t>中小企业参加政府采购活动，应当出具本办法规定的《中小企业声明函》，否则不得享受相关中小企业扶持政策。</w:t>
      </w:r>
    </w:p>
    <w:p w14:paraId="558A2945">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《中小企业声明函》由参加政府采购活动的供应商出具。以联合体形式参加政府采购活动或者合同分包的，《中小企业声明函》中需填写联合体中的中小企业或签订分包意向协议的中小企业相关信息。</w:t>
      </w:r>
    </w:p>
    <w:p w14:paraId="336A0081">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 xml:space="preserve">3.8 </w:t>
      </w:r>
      <w:r>
        <w:rPr>
          <w:rFonts w:hint="eastAsia" w:ascii="宋体" w:hAnsi="宋体" w:eastAsia="宋体" w:cs="宋体"/>
          <w:i w:val="0"/>
          <w:iCs w:val="0"/>
          <w:color w:val="auto"/>
          <w:sz w:val="21"/>
          <w:szCs w:val="21"/>
          <w:highlight w:val="none"/>
        </w:rPr>
        <w:t>供应商提供《中小企业声明函》内容不实的，属于提供虚假材料谋取中标、成交，依照《中华人民共和国政府采购法》等国家有关规定追究相应责任。</w:t>
      </w:r>
    </w:p>
    <w:p w14:paraId="38FDA472">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u w:val="single"/>
          <w:lang w:eastAsia="zh-CN"/>
        </w:rPr>
      </w:pPr>
      <w:r>
        <w:rPr>
          <w:rFonts w:hint="eastAsia" w:ascii="宋体" w:hAnsi="宋体" w:eastAsia="宋体" w:cs="宋体"/>
          <w:i w:val="0"/>
          <w:iCs w:val="0"/>
          <w:color w:val="auto"/>
          <w:sz w:val="21"/>
          <w:szCs w:val="21"/>
          <w:highlight w:val="none"/>
          <w:u w:val="single"/>
          <w:lang w:val="en-US" w:eastAsia="zh-CN"/>
        </w:rPr>
        <w:t xml:space="preserve">3.9 </w:t>
      </w:r>
      <w:r>
        <w:rPr>
          <w:rFonts w:hint="eastAsia" w:ascii="宋体" w:hAnsi="宋体" w:eastAsia="宋体" w:cs="宋体"/>
          <w:i w:val="0"/>
          <w:iCs w:val="0"/>
          <w:color w:val="auto"/>
          <w:sz w:val="21"/>
          <w:szCs w:val="21"/>
          <w:highlight w:val="none"/>
          <w:u w:val="single"/>
          <w:lang w:val="en-US" w:eastAsia="zh-CN"/>
        </w:rPr>
        <w:t>供应商</w:t>
      </w:r>
      <w:r>
        <w:rPr>
          <w:rFonts w:hint="eastAsia" w:ascii="宋体" w:hAnsi="宋体" w:eastAsia="宋体" w:cs="宋体"/>
          <w:i w:val="0"/>
          <w:iCs w:val="0"/>
          <w:color w:val="auto"/>
          <w:sz w:val="21"/>
          <w:szCs w:val="21"/>
          <w:highlight w:val="none"/>
          <w:u w:val="single"/>
        </w:rPr>
        <w:t>提供的《中小企业声明函》中，企业数据（如从业人员，营业收入，资产总额）有误的，</w:t>
      </w:r>
      <w:r>
        <w:rPr>
          <w:rFonts w:hint="eastAsia" w:ascii="宋体" w:hAnsi="宋体" w:eastAsia="宋体" w:cs="宋体"/>
          <w:i w:val="0"/>
          <w:iCs w:val="0"/>
          <w:color w:val="auto"/>
          <w:sz w:val="21"/>
          <w:szCs w:val="21"/>
          <w:highlight w:val="none"/>
          <w:u w:val="single"/>
          <w:lang w:val="en-US" w:eastAsia="zh-CN"/>
        </w:rPr>
        <w:t>采购组织机构或</w:t>
      </w:r>
      <w:r>
        <w:rPr>
          <w:rFonts w:hint="eastAsia" w:ascii="宋体" w:hAnsi="宋体" w:eastAsia="宋体" w:cs="宋体"/>
          <w:i w:val="0"/>
          <w:iCs w:val="0"/>
          <w:color w:val="auto"/>
          <w:sz w:val="21"/>
          <w:szCs w:val="21"/>
          <w:highlight w:val="none"/>
          <w:u w:val="single"/>
        </w:rPr>
        <w:t>评标委员会可以要求供应商进行澄清、说明。</w:t>
      </w:r>
      <w:r>
        <w:rPr>
          <w:rFonts w:hint="eastAsia" w:ascii="宋体" w:hAnsi="宋体" w:eastAsia="宋体" w:cs="宋体"/>
          <w:i w:val="0"/>
          <w:iCs w:val="0"/>
          <w:color w:val="auto"/>
          <w:sz w:val="21"/>
          <w:szCs w:val="21"/>
          <w:highlight w:val="none"/>
          <w:u w:val="single"/>
          <w:lang w:val="en-US" w:eastAsia="zh-CN"/>
        </w:rPr>
        <w:t>但</w:t>
      </w:r>
      <w:r>
        <w:rPr>
          <w:rFonts w:hint="eastAsia" w:ascii="宋体" w:hAnsi="宋体" w:eastAsia="宋体" w:cs="宋体"/>
          <w:i w:val="0"/>
          <w:iCs w:val="0"/>
          <w:color w:val="auto"/>
          <w:sz w:val="21"/>
          <w:szCs w:val="21"/>
          <w:highlight w:val="none"/>
          <w:u w:val="single"/>
        </w:rPr>
        <w:t>《中小企业声明函》</w:t>
      </w:r>
      <w:r>
        <w:rPr>
          <w:rFonts w:hint="eastAsia" w:ascii="宋体" w:hAnsi="宋体" w:eastAsia="宋体" w:cs="宋体"/>
          <w:i w:val="0"/>
          <w:iCs w:val="0"/>
          <w:color w:val="auto"/>
          <w:sz w:val="21"/>
          <w:szCs w:val="21"/>
          <w:highlight w:val="none"/>
          <w:u w:val="single"/>
          <w:lang w:val="en-US" w:eastAsia="zh-CN"/>
        </w:rPr>
        <w:t>出现下列情形的，</w:t>
      </w:r>
      <w:r>
        <w:rPr>
          <w:rFonts w:hint="eastAsia" w:ascii="宋体" w:hAnsi="宋体" w:eastAsia="宋体" w:cs="宋体"/>
          <w:i w:val="0"/>
          <w:iCs w:val="0"/>
          <w:color w:val="auto"/>
          <w:sz w:val="21"/>
          <w:szCs w:val="21"/>
          <w:highlight w:val="none"/>
          <w:u w:val="single"/>
        </w:rPr>
        <w:t>《中小企业声明函》无效</w:t>
      </w:r>
      <w:r>
        <w:rPr>
          <w:rFonts w:hint="eastAsia" w:ascii="宋体" w:hAnsi="宋体" w:eastAsia="宋体" w:cs="宋体"/>
          <w:i w:val="0"/>
          <w:iCs w:val="0"/>
          <w:color w:val="auto"/>
          <w:sz w:val="21"/>
          <w:szCs w:val="21"/>
          <w:highlight w:val="none"/>
          <w:u w:val="single"/>
          <w:lang w:eastAsia="zh-CN"/>
        </w:rPr>
        <w:t>，</w:t>
      </w:r>
      <w:r>
        <w:rPr>
          <w:rFonts w:hint="eastAsia" w:ascii="宋体" w:hAnsi="宋体" w:eastAsia="宋体" w:cs="宋体"/>
          <w:i w:val="0"/>
          <w:iCs w:val="0"/>
          <w:color w:val="auto"/>
          <w:sz w:val="21"/>
          <w:szCs w:val="21"/>
          <w:highlight w:val="none"/>
          <w:u w:val="single"/>
        </w:rPr>
        <w:t>不享受《政府采购促进中小企业发展管理办法》规定的中小企业扶持政策</w:t>
      </w:r>
      <w:r>
        <w:rPr>
          <w:rFonts w:hint="eastAsia" w:ascii="宋体" w:hAnsi="宋体" w:eastAsia="宋体" w:cs="宋体"/>
          <w:i w:val="0"/>
          <w:iCs w:val="0"/>
          <w:color w:val="auto"/>
          <w:sz w:val="21"/>
          <w:szCs w:val="21"/>
          <w:highlight w:val="none"/>
          <w:u w:val="single"/>
          <w:lang w:eastAsia="zh-CN"/>
        </w:rPr>
        <w:t>：</w:t>
      </w:r>
    </w:p>
    <w:p w14:paraId="1167E819">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u w:val="single"/>
          <w:lang w:eastAsia="zh-CN"/>
        </w:rPr>
        <w:t>（</w:t>
      </w:r>
      <w:r>
        <w:rPr>
          <w:rFonts w:hint="eastAsia" w:ascii="宋体" w:hAnsi="宋体" w:eastAsia="宋体" w:cs="宋体"/>
          <w:i w:val="0"/>
          <w:iCs w:val="0"/>
          <w:color w:val="auto"/>
          <w:sz w:val="21"/>
          <w:szCs w:val="21"/>
          <w:highlight w:val="none"/>
          <w:u w:val="single"/>
          <w:lang w:val="en-US" w:eastAsia="zh-CN"/>
        </w:rPr>
        <w:t>1</w:t>
      </w:r>
      <w:r>
        <w:rPr>
          <w:rFonts w:hint="eastAsia" w:ascii="宋体" w:hAnsi="宋体" w:eastAsia="宋体" w:cs="宋体"/>
          <w:i w:val="0"/>
          <w:iCs w:val="0"/>
          <w:color w:val="auto"/>
          <w:sz w:val="21"/>
          <w:szCs w:val="21"/>
          <w:highlight w:val="none"/>
          <w:u w:val="single"/>
          <w:lang w:eastAsia="zh-CN"/>
        </w:rPr>
        <w:t>）</w:t>
      </w:r>
      <w:r>
        <w:rPr>
          <w:rFonts w:hint="eastAsia" w:ascii="宋体" w:hAnsi="宋体" w:eastAsia="宋体" w:cs="宋体"/>
          <w:i w:val="0"/>
          <w:iCs w:val="0"/>
          <w:color w:val="auto"/>
          <w:sz w:val="21"/>
          <w:szCs w:val="21"/>
          <w:highlight w:val="none"/>
          <w:u w:val="single"/>
          <w:lang w:val="en-US" w:eastAsia="zh-CN"/>
        </w:rPr>
        <w:t>内容未包括全部采购标的；</w:t>
      </w:r>
    </w:p>
    <w:p w14:paraId="6C3BAD54">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u w:val="single"/>
          <w:lang w:val="en-US" w:eastAsia="zh-CN"/>
        </w:rPr>
        <w:t>（2）</w:t>
      </w:r>
      <w:r>
        <w:rPr>
          <w:rFonts w:hint="eastAsia" w:ascii="宋体" w:hAnsi="宋体" w:eastAsia="宋体" w:cs="宋体"/>
          <w:i w:val="0"/>
          <w:iCs w:val="0"/>
          <w:color w:val="auto"/>
          <w:sz w:val="21"/>
          <w:szCs w:val="21"/>
          <w:highlight w:val="none"/>
          <w:u w:val="single"/>
        </w:rPr>
        <w:t>未填写</w:t>
      </w:r>
      <w:r>
        <w:rPr>
          <w:rFonts w:hint="eastAsia" w:ascii="宋体" w:hAnsi="宋体" w:eastAsia="宋体" w:cs="宋体"/>
          <w:i w:val="0"/>
          <w:iCs w:val="0"/>
          <w:color w:val="auto"/>
          <w:sz w:val="21"/>
          <w:szCs w:val="21"/>
          <w:highlight w:val="none"/>
          <w:u w:val="single"/>
          <w:lang w:val="en-US" w:eastAsia="zh-CN"/>
        </w:rPr>
        <w:t>标的所属</w:t>
      </w:r>
      <w:r>
        <w:rPr>
          <w:rFonts w:hint="eastAsia" w:ascii="宋体" w:hAnsi="宋体" w:eastAsia="宋体" w:cs="宋体"/>
          <w:i w:val="0"/>
          <w:iCs w:val="0"/>
          <w:color w:val="auto"/>
          <w:sz w:val="21"/>
          <w:szCs w:val="21"/>
          <w:highlight w:val="none"/>
          <w:u w:val="single"/>
        </w:rPr>
        <w:t>行业</w:t>
      </w:r>
      <w:r>
        <w:rPr>
          <w:rFonts w:hint="eastAsia" w:ascii="宋体" w:hAnsi="宋体" w:eastAsia="宋体" w:cs="宋体"/>
          <w:i w:val="0"/>
          <w:iCs w:val="0"/>
          <w:color w:val="auto"/>
          <w:sz w:val="21"/>
          <w:szCs w:val="21"/>
          <w:highlight w:val="none"/>
          <w:u w:val="single"/>
          <w:lang w:eastAsia="zh-CN"/>
        </w:rPr>
        <w:t>，</w:t>
      </w:r>
      <w:r>
        <w:rPr>
          <w:rFonts w:hint="eastAsia" w:ascii="宋体" w:hAnsi="宋体" w:eastAsia="宋体" w:cs="宋体"/>
          <w:i w:val="0"/>
          <w:iCs w:val="0"/>
          <w:color w:val="auto"/>
          <w:sz w:val="21"/>
          <w:szCs w:val="21"/>
          <w:highlight w:val="none"/>
          <w:u w:val="single"/>
        </w:rPr>
        <w:t>或者填写</w:t>
      </w:r>
      <w:r>
        <w:rPr>
          <w:rFonts w:hint="eastAsia" w:ascii="宋体" w:hAnsi="宋体" w:eastAsia="宋体" w:cs="宋体"/>
          <w:i w:val="0"/>
          <w:iCs w:val="0"/>
          <w:color w:val="auto"/>
          <w:sz w:val="21"/>
          <w:szCs w:val="21"/>
          <w:highlight w:val="none"/>
          <w:u w:val="single"/>
          <w:lang w:val="en-US" w:eastAsia="zh-CN"/>
        </w:rPr>
        <w:t>的所属</w:t>
      </w:r>
      <w:r>
        <w:rPr>
          <w:rFonts w:hint="eastAsia" w:ascii="宋体" w:hAnsi="宋体" w:eastAsia="宋体" w:cs="宋体"/>
          <w:i w:val="0"/>
          <w:iCs w:val="0"/>
          <w:color w:val="auto"/>
          <w:sz w:val="21"/>
          <w:szCs w:val="21"/>
          <w:highlight w:val="none"/>
          <w:u w:val="single"/>
        </w:rPr>
        <w:t>行业</w:t>
      </w:r>
      <w:r>
        <w:rPr>
          <w:rFonts w:hint="eastAsia" w:ascii="宋体" w:hAnsi="宋体" w:eastAsia="宋体" w:cs="宋体"/>
          <w:i w:val="0"/>
          <w:iCs w:val="0"/>
          <w:color w:val="auto"/>
          <w:sz w:val="21"/>
          <w:szCs w:val="21"/>
          <w:highlight w:val="none"/>
          <w:u w:val="single"/>
          <w:lang w:val="en-US" w:eastAsia="zh-CN"/>
        </w:rPr>
        <w:t>与招标文件明确的所属行业不一致；</w:t>
      </w:r>
    </w:p>
    <w:p w14:paraId="0B26647C">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u w:val="single"/>
          <w:lang w:eastAsia="zh-CN"/>
        </w:rPr>
      </w:pPr>
      <w:r>
        <w:rPr>
          <w:rFonts w:hint="eastAsia" w:ascii="宋体" w:hAnsi="宋体" w:eastAsia="宋体" w:cs="宋体"/>
          <w:i w:val="0"/>
          <w:iCs w:val="0"/>
          <w:color w:val="auto"/>
          <w:sz w:val="21"/>
          <w:szCs w:val="21"/>
          <w:highlight w:val="none"/>
          <w:u w:val="single"/>
          <w:lang w:eastAsia="zh-CN"/>
        </w:rPr>
        <w:t>（</w:t>
      </w:r>
      <w:r>
        <w:rPr>
          <w:rFonts w:hint="eastAsia" w:ascii="宋体" w:hAnsi="宋体" w:eastAsia="宋体" w:cs="宋体"/>
          <w:i w:val="0"/>
          <w:iCs w:val="0"/>
          <w:color w:val="auto"/>
          <w:sz w:val="21"/>
          <w:szCs w:val="21"/>
          <w:highlight w:val="none"/>
          <w:u w:val="single"/>
          <w:lang w:val="en-US" w:eastAsia="zh-CN"/>
        </w:rPr>
        <w:t>3</w:t>
      </w:r>
      <w:r>
        <w:rPr>
          <w:rFonts w:hint="eastAsia" w:ascii="宋体" w:hAnsi="宋体" w:eastAsia="宋体" w:cs="宋体"/>
          <w:i w:val="0"/>
          <w:iCs w:val="0"/>
          <w:color w:val="auto"/>
          <w:sz w:val="21"/>
          <w:szCs w:val="21"/>
          <w:highlight w:val="none"/>
          <w:u w:val="single"/>
          <w:lang w:eastAsia="zh-CN"/>
        </w:rPr>
        <w:t>）</w:t>
      </w:r>
      <w:r>
        <w:rPr>
          <w:rFonts w:hint="eastAsia" w:ascii="宋体" w:hAnsi="宋体" w:eastAsia="宋体" w:cs="宋体"/>
          <w:i w:val="0"/>
          <w:iCs w:val="0"/>
          <w:color w:val="auto"/>
          <w:sz w:val="21"/>
          <w:szCs w:val="21"/>
          <w:highlight w:val="none"/>
          <w:u w:val="single"/>
          <w:lang w:val="en-US" w:eastAsia="zh-CN"/>
        </w:rPr>
        <w:t>未填写</w:t>
      </w:r>
      <w:r>
        <w:rPr>
          <w:rFonts w:hint="eastAsia" w:ascii="宋体" w:hAnsi="宋体" w:eastAsia="宋体" w:cs="宋体"/>
          <w:i w:val="0"/>
          <w:iCs w:val="0"/>
          <w:color w:val="auto"/>
          <w:sz w:val="21"/>
          <w:szCs w:val="21"/>
          <w:highlight w:val="none"/>
          <w:u w:val="single"/>
        </w:rPr>
        <w:t>企业类型</w:t>
      </w:r>
      <w:r>
        <w:rPr>
          <w:rFonts w:hint="eastAsia" w:ascii="宋体" w:hAnsi="宋体" w:eastAsia="宋体" w:cs="宋体"/>
          <w:i w:val="0"/>
          <w:iCs w:val="0"/>
          <w:color w:val="auto"/>
          <w:sz w:val="21"/>
          <w:szCs w:val="21"/>
          <w:highlight w:val="none"/>
          <w:u w:val="single"/>
          <w:lang w:eastAsia="zh-CN"/>
        </w:rPr>
        <w:t>、</w:t>
      </w:r>
      <w:r>
        <w:rPr>
          <w:rFonts w:hint="eastAsia" w:ascii="宋体" w:hAnsi="宋体" w:eastAsia="宋体" w:cs="宋体"/>
          <w:i w:val="0"/>
          <w:iCs w:val="0"/>
          <w:color w:val="auto"/>
          <w:sz w:val="21"/>
          <w:szCs w:val="21"/>
          <w:highlight w:val="none"/>
          <w:u w:val="single"/>
          <w:lang w:val="en-US" w:eastAsia="zh-CN"/>
        </w:rPr>
        <w:t>填写的企业类型不明确</w:t>
      </w:r>
      <w:r>
        <w:rPr>
          <w:rFonts w:hint="eastAsia" w:ascii="宋体" w:hAnsi="宋体" w:eastAsia="宋体" w:cs="宋体"/>
          <w:i w:val="0"/>
          <w:iCs w:val="0"/>
          <w:color w:val="auto"/>
          <w:sz w:val="21"/>
          <w:szCs w:val="21"/>
          <w:highlight w:val="none"/>
          <w:u w:val="single"/>
        </w:rPr>
        <w:t>或</w:t>
      </w:r>
      <w:r>
        <w:rPr>
          <w:rFonts w:hint="eastAsia" w:ascii="宋体" w:hAnsi="宋体" w:eastAsia="宋体" w:cs="宋体"/>
          <w:i w:val="0"/>
          <w:iCs w:val="0"/>
          <w:color w:val="auto"/>
          <w:sz w:val="21"/>
          <w:szCs w:val="21"/>
          <w:highlight w:val="none"/>
          <w:u w:val="single"/>
          <w:lang w:val="en-US" w:eastAsia="zh-CN"/>
        </w:rPr>
        <w:t>填写</w:t>
      </w:r>
      <w:r>
        <w:rPr>
          <w:rFonts w:hint="eastAsia" w:ascii="宋体" w:hAnsi="宋体" w:eastAsia="宋体" w:cs="宋体"/>
          <w:i w:val="0"/>
          <w:iCs w:val="0"/>
          <w:color w:val="auto"/>
          <w:sz w:val="21"/>
          <w:szCs w:val="21"/>
          <w:highlight w:val="none"/>
          <w:u w:val="single"/>
        </w:rPr>
        <w:t>的企业类型与实际不符</w:t>
      </w:r>
      <w:r>
        <w:rPr>
          <w:rFonts w:hint="eastAsia" w:ascii="宋体" w:hAnsi="宋体" w:eastAsia="宋体" w:cs="宋体"/>
          <w:i w:val="0"/>
          <w:iCs w:val="0"/>
          <w:color w:val="auto"/>
          <w:sz w:val="21"/>
          <w:szCs w:val="21"/>
          <w:highlight w:val="none"/>
          <w:u w:val="single"/>
          <w:lang w:eastAsia="zh-CN"/>
        </w:rPr>
        <w:t>（</w:t>
      </w:r>
      <w:r>
        <w:rPr>
          <w:rFonts w:hint="eastAsia" w:ascii="宋体" w:hAnsi="宋体" w:eastAsia="宋体" w:cs="宋体"/>
          <w:i w:val="0"/>
          <w:iCs w:val="0"/>
          <w:color w:val="auto"/>
          <w:sz w:val="21"/>
          <w:szCs w:val="21"/>
          <w:highlight w:val="none"/>
          <w:u w:val="single"/>
          <w:lang w:val="en-US" w:eastAsia="zh-CN"/>
        </w:rPr>
        <w:t>即：</w:t>
      </w:r>
      <w:r>
        <w:rPr>
          <w:rFonts w:hint="eastAsia" w:ascii="宋体" w:hAnsi="宋体" w:eastAsia="宋体" w:cs="宋体"/>
          <w:i w:val="0"/>
          <w:iCs w:val="0"/>
          <w:color w:val="auto"/>
          <w:sz w:val="21"/>
          <w:szCs w:val="21"/>
          <w:highlight w:val="none"/>
          <w:u w:val="single"/>
        </w:rPr>
        <w:t>企业类型（中型企业、小型企业</w:t>
      </w:r>
      <w:r>
        <w:rPr>
          <w:rFonts w:hint="eastAsia" w:ascii="宋体" w:hAnsi="宋体" w:eastAsia="宋体" w:cs="宋体"/>
          <w:i w:val="0"/>
          <w:iCs w:val="0"/>
          <w:color w:val="auto"/>
          <w:sz w:val="21"/>
          <w:szCs w:val="21"/>
          <w:highlight w:val="none"/>
          <w:u w:val="single"/>
          <w:lang w:val="en-US" w:eastAsia="zh-CN"/>
        </w:rPr>
        <w:t>或</w:t>
      </w:r>
      <w:r>
        <w:rPr>
          <w:rFonts w:hint="eastAsia" w:ascii="宋体" w:hAnsi="宋体" w:eastAsia="宋体" w:cs="宋体"/>
          <w:i w:val="0"/>
          <w:iCs w:val="0"/>
          <w:color w:val="auto"/>
          <w:sz w:val="21"/>
          <w:szCs w:val="21"/>
          <w:highlight w:val="none"/>
          <w:u w:val="single"/>
        </w:rPr>
        <w:t>微型企业）填写错误</w:t>
      </w:r>
      <w:r>
        <w:rPr>
          <w:rFonts w:hint="eastAsia" w:ascii="宋体" w:hAnsi="宋体" w:eastAsia="宋体" w:cs="宋体"/>
          <w:i w:val="0"/>
          <w:iCs w:val="0"/>
          <w:color w:val="auto"/>
          <w:sz w:val="21"/>
          <w:szCs w:val="21"/>
          <w:highlight w:val="none"/>
          <w:u w:val="single"/>
          <w:lang w:eastAsia="zh-CN"/>
        </w:rPr>
        <w:t>）</w:t>
      </w:r>
      <w:r>
        <w:rPr>
          <w:rFonts w:hint="eastAsia" w:ascii="宋体" w:hAnsi="宋体" w:eastAsia="宋体" w:cs="宋体"/>
          <w:i w:val="0"/>
          <w:iCs w:val="0"/>
          <w:color w:val="auto"/>
          <w:sz w:val="21"/>
          <w:szCs w:val="21"/>
          <w:highlight w:val="none"/>
          <w:u w:val="single"/>
          <w:lang w:eastAsia="zh-CN"/>
        </w:rPr>
        <w:t>。</w:t>
      </w:r>
    </w:p>
    <w:p w14:paraId="19F33869">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u w:val="single"/>
          <w:lang w:val="en-US" w:eastAsia="zh-CN"/>
        </w:rPr>
        <w:t>供应商声明的类型获得了本不应获得的利益（价格扣除或者资格审查通过）</w:t>
      </w:r>
      <w:r>
        <w:rPr>
          <w:rFonts w:hint="eastAsia" w:ascii="宋体" w:hAnsi="宋体" w:eastAsia="宋体" w:cs="宋体"/>
          <w:i w:val="0"/>
          <w:iCs w:val="0"/>
          <w:color w:val="auto"/>
          <w:sz w:val="21"/>
          <w:szCs w:val="21"/>
          <w:highlight w:val="none"/>
          <w:u w:val="single"/>
        </w:rPr>
        <w:t>，属于提供虚假材料。</w:t>
      </w:r>
      <w:r>
        <w:rPr>
          <w:rFonts w:hint="eastAsia" w:ascii="宋体" w:hAnsi="宋体" w:eastAsia="宋体" w:cs="宋体"/>
          <w:i w:val="0"/>
          <w:iCs w:val="0"/>
          <w:color w:val="auto"/>
          <w:sz w:val="21"/>
          <w:szCs w:val="21"/>
          <w:highlight w:val="none"/>
          <w:u w:val="single"/>
        </w:rPr>
        <w:t>构成“</w:t>
      </w:r>
      <w:r>
        <w:rPr>
          <w:rFonts w:hint="eastAsia" w:ascii="宋体" w:hAnsi="宋体" w:eastAsia="宋体" w:cs="宋体"/>
          <w:i w:val="0"/>
          <w:iCs w:val="0"/>
          <w:color w:val="auto"/>
          <w:sz w:val="21"/>
          <w:szCs w:val="21"/>
          <w:highlight w:val="none"/>
          <w:u w:val="single"/>
          <w:lang w:val="en-US" w:eastAsia="zh-CN"/>
        </w:rPr>
        <w:t>提供</w:t>
      </w:r>
      <w:r>
        <w:rPr>
          <w:rFonts w:hint="eastAsia" w:ascii="宋体" w:hAnsi="宋体" w:eastAsia="宋体" w:cs="宋体"/>
          <w:i w:val="0"/>
          <w:iCs w:val="0"/>
          <w:color w:val="auto"/>
          <w:sz w:val="21"/>
          <w:szCs w:val="21"/>
          <w:highlight w:val="none"/>
          <w:u w:val="single"/>
        </w:rPr>
        <w:t>虚假材料谋取中标的”，依法承担法律责任。</w:t>
      </w:r>
    </w:p>
    <w:p w14:paraId="4993FD87">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4.</w:t>
      </w:r>
      <w:r>
        <w:rPr>
          <w:rFonts w:hint="eastAsia" w:ascii="宋体" w:hAnsi="宋体" w:eastAsia="宋体" w:cs="宋体"/>
          <w:b/>
          <w:bCs/>
          <w:i w:val="0"/>
          <w:iCs w:val="0"/>
          <w:color w:val="auto"/>
          <w:sz w:val="21"/>
          <w:szCs w:val="21"/>
          <w:highlight w:val="none"/>
        </w:rPr>
        <w:t>支持监狱企业发展</w:t>
      </w:r>
    </w:p>
    <w:p w14:paraId="175C04F3">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64DB784D">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5.</w:t>
      </w:r>
      <w:r>
        <w:rPr>
          <w:rFonts w:hint="eastAsia" w:ascii="宋体" w:hAnsi="宋体" w:eastAsia="宋体" w:cs="宋体"/>
          <w:b/>
          <w:bCs/>
          <w:i w:val="0"/>
          <w:iCs w:val="0"/>
          <w:color w:val="auto"/>
          <w:sz w:val="21"/>
          <w:szCs w:val="21"/>
          <w:highlight w:val="none"/>
        </w:rPr>
        <w:t>促进残疾人就业</w:t>
      </w:r>
    </w:p>
    <w:p w14:paraId="35360C53">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符合《关于促进残疾人就业政府采购政策的通知》（财库[2017]141号）规定的条件并提供《残疾人福利性单位声明函》的残疾人福利性单位视同小型、微型企业。</w:t>
      </w:r>
    </w:p>
    <w:p w14:paraId="607F047E">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6.</w:t>
      </w:r>
      <w:r>
        <w:rPr>
          <w:rFonts w:hint="eastAsia" w:ascii="宋体" w:hAnsi="宋体" w:eastAsia="宋体" w:cs="宋体"/>
          <w:b/>
          <w:bCs/>
          <w:i w:val="0"/>
          <w:iCs w:val="0"/>
          <w:color w:val="auto"/>
          <w:sz w:val="21"/>
          <w:szCs w:val="21"/>
          <w:highlight w:val="none"/>
        </w:rPr>
        <w:t>支持创新发展</w:t>
      </w:r>
    </w:p>
    <w:p w14:paraId="64B4764B">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采购人优先采购被认定为首台套产品和“制造精品”的自主创新产品。</w:t>
      </w:r>
    </w:p>
    <w:p w14:paraId="5B139B56">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对省级以上主管部门认定的首台套产品，自纳入《省推广应用</w:t>
      </w:r>
      <w:r>
        <w:rPr>
          <w:rFonts w:hint="eastAsia" w:ascii="宋体" w:hAnsi="宋体" w:eastAsia="宋体" w:cs="宋体"/>
          <w:i w:val="0"/>
          <w:iCs w:val="0"/>
          <w:color w:val="auto"/>
          <w:sz w:val="21"/>
          <w:szCs w:val="21"/>
          <w:highlight w:val="none"/>
        </w:rPr>
        <w:t>指导目录》起</w:t>
      </w: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年内参加政府采购活动，视同已具备相应销售业绩，业绩分为满分。</w:t>
      </w:r>
    </w:p>
    <w:p w14:paraId="03A5DCC4">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产品核心技术高于国内领先水平，并具有明晰自主知识产权的“制造精品”产品，自认定之日起</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年</w:t>
      </w:r>
      <w:r>
        <w:rPr>
          <w:rFonts w:hint="eastAsia" w:ascii="宋体" w:hAnsi="宋体" w:eastAsia="宋体" w:cs="宋体"/>
          <w:i w:val="0"/>
          <w:iCs w:val="0"/>
          <w:color w:val="auto"/>
          <w:sz w:val="21"/>
          <w:szCs w:val="21"/>
          <w:highlight w:val="none"/>
        </w:rPr>
        <w:t>内视同已具备相应销售业绩，参加政府采购活动时业绩分值为满分。</w:t>
      </w:r>
    </w:p>
    <w:p w14:paraId="6B7A74DF">
      <w:pP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1DF26EEE">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二</w:t>
      </w:r>
      <w:r>
        <w:rPr>
          <w:rFonts w:hint="eastAsia" w:ascii="宋体" w:hAnsi="宋体" w:eastAsia="宋体" w:cs="Times New Roman"/>
          <w:b/>
          <w:color w:val="auto"/>
          <w:spacing w:val="-6"/>
          <w:szCs w:val="21"/>
          <w:highlight w:val="none"/>
        </w:rPr>
        <w:t>、招标文件</w:t>
      </w:r>
    </w:p>
    <w:p w14:paraId="01460C6E">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（一）招标文件的构成</w:t>
      </w:r>
    </w:p>
    <w:p w14:paraId="666AB902">
      <w:pP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本招标文件由以下部分组成：</w:t>
      </w:r>
    </w:p>
    <w:p w14:paraId="27ABAE51">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1.投标邀请</w:t>
      </w:r>
    </w:p>
    <w:p w14:paraId="6D72D91F">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2.采购需求</w:t>
      </w:r>
    </w:p>
    <w:p w14:paraId="300C44A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3.投标人须知</w:t>
      </w:r>
    </w:p>
    <w:p w14:paraId="6CCBDB65">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4.评标方法和评标标准</w:t>
      </w:r>
    </w:p>
    <w:p w14:paraId="104B7840">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5.拟签订的合同文本</w:t>
      </w:r>
    </w:p>
    <w:p w14:paraId="3023C100">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6.投标文件格式</w:t>
      </w:r>
    </w:p>
    <w:p w14:paraId="598613A8">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7.本项目招标文件的澄清、答复、修改、补充的内容</w:t>
      </w:r>
    </w:p>
    <w:p w14:paraId="6A692C66">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（二）招标文件的澄清与修改</w:t>
      </w:r>
    </w:p>
    <w:p w14:paraId="59A3ACA9">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.采购人或者采购代理机构可以对已发出的招标文件进行必要的澄清或者修改</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w:t>
      </w:r>
      <w:r>
        <w:rPr>
          <w:rFonts w:hint="eastAsia" w:ascii="宋体" w:hAnsi="宋体" w:eastAsia="宋体" w:cs="Times New Roman"/>
          <w:color w:val="auto"/>
          <w:spacing w:val="-6"/>
          <w:szCs w:val="21"/>
          <w:highlight w:val="none"/>
        </w:rPr>
        <w:t>会</w:t>
      </w:r>
      <w:r>
        <w:rPr>
          <w:rFonts w:ascii="宋体" w:hAnsi="宋体" w:eastAsia="宋体" w:cs="Times New Roman"/>
          <w:color w:val="auto"/>
          <w:spacing w:val="-6"/>
          <w:szCs w:val="21"/>
          <w:highlight w:val="none"/>
        </w:rPr>
        <w:t>在原公告发布媒体上发布澄清公告</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澄清或者修改的内容为招标文件的组成部分。</w:t>
      </w:r>
    </w:p>
    <w:p w14:paraId="264813F4">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5BC0B198">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2.招标文件的修改将以书面形式通知所有获取招标文件的投标人，并对其具有约束力。投标人在收到上述通知后，应立即向采购</w:t>
      </w:r>
      <w:r>
        <w:rPr>
          <w:rFonts w:ascii="宋体" w:hAnsi="宋体" w:eastAsia="宋体" w:cs="Times New Roman"/>
          <w:color w:val="auto"/>
          <w:spacing w:val="-6"/>
          <w:szCs w:val="21"/>
          <w:highlight w:val="none"/>
        </w:rPr>
        <w:t>代理机构</w:t>
      </w:r>
      <w:r>
        <w:rPr>
          <w:rFonts w:hint="eastAsia" w:ascii="宋体" w:hAnsi="宋体" w:eastAsia="宋体" w:cs="Times New Roman"/>
          <w:color w:val="auto"/>
          <w:spacing w:val="-6"/>
          <w:szCs w:val="21"/>
          <w:highlight w:val="none"/>
        </w:rPr>
        <w:t>回函确认。若无书面回函确认，视同投标人已收到招标文件修改的通知，并受其约束。</w:t>
      </w:r>
    </w:p>
    <w:p w14:paraId="0EE61DBD">
      <w:pPr>
        <w:adjustRightInd w:val="0"/>
        <w:snapToGrid w:val="0"/>
        <w:spacing w:line="288" w:lineRule="auto"/>
        <w:jc w:val="center"/>
        <w:outlineLvl w:val="1"/>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br w:type="page"/>
      </w:r>
      <w:r>
        <w:rPr>
          <w:rFonts w:ascii="宋体" w:hAnsi="宋体" w:eastAsia="宋体" w:cs="Times New Roman"/>
          <w:b/>
          <w:color w:val="auto"/>
          <w:spacing w:val="-6"/>
          <w:szCs w:val="21"/>
          <w:highlight w:val="none"/>
        </w:rPr>
        <w:t>三</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投标文件编制要求</w:t>
      </w:r>
    </w:p>
    <w:p w14:paraId="5BD8E845">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（一）投标文件的组成</w:t>
      </w:r>
    </w:p>
    <w:p w14:paraId="3633CD67">
      <w:pP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7" w:name="_Hlk94018532"/>
      <w:r>
        <w:rPr>
          <w:rFonts w:hint="eastAsia" w:ascii="宋体" w:hAnsi="宋体" w:eastAsia="宋体" w:cs="Times New Roman"/>
          <w:color w:val="auto"/>
          <w:spacing w:val="-6"/>
          <w:szCs w:val="21"/>
          <w:highlight w:val="none"/>
        </w:rPr>
        <w:t>投标文件（电子加密投标文件）由</w:t>
      </w:r>
      <w:r>
        <w:rPr>
          <w:rFonts w:hint="eastAsia" w:ascii="宋体" w:hAnsi="宋体" w:eastAsia="宋体" w:cs="Times New Roman"/>
          <w:b/>
          <w:color w:val="auto"/>
          <w:spacing w:val="-6"/>
          <w:szCs w:val="21"/>
          <w:highlight w:val="none"/>
        </w:rPr>
        <w:t>资格文件、商务和技术文件、报价文件三部分</w:t>
      </w:r>
      <w:r>
        <w:rPr>
          <w:rFonts w:hint="eastAsia" w:ascii="宋体" w:hAnsi="宋体" w:eastAsia="宋体" w:cs="Times New Roman"/>
          <w:bCs/>
          <w:color w:val="auto"/>
          <w:spacing w:val="-6"/>
          <w:szCs w:val="21"/>
          <w:highlight w:val="none"/>
        </w:rPr>
        <w:t>组成（格式详见招标文件第六章）。投标人应将投标文件各部分</w:t>
      </w:r>
      <w:r>
        <w:rPr>
          <w:rFonts w:hint="eastAsia" w:ascii="宋体" w:hAnsi="宋体" w:eastAsia="宋体" w:cs="Times New Roman"/>
          <w:b/>
          <w:color w:val="auto"/>
          <w:spacing w:val="-6"/>
          <w:szCs w:val="21"/>
          <w:highlight w:val="none"/>
        </w:rPr>
        <w:t>分别上传</w:t>
      </w:r>
      <w:r>
        <w:rPr>
          <w:rFonts w:hint="eastAsia" w:ascii="宋体" w:hAnsi="宋体" w:eastAsia="宋体" w:cs="Times New Roman"/>
          <w:bCs/>
          <w:color w:val="auto"/>
          <w:spacing w:val="-6"/>
          <w:szCs w:val="21"/>
          <w:highlight w:val="none"/>
        </w:rPr>
        <w:t>至政府采购云平台指定位置。</w:t>
      </w:r>
    </w:p>
    <w:p w14:paraId="60C8D51E">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投标文件组成：详见“第六章</w:t>
      </w:r>
      <w:r>
        <w:rPr>
          <w:rFonts w:ascii="宋体" w:hAnsi="宋体" w:eastAsia="宋体" w:cs="Times New Roman"/>
          <w:color w:val="auto"/>
          <w:spacing w:val="-6"/>
          <w:szCs w:val="21"/>
          <w:highlight w:val="none"/>
        </w:rPr>
        <w:t xml:space="preserve">  投标文件格式</w:t>
      </w:r>
      <w:r>
        <w:rPr>
          <w:rFonts w:hint="eastAsia" w:ascii="宋体" w:hAnsi="宋体" w:eastAsia="宋体" w:cs="Times New Roman"/>
          <w:color w:val="auto"/>
          <w:spacing w:val="-6"/>
          <w:szCs w:val="21"/>
          <w:highlight w:val="none"/>
        </w:rPr>
        <w:t>”目录</w:t>
      </w:r>
    </w:p>
    <w:p w14:paraId="44C69B44">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如供应商提供的产品技术支持材料与采购需求偏离表响应不一致，以产品技术支持材料为准。</w:t>
      </w:r>
    </w:p>
    <w:bookmarkEnd w:id="47"/>
    <w:p w14:paraId="53575315">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（二）投标文件的签署和份数</w:t>
      </w:r>
    </w:p>
    <w:p w14:paraId="2F75DE03">
      <w:pPr>
        <w:adjustRightInd w:val="0"/>
        <w:snapToGrid w:val="0"/>
        <w:spacing w:line="288" w:lineRule="auto"/>
        <w:ind w:firstLine="396" w:firstLineChars="200"/>
        <w:jc w:val="left"/>
        <w:rPr>
          <w:rFonts w:ascii="宋体" w:hAnsi="宋体" w:eastAsia="宋体"/>
          <w:b/>
          <w:bCs/>
          <w:color w:val="auto"/>
          <w:spacing w:val="-6"/>
          <w:szCs w:val="21"/>
          <w:highlight w:val="none"/>
        </w:rPr>
      </w:pPr>
      <w:r>
        <w:rPr>
          <w:rFonts w:hint="eastAsia" w:ascii="宋体" w:hAnsi="宋体" w:eastAsia="宋体"/>
          <w:color w:val="auto"/>
          <w:spacing w:val="-6"/>
          <w:szCs w:val="21"/>
          <w:highlight w:val="none"/>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color w:val="auto"/>
          <w:spacing w:val="-6"/>
          <w:szCs w:val="21"/>
          <w:highlight w:val="none"/>
        </w:rPr>
        <w:t>其中资格文件、商务技术文件中不得出现投标报价，如因投标人原因提前泄露投标报价，是投标人的责任。</w:t>
      </w:r>
    </w:p>
    <w:p w14:paraId="250B90E4">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2.投标文件须由投标人在规定位置</w:t>
      </w:r>
      <w:bookmarkStart w:id="48" w:name="_Hlk96329183"/>
      <w:r>
        <w:rPr>
          <w:rFonts w:hint="eastAsia" w:ascii="宋体" w:hAnsi="宋体" w:eastAsia="宋体"/>
          <w:color w:val="auto"/>
          <w:spacing w:val="-6"/>
          <w:szCs w:val="21"/>
          <w:highlight w:val="none"/>
        </w:rPr>
        <w:t>加盖公章</w:t>
      </w:r>
      <w:bookmarkEnd w:id="48"/>
      <w:r>
        <w:rPr>
          <w:rFonts w:hint="eastAsia" w:ascii="宋体" w:hAnsi="宋体" w:eastAsia="宋体"/>
          <w:color w:val="auto"/>
          <w:spacing w:val="-6"/>
          <w:szCs w:val="21"/>
          <w:highlight w:val="none"/>
        </w:rPr>
        <w:t>，投标人应写全称。</w:t>
      </w:r>
    </w:p>
    <w:p w14:paraId="076A4EC9">
      <w:pP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3.投标文件不得涂改，若有修改错漏处，须由投标人加盖公章，或者由投标人代表签名。投标文件因字迹潦草或表达不清所引起的后果由投标人负责。</w:t>
      </w:r>
    </w:p>
    <w:p w14:paraId="63929E9C">
      <w:pPr>
        <w:adjustRightInd w:val="0"/>
        <w:snapToGrid w:val="0"/>
        <w:spacing w:line="288" w:lineRule="auto"/>
        <w:ind w:firstLine="398" w:firstLineChars="200"/>
        <w:jc w:val="left"/>
        <w:rPr>
          <w:rFonts w:ascii="宋体" w:hAnsi="宋体" w:eastAsia="宋体"/>
          <w:b/>
          <w:bCs/>
          <w:color w:val="auto"/>
          <w:spacing w:val="-6"/>
          <w:szCs w:val="21"/>
          <w:highlight w:val="none"/>
        </w:rPr>
      </w:pPr>
      <w:r>
        <w:rPr>
          <w:rFonts w:hint="eastAsia" w:ascii="宋体" w:hAnsi="宋体" w:eastAsia="宋体"/>
          <w:b/>
          <w:bCs/>
          <w:color w:val="auto"/>
          <w:spacing w:val="-6"/>
          <w:szCs w:val="21"/>
          <w:highlight w:val="none"/>
        </w:rPr>
        <w:t>4.投标文件份数：</w:t>
      </w:r>
    </w:p>
    <w:p w14:paraId="4AA2BA13">
      <w:pPr>
        <w:adjustRightInd w:val="0"/>
        <w:snapToGrid w:val="0"/>
        <w:spacing w:line="288" w:lineRule="auto"/>
        <w:ind w:firstLine="398" w:firstLineChars="200"/>
        <w:jc w:val="left"/>
        <w:rPr>
          <w:rFonts w:ascii="宋体" w:hAnsi="宋体" w:eastAsia="宋体"/>
          <w:b/>
          <w:bCs/>
          <w:color w:val="auto"/>
          <w:spacing w:val="-6"/>
          <w:szCs w:val="21"/>
          <w:highlight w:val="none"/>
        </w:rPr>
      </w:pPr>
      <w:r>
        <w:rPr>
          <w:rFonts w:hint="eastAsia" w:ascii="宋体" w:hAnsi="宋体" w:eastAsia="宋体"/>
          <w:b/>
          <w:bCs/>
          <w:color w:val="auto"/>
          <w:spacing w:val="-6"/>
          <w:szCs w:val="21"/>
          <w:highlight w:val="none"/>
        </w:rPr>
        <w:t>电子加密投标文件：政府采购云平台在线上传一份；</w:t>
      </w:r>
    </w:p>
    <w:p w14:paraId="06C5DDB7">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b/>
          <w:bCs/>
          <w:color w:val="auto"/>
          <w:spacing w:val="-6"/>
          <w:szCs w:val="21"/>
          <w:highlight w:val="none"/>
        </w:rPr>
        <w:t>备份投标文件：密封包装后EMS或顺丰邮寄形式递交一份（邮寄地址：</w:t>
      </w:r>
      <w:r>
        <w:rPr>
          <w:rFonts w:hint="eastAsia" w:ascii="宋体" w:hAnsi="宋体" w:eastAsia="宋体" w:cs="宋体"/>
          <w:b/>
          <w:bCs/>
          <w:color w:val="auto"/>
          <w:szCs w:val="21"/>
          <w:highlight w:val="none"/>
        </w:rPr>
        <w:t>杭州市西湖区玉古路173号中田大厦21楼H室，</w:t>
      </w:r>
      <w:r>
        <w:rPr>
          <w:rFonts w:hint="eastAsia" w:ascii="宋体" w:hAnsi="宋体" w:eastAsia="宋体" w:cs="宋体"/>
          <w:b/>
          <w:bCs/>
          <w:color w:val="auto"/>
          <w:szCs w:val="21"/>
          <w:highlight w:val="none"/>
        </w:rPr>
        <w:t>浙江求是招标代理有限公司（</w:t>
      </w:r>
      <w:r>
        <w:rPr>
          <w:rFonts w:hint="eastAsia" w:ascii="宋体" w:hAnsi="宋体" w:eastAsia="宋体" w:cs="宋体"/>
          <w:b/>
          <w:bCs/>
          <w:color w:val="auto"/>
          <w:szCs w:val="21"/>
          <w:highlight w:val="none"/>
          <w:lang w:eastAsia="zh-CN"/>
        </w:rPr>
        <w:t>温瑶</w:t>
      </w:r>
      <w:r>
        <w:rPr>
          <w:rFonts w:hint="eastAsia" w:ascii="宋体" w:hAnsi="宋体" w:eastAsia="宋体" w:cs="宋体"/>
          <w:b/>
          <w:bCs/>
          <w:color w:val="auto"/>
          <w:szCs w:val="21"/>
          <w:highlight w:val="none"/>
        </w:rPr>
        <w:t>）收，电话：</w:t>
      </w:r>
      <w:r>
        <w:rPr>
          <w:rFonts w:hint="eastAsia" w:ascii="宋体" w:hAnsi="宋体" w:eastAsia="宋体" w:cs="宋体"/>
          <w:b/>
          <w:bCs/>
          <w:color w:val="auto"/>
          <w:szCs w:val="21"/>
          <w:highlight w:val="none"/>
          <w:lang w:eastAsia="zh-CN"/>
        </w:rPr>
        <w:t>0571-87666115</w:t>
      </w:r>
      <w:r>
        <w:rPr>
          <w:rFonts w:hint="eastAsia" w:ascii="宋体" w:hAnsi="宋体" w:eastAsia="宋体" w:cs="宋体"/>
          <w:b/>
          <w:bCs/>
          <w:color w:val="auto"/>
          <w:szCs w:val="21"/>
          <w:highlight w:val="none"/>
        </w:rPr>
        <w:t>，寄出后将（快递单号、项目名称、公司名称、联系方式等相关信息）发至：</w:t>
      </w:r>
      <w:r>
        <w:rPr>
          <w:rFonts w:hint="eastAsia" w:ascii="宋体" w:hAnsi="宋体" w:eastAsia="宋体" w:cs="宋体"/>
          <w:b/>
          <w:bCs/>
          <w:color w:val="auto"/>
          <w:szCs w:val="21"/>
          <w:highlight w:val="none"/>
          <w:lang w:eastAsia="zh-CN"/>
        </w:rPr>
        <w:t>zb03@qszb.net</w:t>
      </w:r>
      <w:r>
        <w:rPr>
          <w:rFonts w:hint="eastAsia" w:ascii="宋体" w:hAnsi="宋体" w:eastAsia="宋体" w:cs="宋体"/>
          <w:b/>
          <w:bCs/>
          <w:color w:val="auto"/>
          <w:szCs w:val="21"/>
          <w:highlight w:val="none"/>
        </w:rPr>
        <w:t>，以便查收）。</w:t>
      </w:r>
    </w:p>
    <w:p w14:paraId="328DC71B">
      <w:pPr>
        <w:adjustRightInd w:val="0"/>
        <w:snapToGrid w:val="0"/>
        <w:spacing w:line="288" w:lineRule="auto"/>
        <w:ind w:firstLine="422" w:firstLineChars="200"/>
        <w:jc w:val="left"/>
        <w:rPr>
          <w:rFonts w:ascii="宋体" w:hAnsi="宋体" w:eastAsia="宋体" w:cs="Times New Roman"/>
          <w:b/>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p w14:paraId="16917FF3">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（三）投标文件的上传、递交、修改和撤回</w:t>
      </w:r>
    </w:p>
    <w:p w14:paraId="7BA2B60F">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1.投标文件的上传、递交：</w:t>
      </w:r>
    </w:p>
    <w:p w14:paraId="2C43C324">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（1）电子加密投标文件的上传：</w:t>
      </w:r>
    </w:p>
    <w:p w14:paraId="06479D34">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▲a.投标人应在投标截止时间前将电子加密投标文件成功上传至政府采购云平台，否则投标无效；</w:t>
      </w:r>
    </w:p>
    <w:p w14:paraId="0DCE944E">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b.电子加密投标文件成功上传后，投标人可自行打印投标文件接收回执。</w:t>
      </w:r>
    </w:p>
    <w:p w14:paraId="62577BE9">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（2）备份投标文件的密封包装、递交：</w:t>
      </w:r>
    </w:p>
    <w:p w14:paraId="3A64F792">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a.投标人在政府采购云平台完成电子加密投标文件的上传后，可以EMS或顺丰邮寄形式在投标截止时间前递交以介质（U盘）存储的数据电文形式的备份投标文件；</w:t>
      </w:r>
    </w:p>
    <w:p w14:paraId="211C779B">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b.备份投标文件应当密封包装并在包装上标注投标</w:t>
      </w:r>
      <w:r>
        <w:rPr>
          <w:rFonts w:hint="eastAsia" w:ascii="宋体" w:hAnsi="宋体" w:eastAsia="宋体"/>
          <w:color w:val="auto"/>
          <w:spacing w:val="-6"/>
          <w:szCs w:val="21"/>
          <w:highlight w:val="none"/>
          <w:u w:val="single"/>
        </w:rPr>
        <w:t>项目名称、标项、投标人名称</w:t>
      </w:r>
      <w:r>
        <w:rPr>
          <w:rFonts w:hint="eastAsia" w:ascii="宋体" w:hAnsi="宋体" w:eastAsia="宋体"/>
          <w:color w:val="auto"/>
          <w:spacing w:val="-6"/>
          <w:szCs w:val="21"/>
          <w:highlight w:val="none"/>
        </w:rPr>
        <w:t>并加盖公章（非电子签章），投标人逾期送达或者未密封包装的备份投标文件采购代理机构将予以拒收；</w:t>
      </w:r>
    </w:p>
    <w:p w14:paraId="174A1708">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▲c.通过政府采购云平台成功上传的电子加密投标文件已按时解密的，备份投标文件自动失效。</w:t>
      </w:r>
    </w:p>
    <w:p w14:paraId="62F3A054">
      <w:pPr>
        <w:adjustRightInd w:val="0"/>
        <w:snapToGrid w:val="0"/>
        <w:spacing w:line="288" w:lineRule="auto"/>
        <w:ind w:firstLine="396" w:firstLineChars="200"/>
        <w:jc w:val="left"/>
        <w:rPr>
          <w:rFonts w:ascii="宋体" w:hAnsi="宋体" w:eastAsia="宋体"/>
          <w:color w:val="auto"/>
          <w:spacing w:val="-6"/>
          <w:szCs w:val="21"/>
          <w:highlight w:val="none"/>
        </w:rPr>
      </w:pPr>
      <w:bookmarkStart w:id="49" w:name="_Hlk94018616"/>
      <w:r>
        <w:rPr>
          <w:rFonts w:hint="eastAsia" w:ascii="宋体" w:hAnsi="宋体" w:eastAsia="宋体"/>
          <w:color w:val="auto"/>
          <w:spacing w:val="-6"/>
          <w:szCs w:val="21"/>
          <w:highlight w:val="none"/>
        </w:rPr>
        <w:t>▲d.投标人仅递交备份投标文件而未将电子加密投标文件成功上传至政府采购云平台的，投标无效。</w:t>
      </w:r>
    </w:p>
    <w:bookmarkEnd w:id="49"/>
    <w:p w14:paraId="7C87A2D5">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00430D70">
      <w:pP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2</w:t>
      </w:r>
      <w:r>
        <w:rPr>
          <w:rFonts w:hint="eastAsia" w:ascii="宋体" w:hAnsi="宋体" w:eastAsia="宋体"/>
          <w:color w:val="auto"/>
          <w:spacing w:val="-6"/>
          <w:szCs w:val="21"/>
          <w:highlight w:val="none"/>
        </w:rPr>
        <w:t>.投标人因未在线参加开标而导致电子加密投标文件无法按时解密等一切后果由投标人自行承担。</w:t>
      </w:r>
    </w:p>
    <w:p w14:paraId="1DF25D36">
      <w:pP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3</w:t>
      </w:r>
      <w:r>
        <w:rPr>
          <w:rFonts w:hint="eastAsia" w:ascii="宋体" w:hAnsi="宋体" w:eastAsia="宋体"/>
          <w:color w:val="auto"/>
          <w:spacing w:val="-6"/>
          <w:szCs w:val="21"/>
          <w:highlight w:val="none"/>
        </w:rPr>
        <w:t>.投标人应按照招标文件和政府采购云平台的要求，根据投标文件的组成规定的内容及顺序通过政采云电子交易客户端（政采云投标客户端）编制加密投标文件。</w:t>
      </w:r>
    </w:p>
    <w:p w14:paraId="4A30B815">
      <w:pPr>
        <w:adjustRightInd w:val="0"/>
        <w:snapToGrid w:val="0"/>
        <w:spacing w:line="288" w:lineRule="auto"/>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备注：投标人可通过浙江省“电子交易/不见面开评标”学习专题提前进行专题学习，熟悉操作，避免影响采购活动（</w:t>
      </w:r>
      <w:r>
        <w:rPr>
          <w:color w:val="auto"/>
          <w:highlight w:val="none"/>
        </w:rPr>
        <w:fldChar w:fldCharType="begin"/>
      </w:r>
      <w:r>
        <w:rPr>
          <w:color w:val="auto"/>
          <w:highlight w:val="none"/>
        </w:rPr>
        <w:instrText xml:space="preserve"> HYPERLINK "https://edu.zcygov.cn/luban/e-biding" </w:instrText>
      </w:r>
      <w:r>
        <w:rPr>
          <w:color w:val="auto"/>
          <w:highlight w:val="none"/>
        </w:rPr>
        <w:fldChar w:fldCharType="separate"/>
      </w:r>
      <w:r>
        <w:rPr>
          <w:rStyle w:val="30"/>
          <w:rFonts w:hint="eastAsia" w:ascii="宋体" w:hAnsi="宋体" w:eastAsia="宋体"/>
          <w:b/>
          <w:bCs/>
          <w:color w:val="auto"/>
          <w:szCs w:val="21"/>
          <w:highlight w:val="none"/>
        </w:rPr>
        <w:t>https://edu.zcygov.cn/luban/e-biding</w:t>
      </w:r>
      <w:r>
        <w:rPr>
          <w:rStyle w:val="30"/>
          <w:rFonts w:hint="eastAsia" w:ascii="宋体" w:hAnsi="宋体" w:eastAsia="宋体"/>
          <w:b/>
          <w:bCs/>
          <w:color w:val="auto"/>
          <w:szCs w:val="21"/>
          <w:highlight w:val="none"/>
        </w:rPr>
        <w:fldChar w:fldCharType="end"/>
      </w:r>
      <w:r>
        <w:rPr>
          <w:rFonts w:hint="eastAsia" w:ascii="宋体" w:hAnsi="宋体" w:eastAsia="宋体"/>
          <w:b/>
          <w:bCs/>
          <w:color w:val="auto"/>
          <w:szCs w:val="21"/>
          <w:highlight w:val="none"/>
        </w:rPr>
        <w:t>）。</w:t>
      </w:r>
    </w:p>
    <w:p w14:paraId="2156FA12">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（四）投标文件的语言及计量</w:t>
      </w:r>
    </w:p>
    <w:p w14:paraId="5DE4CE4E">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63FAF53E">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（五）投标报价</w:t>
      </w:r>
    </w:p>
    <w:p w14:paraId="3269E476">
      <w:pPr>
        <w:adjustRightInd w:val="0"/>
        <w:snapToGrid w:val="0"/>
        <w:spacing w:line="288" w:lineRule="auto"/>
        <w:ind w:left="0" w:leftChars="0" w:firstLine="420" w:firstLineChars="200"/>
        <w:rPr>
          <w:rFonts w:ascii="宋体" w:hAnsi="宋体" w:eastAsia="宋体"/>
          <w:color w:val="auto"/>
          <w:szCs w:val="21"/>
          <w:highlight w:val="none"/>
        </w:rPr>
      </w:pPr>
      <w:bookmarkStart w:id="50" w:name="_Hlk94018664"/>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63D21707">
      <w:pPr>
        <w:adjustRightInd w:val="0"/>
        <w:snapToGrid w:val="0"/>
        <w:spacing w:line="288" w:lineRule="auto"/>
        <w:ind w:left="0" w:leftChars="0" w:firstLine="420" w:firstLineChars="200"/>
        <w:rPr>
          <w:rFonts w:ascii="宋体" w:hAnsi="宋体" w:eastAsia="宋体"/>
          <w:color w:val="auto"/>
          <w:szCs w:val="21"/>
          <w:highlight w:val="none"/>
        </w:rPr>
      </w:pPr>
      <w:r>
        <w:rPr>
          <w:rFonts w:hint="eastAsia" w:ascii="宋体" w:hAnsi="宋体" w:eastAsia="宋体"/>
          <w:color w:val="auto"/>
          <w:szCs w:val="21"/>
          <w:highlight w:val="none"/>
        </w:rPr>
        <w:t>2.以人民币报价；</w:t>
      </w:r>
    </w:p>
    <w:p w14:paraId="3A38F111">
      <w:pPr>
        <w:adjustRightInd w:val="0"/>
        <w:snapToGrid w:val="0"/>
        <w:spacing w:line="288" w:lineRule="auto"/>
        <w:ind w:left="0" w:leftChars="0" w:firstLine="420" w:firstLineChars="200"/>
        <w:rPr>
          <w:rFonts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w:t>
      </w:r>
      <w:r>
        <w:rPr>
          <w:rFonts w:hint="eastAsia" w:ascii="宋体" w:hAnsi="宋体" w:eastAsia="宋体"/>
          <w:color w:val="auto"/>
          <w:szCs w:val="21"/>
          <w:highlight w:val="none"/>
        </w:rPr>
        <w:t>总价不为零，</w:t>
      </w:r>
      <w:r>
        <w:rPr>
          <w:rFonts w:hint="eastAsia" w:ascii="宋体" w:hAnsi="宋体" w:eastAsia="宋体"/>
          <w:color w:val="auto"/>
          <w:szCs w:val="21"/>
          <w:highlight w:val="none"/>
          <w:lang w:val="en-US" w:eastAsia="zh-CN"/>
        </w:rPr>
        <w:t>分项报价</w:t>
      </w:r>
      <w:r>
        <w:rPr>
          <w:rFonts w:hint="eastAsia" w:ascii="宋体" w:hAnsi="宋体" w:eastAsia="宋体"/>
          <w:color w:val="auto"/>
          <w:szCs w:val="21"/>
          <w:highlight w:val="none"/>
        </w:rPr>
        <w:t>中部分产品、服务单价为零的，视作已包含在总价中。</w:t>
      </w:r>
    </w:p>
    <w:p w14:paraId="575D9FDC">
      <w:pPr>
        <w:adjustRightInd w:val="0"/>
        <w:snapToGrid w:val="0"/>
        <w:spacing w:line="288" w:lineRule="auto"/>
        <w:ind w:left="0" w:leftChars="0" w:firstLine="420" w:firstLineChars="200"/>
        <w:rPr>
          <w:rFonts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6FFCBFB4">
      <w:pPr>
        <w:pStyle w:val="13"/>
        <w:adjustRightInd w:val="0"/>
        <w:snapToGrid w:val="0"/>
        <w:spacing w:before="0" w:beforeLines="0" w:after="0" w:afterLines="0" w:line="288" w:lineRule="auto"/>
        <w:ind w:left="0" w:leftChars="0" w:firstLine="420" w:firstLineChars="200"/>
        <w:jc w:val="left"/>
        <w:rPr>
          <w:rFonts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p w14:paraId="54FE6AE9">
      <w:pPr>
        <w:pStyle w:val="13"/>
        <w:adjustRightInd w:val="0"/>
        <w:snapToGrid w:val="0"/>
        <w:spacing w:before="0" w:beforeLines="0" w:after="0" w:afterLines="0" w:line="288" w:lineRule="auto"/>
        <w:ind w:left="0" w:leftChars="0" w:firstLine="420" w:firstLineChars="200"/>
        <w:jc w:val="left"/>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6.供应商不得进行影响产品质量或者诚信履约的恶意报价。供应商报价低于项目预算50%的，应当在报价文件中提供说明，详细阐述不影响产品质量或者诚信履约的具体原因。</w:t>
      </w:r>
    </w:p>
    <w:bookmarkEnd w:id="50"/>
    <w:p w14:paraId="7A017CDE">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（六）投标有效期</w:t>
      </w:r>
    </w:p>
    <w:p w14:paraId="25334984">
      <w:pPr>
        <w:pStyle w:val="13"/>
        <w:adjustRightInd w:val="0"/>
        <w:snapToGrid w:val="0"/>
        <w:spacing w:before="0" w:beforeLines="0" w:after="0" w:afterLines="0" w:line="288" w:lineRule="auto"/>
        <w:ind w:firstLine="396" w:firstLineChars="200"/>
        <w:jc w:val="left"/>
        <w:rPr>
          <w:rFonts w:hAnsi="宋体" w:eastAsia="宋体"/>
          <w:color w:val="auto"/>
          <w:sz w:val="21"/>
          <w:szCs w:val="21"/>
          <w:highlight w:val="none"/>
        </w:rPr>
      </w:pPr>
      <w:r>
        <w:rPr>
          <w:rFonts w:hint="eastAsia" w:hAnsi="宋体" w:eastAsia="宋体"/>
          <w:color w:val="auto"/>
          <w:spacing w:val="-6"/>
          <w:sz w:val="21"/>
          <w:szCs w:val="21"/>
          <w:highlight w:val="none"/>
        </w:rPr>
        <w:t>▲从提交投标文件的截止之日起</w:t>
      </w:r>
      <w:r>
        <w:rPr>
          <w:rFonts w:hAnsi="宋体" w:eastAsia="宋体"/>
          <w:color w:val="auto"/>
          <w:spacing w:val="-6"/>
          <w:sz w:val="21"/>
          <w:szCs w:val="21"/>
          <w:highlight w:val="none"/>
        </w:rPr>
        <w:t>90天，在原投标有效期满之前，如果出现特殊情况，采购人或采购代理机构以书面形式通知投标人延长投标有效期。</w:t>
      </w:r>
    </w:p>
    <w:p w14:paraId="49D63DEE">
      <w:pPr>
        <w:widowControl/>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40A4128">
      <w:pP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四、资格审查不通过、投标无效的情形</w:t>
      </w:r>
    </w:p>
    <w:p w14:paraId="5B624078">
      <w:pPr>
        <w:adjustRightInd w:val="0"/>
        <w:snapToGrid w:val="0"/>
        <w:spacing w:line="288" w:lineRule="auto"/>
        <w:ind w:firstLine="420" w:firstLineChars="200"/>
        <w:rPr>
          <w:rFonts w:ascii="宋体" w:hAnsi="宋体" w:eastAsia="宋体" w:cs="宋体"/>
          <w:color w:val="auto"/>
          <w:szCs w:val="21"/>
          <w:highlight w:val="none"/>
        </w:rPr>
      </w:pPr>
      <w:bookmarkStart w:id="51" w:name="_Hlk94018682"/>
      <w:r>
        <w:rPr>
          <w:rFonts w:hint="eastAsia" w:ascii="宋体" w:hAnsi="宋体" w:eastAsia="宋体" w:cs="宋体"/>
          <w:color w:val="auto"/>
          <w:szCs w:val="21"/>
          <w:highlight w:val="none"/>
        </w:rPr>
        <w:t>未响应招标文件“▲”标记条款要求的，投标无效。</w:t>
      </w:r>
    </w:p>
    <w:bookmarkEnd w:id="51"/>
    <w:p w14:paraId="3346E53F">
      <w:pPr>
        <w:widowControl/>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在资格审查时，如发现下列情形之一的，投标人将被视为资格审查不通过：</w:t>
      </w:r>
    </w:p>
    <w:p w14:paraId="5F119D46">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资格证明</w:t>
      </w:r>
      <w:r>
        <w:rPr>
          <w:rFonts w:hint="eastAsia" w:ascii="宋体" w:hAnsi="宋体" w:eastAsia="宋体" w:cs="Times New Roman"/>
          <w:color w:val="auto"/>
          <w:spacing w:val="-6"/>
          <w:szCs w:val="21"/>
          <w:highlight w:val="none"/>
        </w:rPr>
        <w:t>材料</w:t>
      </w:r>
      <w:r>
        <w:rPr>
          <w:rFonts w:ascii="宋体" w:hAnsi="宋体" w:eastAsia="宋体" w:cs="Times New Roman"/>
          <w:color w:val="auto"/>
          <w:spacing w:val="-6"/>
          <w:szCs w:val="21"/>
          <w:highlight w:val="none"/>
        </w:rPr>
        <w:t>不全的，或者不符合</w:t>
      </w:r>
      <w:r>
        <w:rPr>
          <w:rFonts w:hint="eastAsia" w:ascii="宋体" w:hAnsi="宋体" w:eastAsia="宋体" w:cs="Times New Roman"/>
          <w:color w:val="auto"/>
          <w:spacing w:val="-6"/>
          <w:szCs w:val="21"/>
          <w:highlight w:val="none"/>
        </w:rPr>
        <w:t>招标</w:t>
      </w:r>
      <w:r>
        <w:rPr>
          <w:rFonts w:ascii="宋体" w:hAnsi="宋体" w:eastAsia="宋体" w:cs="Times New Roman"/>
          <w:color w:val="auto"/>
          <w:spacing w:val="-6"/>
          <w:szCs w:val="21"/>
          <w:highlight w:val="none"/>
        </w:rPr>
        <w:t>文件要求</w:t>
      </w:r>
      <w:r>
        <w:rPr>
          <w:rFonts w:hint="eastAsia" w:ascii="宋体" w:hAnsi="宋体" w:eastAsia="宋体" w:cs="Times New Roman"/>
          <w:color w:val="auto"/>
          <w:spacing w:val="-6"/>
          <w:szCs w:val="21"/>
          <w:highlight w:val="none"/>
        </w:rPr>
        <w:t>；</w:t>
      </w:r>
    </w:p>
    <w:p w14:paraId="3B48FEB6">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）投标人不具备招标文件中规定的资格要求；</w:t>
      </w:r>
    </w:p>
    <w:p w14:paraId="30B79E38">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）资格</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6EB91646">
      <w:pPr>
        <w:adjustRightInd w:val="0"/>
        <w:snapToGrid w:val="0"/>
        <w:spacing w:line="288" w:lineRule="auto"/>
        <w:ind w:firstLine="398" w:firstLineChars="200"/>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在符合</w:t>
      </w:r>
      <w:r>
        <w:rPr>
          <w:rFonts w:ascii="宋体" w:hAnsi="宋体" w:eastAsia="宋体" w:cs="Times New Roman"/>
          <w:b/>
          <w:color w:val="auto"/>
          <w:spacing w:val="-6"/>
          <w:szCs w:val="21"/>
          <w:highlight w:val="none"/>
        </w:rPr>
        <w:t>性审查、</w:t>
      </w:r>
      <w:r>
        <w:rPr>
          <w:rFonts w:hint="eastAsia" w:ascii="宋体" w:hAnsi="宋体" w:eastAsia="宋体" w:cs="Times New Roman"/>
          <w:b/>
          <w:color w:val="auto"/>
          <w:spacing w:val="-6"/>
          <w:szCs w:val="21"/>
          <w:highlight w:val="none"/>
        </w:rPr>
        <w:t>商务</w:t>
      </w:r>
      <w:r>
        <w:rPr>
          <w:rFonts w:ascii="宋体" w:hAnsi="宋体" w:eastAsia="宋体" w:cs="Times New Roman"/>
          <w:b/>
          <w:color w:val="auto"/>
          <w:spacing w:val="-6"/>
          <w:szCs w:val="21"/>
          <w:highlight w:val="none"/>
        </w:rPr>
        <w:t>和技术评审</w:t>
      </w:r>
      <w:r>
        <w:rPr>
          <w:rFonts w:hint="eastAsia" w:ascii="宋体" w:hAnsi="宋体" w:eastAsia="宋体" w:cs="Times New Roman"/>
          <w:b/>
          <w:color w:val="auto"/>
          <w:spacing w:val="-6"/>
          <w:szCs w:val="21"/>
          <w:highlight w:val="none"/>
        </w:rPr>
        <w:t>时，如发现下列情形之一的，投标文件将被视为无效：</w:t>
      </w:r>
    </w:p>
    <w:p w14:paraId="05A9954E">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（1）商务和技术文件未按要求签署、盖章；</w:t>
      </w:r>
    </w:p>
    <w:p w14:paraId="6719CBC6">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2）未提供或未按要求提供投标函、授权委托书；</w:t>
      </w:r>
    </w:p>
    <w:p w14:paraId="3A566227">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3）委托授权代表参加投标但未提供符合要求的授权代表社保缴纳证明；</w:t>
      </w:r>
    </w:p>
    <w:p w14:paraId="736B82B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（4）未提供或未如实提供采购需求</w:t>
      </w:r>
      <w:r>
        <w:rPr>
          <w:rFonts w:ascii="宋体" w:hAnsi="宋体" w:eastAsia="宋体" w:cs="Times New Roman"/>
          <w:color w:val="auto"/>
          <w:spacing w:val="-6"/>
          <w:szCs w:val="21"/>
          <w:highlight w:val="none"/>
        </w:rPr>
        <w:t>偏离表；</w:t>
      </w:r>
    </w:p>
    <w:p w14:paraId="3FE27043">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（5）明显不符合招标文件要求，或负偏离达到规定数目的，视为采购人不能接受的附加条件；</w:t>
      </w:r>
    </w:p>
    <w:p w14:paraId="7CCF010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投标技术方案不明确，存在一个或一个以上备选（替代）投标方案；</w:t>
      </w:r>
    </w:p>
    <w:p w14:paraId="6F5ABFD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）投标文件含有采购人不能接受的附加条件；</w:t>
      </w:r>
    </w:p>
    <w:p w14:paraId="783944E7">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8</w:t>
      </w:r>
      <w:r>
        <w:rPr>
          <w:rFonts w:hint="eastAsia" w:ascii="宋体" w:hAnsi="宋体" w:eastAsia="宋体" w:cs="Times New Roman"/>
          <w:color w:val="auto"/>
          <w:spacing w:val="-6"/>
          <w:szCs w:val="21"/>
          <w:highlight w:val="none"/>
        </w:rPr>
        <w:t>）法律、法规和招标文件规定的其他无效情形。</w:t>
      </w:r>
    </w:p>
    <w:p w14:paraId="5BFBFF78">
      <w:pPr>
        <w:widowControl/>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.在报价评审时，如发现下列情形之一的，投标文件将被视为无效：</w:t>
      </w:r>
    </w:p>
    <w:p w14:paraId="0B1C8A8A">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（1）报价</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606DECB3">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）未按照招标文件标明的币种报价</w:t>
      </w:r>
      <w:r>
        <w:rPr>
          <w:rFonts w:hint="eastAsia" w:ascii="宋体" w:hAnsi="宋体" w:eastAsia="宋体" w:cs="Times New Roman"/>
          <w:color w:val="auto"/>
          <w:spacing w:val="-6"/>
          <w:szCs w:val="21"/>
          <w:highlight w:val="none"/>
        </w:rPr>
        <w:t>；</w:t>
      </w:r>
    </w:p>
    <w:p w14:paraId="028CB5E3">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报价</w:t>
      </w:r>
      <w:r>
        <w:rPr>
          <w:rFonts w:hint="eastAsia" w:ascii="宋体" w:hAnsi="宋体" w:eastAsia="宋体" w:cs="Times New Roman"/>
          <w:color w:val="auto"/>
          <w:spacing w:val="-6"/>
          <w:szCs w:val="21"/>
          <w:highlight w:val="none"/>
        </w:rPr>
        <w:t>内容有</w:t>
      </w:r>
      <w:r>
        <w:rPr>
          <w:rFonts w:ascii="宋体" w:hAnsi="宋体" w:eastAsia="宋体" w:cs="Times New Roman"/>
          <w:color w:val="auto"/>
          <w:spacing w:val="-6"/>
          <w:szCs w:val="21"/>
          <w:highlight w:val="none"/>
        </w:rPr>
        <w:t>缺漏项</w:t>
      </w:r>
      <w:r>
        <w:rPr>
          <w:rFonts w:hint="eastAsia" w:ascii="宋体" w:hAnsi="宋体" w:eastAsia="宋体" w:cs="Times New Roman"/>
          <w:color w:val="auto"/>
          <w:spacing w:val="-6"/>
          <w:szCs w:val="21"/>
          <w:highlight w:val="none"/>
        </w:rPr>
        <w:t>，或者</w:t>
      </w:r>
      <w:r>
        <w:rPr>
          <w:rFonts w:ascii="宋体" w:hAnsi="宋体" w:eastAsia="宋体" w:cs="Times New Roman"/>
          <w:color w:val="auto"/>
          <w:spacing w:val="-6"/>
          <w:szCs w:val="21"/>
          <w:highlight w:val="none"/>
        </w:rPr>
        <w:t>与招标文件要求不一致</w:t>
      </w:r>
      <w:r>
        <w:rPr>
          <w:rFonts w:hint="eastAsia" w:ascii="宋体" w:hAnsi="宋体" w:eastAsia="宋体" w:cs="Times New Roman"/>
          <w:color w:val="auto"/>
          <w:spacing w:val="-6"/>
          <w:szCs w:val="21"/>
          <w:highlight w:val="none"/>
        </w:rPr>
        <w:t>；</w:t>
      </w:r>
    </w:p>
    <w:p w14:paraId="68CDD109">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（4）报价超过招标文件中规定的预算金额或者最高限价；</w:t>
      </w:r>
    </w:p>
    <w:p w14:paraId="488205B3">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（5）报价具有选择性；</w:t>
      </w:r>
    </w:p>
    <w:p w14:paraId="5A480027">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52" w:name="_Hlk94018736"/>
      <w:r>
        <w:rPr>
          <w:rFonts w:hint="eastAsia" w:ascii="宋体" w:hAnsi="宋体" w:eastAsia="宋体" w:cs="Times New Roman"/>
          <w:color w:val="auto"/>
          <w:spacing w:val="-6"/>
          <w:szCs w:val="21"/>
          <w:highlight w:val="none"/>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2"/>
    <w:p w14:paraId="17C2A7F4">
      <w:pPr>
        <w:widowControl/>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4</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有下列情形之一的，视为投标人串通投标，其投标无效：</w:t>
      </w:r>
    </w:p>
    <w:p w14:paraId="36C2E1DC">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（1）不同投标人的投标文件由同一单位或者个人编制；</w:t>
      </w:r>
    </w:p>
    <w:p w14:paraId="3752FA28">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（2）不同投标人委托同一单位或者个人办理投标事宜；</w:t>
      </w:r>
    </w:p>
    <w:p w14:paraId="323F2CBD">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（3）不同投标人的投标文件载明的项目管理成员或者联系人员为同一人；</w:t>
      </w:r>
    </w:p>
    <w:p w14:paraId="69509E16">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（4）不同投标人的投标文件异常一致或者投标报价呈规律性差异；</w:t>
      </w:r>
    </w:p>
    <w:p w14:paraId="396957D0">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（5）不同投标人的投标文件相互混装。</w:t>
      </w:r>
    </w:p>
    <w:p w14:paraId="323DF1A0">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lang w:val="en-US" w:eastAsia="zh-CN"/>
        </w:rPr>
      </w:pPr>
      <w:r>
        <w:rPr>
          <w:rFonts w:hint="eastAsia" w:ascii="宋体" w:hAnsi="宋体" w:eastAsia="宋体" w:cs="Times New Roman"/>
          <w:b/>
          <w:color w:val="auto"/>
          <w:spacing w:val="-6"/>
          <w:szCs w:val="21"/>
          <w:highlight w:val="none"/>
          <w:lang w:val="en-US" w:eastAsia="zh-CN"/>
        </w:rPr>
        <w:t>5.参与同一个采购包（标项）的供应商存在下列情形之一的，其投标文件无效：</w:t>
      </w:r>
    </w:p>
    <w:p w14:paraId="530FE2B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lang w:val="en-US" w:eastAsia="zh-CN"/>
        </w:rPr>
      </w:pPr>
      <w:r>
        <w:rPr>
          <w:rFonts w:hint="eastAsia" w:ascii="宋体" w:hAnsi="宋体" w:eastAsia="宋体" w:cs="Times New Roman"/>
          <w:color w:val="auto"/>
          <w:spacing w:val="-6"/>
          <w:szCs w:val="21"/>
          <w:highlight w:val="none"/>
          <w:lang w:val="en-US" w:eastAsia="zh-CN"/>
        </w:rPr>
        <w:t>（1）不同供应商的电子投标文件上传计算机的网卡MAC地址、CPU序列号或硬盘序列号等硬件信息相同的；</w:t>
      </w:r>
    </w:p>
    <w:p w14:paraId="0641AF37">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lang w:val="en-US" w:eastAsia="zh-CN"/>
        </w:rPr>
      </w:pPr>
      <w:r>
        <w:rPr>
          <w:rFonts w:hint="eastAsia" w:ascii="宋体" w:hAnsi="宋体" w:eastAsia="宋体" w:cs="Times New Roman"/>
          <w:color w:val="auto"/>
          <w:spacing w:val="-6"/>
          <w:szCs w:val="21"/>
          <w:highlight w:val="none"/>
          <w:lang w:val="en-US" w:eastAsia="zh-CN"/>
        </w:rPr>
        <w:t>（2）上传的电子投标文件若出现使用本项目其他投标供应商的数字证书加密的，或者加盖本项目其他投标供应商的电子印章的；</w:t>
      </w:r>
    </w:p>
    <w:p w14:paraId="22BC39A1">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lang w:val="en-US" w:eastAsia="zh-CN"/>
        </w:rPr>
      </w:pPr>
      <w:r>
        <w:rPr>
          <w:rFonts w:hint="eastAsia" w:ascii="宋体" w:hAnsi="宋体" w:eastAsia="宋体" w:cs="Times New Roman"/>
          <w:color w:val="auto"/>
          <w:spacing w:val="-6"/>
          <w:szCs w:val="21"/>
          <w:highlight w:val="none"/>
          <w:lang w:val="en-US" w:eastAsia="zh-CN"/>
        </w:rPr>
        <w:t>（3）不同供应商的投标文件的内容存在三处（含）以上错误一致，且无法合理解释的；</w:t>
      </w:r>
    </w:p>
    <w:p w14:paraId="20E83D89">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lang w:val="en-US" w:eastAsia="zh-CN"/>
        </w:rPr>
      </w:pPr>
      <w:r>
        <w:rPr>
          <w:rFonts w:hint="eastAsia" w:ascii="宋体" w:hAnsi="宋体" w:eastAsia="宋体" w:cs="Times New Roman"/>
          <w:color w:val="auto"/>
          <w:spacing w:val="-6"/>
          <w:szCs w:val="21"/>
          <w:highlight w:val="none"/>
          <w:lang w:val="en-US" w:eastAsia="zh-CN"/>
        </w:rPr>
        <w:t>（4）不同供应商联系人为同一人或不同联系人的联系电话一致，且无法合理解释的。</w:t>
      </w:r>
    </w:p>
    <w:p w14:paraId="4C350B67">
      <w:pPr>
        <w:widowControl/>
        <w:adjustRightInd w:val="0"/>
        <w:snapToGrid w:val="0"/>
        <w:spacing w:line="288" w:lineRule="auto"/>
        <w:ind w:firstLine="396" w:firstLineChars="200"/>
        <w:jc w:val="left"/>
        <w:rPr>
          <w:rFonts w:hint="default" w:ascii="宋体" w:hAnsi="宋体" w:eastAsia="宋体" w:cs="Times New Roman"/>
          <w:color w:val="auto"/>
          <w:spacing w:val="-6"/>
          <w:szCs w:val="21"/>
          <w:highlight w:val="none"/>
          <w:lang w:val="en-US" w:eastAsia="zh-CN"/>
        </w:rPr>
      </w:pPr>
    </w:p>
    <w:p w14:paraId="23E7F53D">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五、开  标</w:t>
      </w:r>
    </w:p>
    <w:p w14:paraId="5D0E7434">
      <w:pPr>
        <w:pStyle w:val="99"/>
        <w:snapToGrid w:val="0"/>
        <w:spacing w:before="0" w:line="288" w:lineRule="auto"/>
        <w:ind w:left="0" w:firstLine="424" w:firstLineChars="201"/>
        <w:rPr>
          <w:rFonts w:ascii="宋体" w:hAnsi="宋体"/>
          <w:color w:val="auto"/>
          <w:szCs w:val="21"/>
          <w:highlight w:val="none"/>
        </w:rPr>
      </w:pPr>
      <w:bookmarkStart w:id="53" w:name="_Hlk94018775"/>
      <w:r>
        <w:rPr>
          <w:rFonts w:hint="eastAsia" w:ascii="宋体" w:hAnsi="宋体" w:cs="仿宋_GB2312"/>
          <w:b/>
          <w:color w:val="auto"/>
          <w:szCs w:val="21"/>
          <w:highlight w:val="none"/>
        </w:rPr>
        <w:t>（一）</w:t>
      </w:r>
      <w:r>
        <w:rPr>
          <w:rFonts w:ascii="宋体" w:hAnsi="宋体" w:cs="仿宋_GB2312"/>
          <w:b/>
          <w:color w:val="auto"/>
          <w:szCs w:val="21"/>
          <w:highlight w:val="none"/>
        </w:rPr>
        <w:t>开标</w:t>
      </w:r>
    </w:p>
    <w:p w14:paraId="2F065863">
      <w:pPr>
        <w:pStyle w:val="99"/>
        <w:snapToGrid w:val="0"/>
        <w:spacing w:before="0" w:line="288" w:lineRule="auto"/>
        <w:ind w:left="0" w:firstLine="422" w:firstLineChars="201"/>
        <w:rPr>
          <w:rFonts w:ascii="宋体" w:hAnsi="宋体" w:cs="仿宋_GB2312"/>
          <w:color w:val="auto"/>
          <w:szCs w:val="21"/>
          <w:highlight w:val="none"/>
        </w:rPr>
      </w:pPr>
      <w:r>
        <w:rPr>
          <w:rFonts w:hint="eastAsia" w:ascii="宋体" w:hAnsi="宋体" w:cs="仿宋_GB2312"/>
          <w:color w:val="auto"/>
          <w:szCs w:val="21"/>
          <w:highlight w:val="none"/>
          <w:lang w:eastAsia="zh-CN"/>
        </w:rPr>
        <w:t>采购代理机构</w:t>
      </w:r>
      <w:r>
        <w:rPr>
          <w:rFonts w:ascii="宋体" w:hAnsi="宋体" w:cs="仿宋_GB2312"/>
          <w:color w:val="auto"/>
          <w:szCs w:val="21"/>
          <w:highlight w:val="none"/>
        </w:rPr>
        <w:t>按照招标文件规定的时间通过电子交易平台组织开标，所有投标人均应当准时在线参加。投标人不足3家的，不得开标。</w:t>
      </w:r>
    </w:p>
    <w:p w14:paraId="0AE14595">
      <w:pPr>
        <w:pStyle w:val="99"/>
        <w:snapToGrid w:val="0"/>
        <w:spacing w:before="0" w:line="288" w:lineRule="auto"/>
        <w:ind w:left="0" w:firstLine="422" w:firstLineChars="201"/>
        <w:rPr>
          <w:rFonts w:ascii="宋体" w:hAnsi="宋体" w:cs="仿宋_GB2312"/>
          <w:color w:val="auto"/>
          <w:szCs w:val="21"/>
          <w:highlight w:val="none"/>
        </w:rPr>
      </w:pPr>
      <w:r>
        <w:rPr>
          <w:rFonts w:ascii="宋体" w:hAnsi="宋体" w:cs="仿宋_GB2312"/>
          <w:color w:val="auto"/>
          <w:szCs w:val="21"/>
          <w:highlight w:val="none"/>
        </w:rPr>
        <w:t>开标时，电子交易平台按开标时间自动提取所有投标文件。</w:t>
      </w:r>
      <w:r>
        <w:rPr>
          <w:rFonts w:hint="eastAsia" w:ascii="宋体" w:hAnsi="宋体" w:cs="仿宋_GB2312"/>
          <w:color w:val="auto"/>
          <w:szCs w:val="21"/>
          <w:highlight w:val="none"/>
        </w:rPr>
        <w:t>采购人或代理</w:t>
      </w:r>
      <w:r>
        <w:rPr>
          <w:rFonts w:ascii="宋体" w:hAnsi="宋体" w:cs="仿宋_GB2312"/>
          <w:color w:val="auto"/>
          <w:szCs w:val="21"/>
          <w:highlight w:val="none"/>
        </w:rPr>
        <w:t>机构依托电子交易平台发起开始解密指令，投标人按照平台提示和招标文件的规定在半小时内完成在线解密。</w:t>
      </w:r>
    </w:p>
    <w:p w14:paraId="58A52ECB">
      <w:pPr>
        <w:adjustRightInd w:val="0"/>
        <w:snapToGrid w:val="0"/>
        <w:spacing w:line="288" w:lineRule="auto"/>
        <w:ind w:firstLine="422" w:firstLineChars="200"/>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投标文件未按时解密，投标人提供了备份投标文件的，以备份投标文件作为依据，否则视为投标文件撤回。投标文件已按时解密的，备份投标文件自动失效。</w:t>
      </w:r>
    </w:p>
    <w:p w14:paraId="7961BE94">
      <w:pPr>
        <w:widowControl/>
        <w:adjustRightInd w:val="0"/>
        <w:snapToGrid w:val="0"/>
        <w:spacing w:line="288" w:lineRule="auto"/>
        <w:ind w:firstLine="424" w:firstLineChars="201"/>
        <w:jc w:val="left"/>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（二）</w:t>
      </w:r>
      <w:r>
        <w:rPr>
          <w:rFonts w:ascii="宋体" w:hAnsi="宋体" w:eastAsia="宋体" w:cs="仿宋_GB2312"/>
          <w:b/>
          <w:color w:val="auto"/>
          <w:szCs w:val="21"/>
          <w:highlight w:val="none"/>
        </w:rPr>
        <w:t>资格审查</w:t>
      </w:r>
    </w:p>
    <w:p w14:paraId="49ECD572">
      <w:pPr>
        <w:adjustRightInd w:val="0"/>
        <w:snapToGrid w:val="0"/>
        <w:spacing w:line="288" w:lineRule="auto"/>
        <w:ind w:firstLine="422" w:firstLineChars="201"/>
        <w:rPr>
          <w:rFonts w:ascii="宋体" w:hAnsi="宋体" w:eastAsia="宋体" w:cs="仿宋_GB2312"/>
          <w:color w:val="auto"/>
          <w:szCs w:val="21"/>
          <w:highlight w:val="none"/>
        </w:rPr>
      </w:pPr>
      <w:r>
        <w:rPr>
          <w:rFonts w:ascii="宋体" w:hAnsi="宋体" w:eastAsia="宋体" w:cs="Arial"/>
          <w:color w:val="auto"/>
          <w:kern w:val="0"/>
          <w:szCs w:val="21"/>
          <w:highlight w:val="none"/>
        </w:rPr>
        <w:t>开标后，</w:t>
      </w:r>
      <w:r>
        <w:rPr>
          <w:rFonts w:hint="eastAsia" w:ascii="宋体" w:hAnsi="宋体" w:eastAsia="宋体" w:cs="仿宋_GB2312"/>
          <w:color w:val="auto"/>
          <w:szCs w:val="21"/>
          <w:highlight w:val="none"/>
        </w:rPr>
        <w:t>采购人或</w:t>
      </w:r>
      <w:r>
        <w:rPr>
          <w:rFonts w:hint="eastAsia" w:ascii="宋体" w:hAnsi="宋体" w:eastAsia="宋体" w:cs="仿宋_GB2312"/>
          <w:color w:val="auto"/>
          <w:szCs w:val="21"/>
          <w:highlight w:val="none"/>
          <w:lang w:eastAsia="zh-CN"/>
        </w:rPr>
        <w:t>采购代理机构</w:t>
      </w:r>
      <w:r>
        <w:rPr>
          <w:rFonts w:hint="eastAsia" w:ascii="宋体" w:hAnsi="宋体" w:eastAsia="宋体" w:cs="仿宋_GB2312"/>
          <w:color w:val="auto"/>
          <w:szCs w:val="21"/>
          <w:highlight w:val="none"/>
        </w:rPr>
        <w:t>依据法律法规和招标文件的规定，对投标人的资格条件进行审查。</w:t>
      </w:r>
    </w:p>
    <w:p w14:paraId="2C663BCB">
      <w:pPr>
        <w:pStyle w:val="98"/>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仿宋_GB2312"/>
          <w:color w:val="auto"/>
          <w:sz w:val="21"/>
          <w:szCs w:val="21"/>
          <w:highlight w:val="none"/>
        </w:rPr>
        <w:t>对未通过资格审查的投标人，采购人或</w:t>
      </w:r>
      <w:r>
        <w:rPr>
          <w:rFonts w:hint="eastAsia" w:ascii="宋体" w:hAnsi="宋体" w:cs="仿宋_GB2312"/>
          <w:color w:val="auto"/>
          <w:sz w:val="21"/>
          <w:szCs w:val="21"/>
          <w:highlight w:val="none"/>
          <w:lang w:eastAsia="zh-CN"/>
        </w:rPr>
        <w:t>采购代理机构</w:t>
      </w:r>
      <w:r>
        <w:rPr>
          <w:rFonts w:ascii="宋体" w:hAnsi="宋体" w:cs="仿宋_GB2312"/>
          <w:color w:val="auto"/>
          <w:sz w:val="21"/>
          <w:szCs w:val="21"/>
          <w:highlight w:val="none"/>
        </w:rPr>
        <w:t>告知其未通过的原因。</w:t>
      </w:r>
    </w:p>
    <w:p w14:paraId="0AD5FBDF">
      <w:pPr>
        <w:pStyle w:val="98"/>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仿宋_GB2312"/>
          <w:color w:val="auto"/>
          <w:sz w:val="21"/>
          <w:szCs w:val="21"/>
          <w:highlight w:val="none"/>
        </w:rPr>
        <w:t>通过资格审查的投标人不足3家的，不再评标。</w:t>
      </w:r>
    </w:p>
    <w:p w14:paraId="4FC4B227">
      <w:pPr>
        <w:pStyle w:val="98"/>
        <w:adjustRightInd w:val="0"/>
        <w:snapToGrid w:val="0"/>
        <w:spacing w:before="0" w:line="288" w:lineRule="auto"/>
        <w:ind w:firstLine="424" w:firstLineChars="201"/>
        <w:rPr>
          <w:rFonts w:ascii="宋体" w:hAnsi="宋体" w:cs="仿宋_GB2312"/>
          <w:b/>
          <w:color w:val="auto"/>
          <w:sz w:val="21"/>
          <w:szCs w:val="21"/>
          <w:highlight w:val="none"/>
        </w:rPr>
      </w:pPr>
      <w:r>
        <w:rPr>
          <w:rFonts w:hint="eastAsia" w:ascii="宋体" w:hAnsi="宋体" w:cs="仿宋_GB2312"/>
          <w:b/>
          <w:color w:val="auto"/>
          <w:sz w:val="21"/>
          <w:szCs w:val="21"/>
          <w:highlight w:val="none"/>
        </w:rPr>
        <w:t>（三）</w:t>
      </w:r>
      <w:r>
        <w:rPr>
          <w:rFonts w:ascii="宋体" w:hAnsi="宋体" w:cs="仿宋_GB2312"/>
          <w:b/>
          <w:color w:val="auto"/>
          <w:sz w:val="21"/>
          <w:szCs w:val="21"/>
          <w:highlight w:val="none"/>
        </w:rPr>
        <w:t>信用信息查询</w:t>
      </w:r>
    </w:p>
    <w:p w14:paraId="4DE7D67B">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根据财库</w:t>
      </w:r>
      <w:r>
        <w:rPr>
          <w:rFonts w:ascii="宋体" w:hAnsi="宋体" w:cs="Arial"/>
          <w:color w:val="auto"/>
          <w:kern w:val="0"/>
          <w:sz w:val="21"/>
          <w:szCs w:val="21"/>
          <w:highlight w:val="none"/>
        </w:rPr>
        <w:t>[2016]125号《关于在政府采购活动中查询及使用信用记录有关问题的通知》要求，采购代理机构会对投标人信用记录进行查询并甄别。信用信息查询的截止时点：投标截止时间；</w:t>
      </w:r>
    </w:p>
    <w:p w14:paraId="359EDCC4">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1）查询渠道：“信用中国”（www.creditchina.gov.cn）、“中国政府采购网”（www.ccgp.gov.cn）；</w:t>
      </w:r>
    </w:p>
    <w:p w14:paraId="7DAFCB38">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2）信用信息查询记录和证据留存具体方式：采购代理机构经办人和监督人员将查询网页打印、签名与其他采购文件一并保存；</w:t>
      </w:r>
    </w:p>
    <w:p w14:paraId="39F36572">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3）信用信息的使用规则：投标人被列入失信被执行人、重大税收违法案件当事人名单、政府采购严重违法失信行为记录名单的，拒绝其参与政府采购活动。</w:t>
      </w:r>
    </w:p>
    <w:p w14:paraId="5994F905">
      <w:pPr>
        <w:pStyle w:val="98"/>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Arial"/>
          <w:color w:val="auto"/>
          <w:kern w:val="0"/>
          <w:sz w:val="21"/>
          <w:szCs w:val="21"/>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color w:val="auto"/>
          <w:sz w:val="21"/>
          <w:szCs w:val="21"/>
          <w:highlight w:val="none"/>
        </w:rPr>
        <w:t>。</w:t>
      </w:r>
    </w:p>
    <w:p w14:paraId="2BD16A55">
      <w:pPr>
        <w:adjustRightInd w:val="0"/>
        <w:snapToGrid w:val="0"/>
        <w:spacing w:line="288" w:lineRule="auto"/>
        <w:ind w:firstLine="398" w:firstLineChars="200"/>
        <w:rPr>
          <w:rFonts w:ascii="宋体" w:hAnsi="宋体" w:eastAsia="宋体" w:cs="Times New Roman"/>
          <w:b/>
          <w:bCs/>
          <w:color w:val="auto"/>
          <w:spacing w:val="-6"/>
          <w:szCs w:val="21"/>
          <w:highlight w:val="none"/>
        </w:rPr>
      </w:pPr>
    </w:p>
    <w:p w14:paraId="2201574E">
      <w:pPr>
        <w:adjustRightInd w:val="0"/>
        <w:snapToGrid w:val="0"/>
        <w:spacing w:line="288" w:lineRule="auto"/>
        <w:ind w:firstLine="398" w:firstLineChars="200"/>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特别说明：如遇政府采购云平台电子化开标或评审程序调整的，按调整后程序执行。</w:t>
      </w:r>
    </w:p>
    <w:bookmarkEnd w:id="53"/>
    <w:p w14:paraId="76160E17">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六、评  标</w:t>
      </w:r>
    </w:p>
    <w:p w14:paraId="07FEF77E">
      <w:pPr>
        <w:adjustRightInd w:val="0"/>
        <w:snapToGrid w:val="0"/>
        <w:spacing w:line="288" w:lineRule="auto"/>
        <w:ind w:firstLine="420" w:firstLineChars="200"/>
        <w:rPr>
          <w:rFonts w:ascii="宋体" w:hAnsi="宋体" w:eastAsia="宋体" w:cs="宋体"/>
          <w:color w:val="auto"/>
          <w:kern w:val="0"/>
          <w:szCs w:val="21"/>
          <w:highlight w:val="none"/>
        </w:rPr>
      </w:pPr>
      <w:bookmarkStart w:id="54" w:name="_Hlk94018958"/>
      <w:r>
        <w:rPr>
          <w:rFonts w:ascii="宋体" w:hAnsi="宋体" w:eastAsia="宋体" w:cs="宋体"/>
          <w:color w:val="auto"/>
          <w:kern w:val="0"/>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66AECFC8">
      <w:pPr>
        <w:adjustRightInd w:val="0"/>
        <w:snapToGrid w:val="0"/>
        <w:spacing w:line="288" w:lineRule="auto"/>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评标中因评标委员会成员缺席、回避或者健康等特殊原因导致评标委员会组成不符合规定的，依法补足后继续评标。被更换的评标委员会成员所作出的评标意见无效。</w:t>
      </w:r>
    </w:p>
    <w:bookmarkEnd w:id="54"/>
    <w:p w14:paraId="5D57FFF1">
      <w:pPr>
        <w:adjustRightInd w:val="0"/>
        <w:snapToGrid w:val="0"/>
        <w:spacing w:line="288" w:lineRule="auto"/>
        <w:ind w:firstLine="426" w:firstLineChars="202"/>
        <w:rPr>
          <w:rFonts w:ascii="宋体" w:hAnsi="宋体" w:eastAsia="宋体" w:cs="Arial"/>
          <w:b/>
          <w:color w:val="auto"/>
          <w:kern w:val="0"/>
          <w:szCs w:val="21"/>
          <w:highlight w:val="none"/>
        </w:rPr>
      </w:pPr>
      <w:bookmarkStart w:id="55" w:name="_Hlk94019000"/>
      <w:r>
        <w:rPr>
          <w:rFonts w:hint="eastAsia" w:ascii="宋体" w:hAnsi="宋体" w:eastAsia="宋体" w:cs="Arial"/>
          <w:b/>
          <w:color w:val="auto"/>
          <w:kern w:val="0"/>
          <w:szCs w:val="21"/>
          <w:highlight w:val="none"/>
        </w:rPr>
        <w:t>（一）</w:t>
      </w:r>
      <w:r>
        <w:rPr>
          <w:rFonts w:ascii="宋体" w:hAnsi="宋体" w:eastAsia="宋体" w:cs="Arial"/>
          <w:b/>
          <w:color w:val="auto"/>
          <w:kern w:val="0"/>
          <w:szCs w:val="21"/>
          <w:highlight w:val="none"/>
        </w:rPr>
        <w:t>符合性审查</w:t>
      </w:r>
    </w:p>
    <w:p w14:paraId="7DDFB963">
      <w:pP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评标委员会对符合资格的投标人的投标文件进行符合性审查，以确定其是否满足招标文件的实质性要求。</w:t>
      </w:r>
      <w:r>
        <w:rPr>
          <w:rFonts w:hint="eastAsia" w:ascii="宋体" w:hAnsi="宋体" w:eastAsia="宋体" w:cs="Arial"/>
          <w:color w:val="auto"/>
          <w:kern w:val="0"/>
          <w:szCs w:val="21"/>
          <w:highlight w:val="none"/>
        </w:rPr>
        <w:t>不</w:t>
      </w:r>
      <w:r>
        <w:rPr>
          <w:rFonts w:ascii="宋体" w:hAnsi="宋体" w:eastAsia="宋体" w:cs="Arial"/>
          <w:color w:val="auto"/>
          <w:kern w:val="0"/>
          <w:szCs w:val="21"/>
          <w:highlight w:val="none"/>
        </w:rPr>
        <w:t>满足招标文件的实质性要求</w:t>
      </w:r>
      <w:r>
        <w:rPr>
          <w:rFonts w:hint="eastAsia" w:ascii="宋体" w:hAnsi="宋体" w:eastAsia="宋体" w:cs="Arial"/>
          <w:color w:val="auto"/>
          <w:kern w:val="0"/>
          <w:szCs w:val="21"/>
          <w:highlight w:val="none"/>
        </w:rPr>
        <w:t>的，投标无效。</w:t>
      </w:r>
    </w:p>
    <w:p w14:paraId="61C29BFF">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（二）比较与评价</w:t>
      </w:r>
    </w:p>
    <w:p w14:paraId="7978A37F">
      <w:pP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评标委员会按照招标文件中规定的评标方法和标准，对符合性审查合格的投标文件进行商务和技术评估，综合比较与评价。</w:t>
      </w:r>
    </w:p>
    <w:p w14:paraId="70B4B7BA">
      <w:pP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6503645F">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（三）</w:t>
      </w:r>
      <w:r>
        <w:rPr>
          <w:rFonts w:ascii="宋体" w:hAnsi="宋体" w:eastAsia="宋体" w:cs="Arial"/>
          <w:b/>
          <w:color w:val="auto"/>
          <w:kern w:val="0"/>
          <w:szCs w:val="21"/>
          <w:highlight w:val="none"/>
        </w:rPr>
        <w:t>汇总商务技术得分</w:t>
      </w:r>
    </w:p>
    <w:p w14:paraId="6E2A1DB4">
      <w:pP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评标委员会各成员独立对每个投标人的商务和技术文件进行评价，并汇总商务技术得分情况。</w:t>
      </w:r>
    </w:p>
    <w:p w14:paraId="065ED8D1">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（四）</w:t>
      </w:r>
      <w:r>
        <w:rPr>
          <w:rFonts w:ascii="宋体" w:hAnsi="宋体" w:eastAsia="宋体" w:cs="Arial"/>
          <w:b/>
          <w:color w:val="auto"/>
          <w:kern w:val="0"/>
          <w:szCs w:val="21"/>
          <w:highlight w:val="none"/>
        </w:rPr>
        <w:t>报价评审</w:t>
      </w:r>
    </w:p>
    <w:p w14:paraId="4E803D45">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政府采购云平台上传的电子</w:t>
      </w:r>
      <w:r>
        <w:rPr>
          <w:rFonts w:hint="eastAsia" w:ascii="宋体" w:hAnsi="宋体" w:eastAsia="宋体" w:cs="Times New Roman"/>
          <w:color w:val="auto"/>
          <w:spacing w:val="-6"/>
          <w:szCs w:val="21"/>
          <w:highlight w:val="none"/>
          <w:lang w:eastAsia="zh-CN"/>
        </w:rPr>
        <w:t>投标</w:t>
      </w:r>
      <w:r>
        <w:rPr>
          <w:rFonts w:hint="eastAsia" w:ascii="宋体" w:hAnsi="宋体" w:eastAsia="宋体" w:cs="Times New Roman"/>
          <w:color w:val="auto"/>
          <w:spacing w:val="-6"/>
          <w:szCs w:val="21"/>
          <w:highlight w:val="none"/>
        </w:rPr>
        <w:t>文件报价与政府采购云平台录入报价不一致的，以上传的电子</w:t>
      </w:r>
      <w:r>
        <w:rPr>
          <w:rFonts w:hint="eastAsia" w:ascii="宋体" w:hAnsi="宋体" w:eastAsia="宋体" w:cs="Times New Roman"/>
          <w:color w:val="auto"/>
          <w:spacing w:val="-6"/>
          <w:szCs w:val="21"/>
          <w:highlight w:val="none"/>
          <w:lang w:eastAsia="zh-CN"/>
        </w:rPr>
        <w:t>投标</w:t>
      </w:r>
      <w:r>
        <w:rPr>
          <w:rFonts w:hint="eastAsia" w:ascii="宋体" w:hAnsi="宋体" w:eastAsia="宋体" w:cs="Times New Roman"/>
          <w:color w:val="auto"/>
          <w:spacing w:val="-6"/>
          <w:szCs w:val="21"/>
          <w:highlight w:val="none"/>
        </w:rPr>
        <w:t>文件报价为准。</w:t>
      </w:r>
    </w:p>
    <w:p w14:paraId="4EB6812D">
      <w:pPr>
        <w:adjustRightInd w:val="0"/>
        <w:snapToGrid w:val="0"/>
        <w:spacing w:line="288" w:lineRule="auto"/>
        <w:ind w:firstLine="426" w:firstLineChars="202"/>
        <w:rPr>
          <w:rFonts w:ascii="宋体" w:hAnsi="宋体" w:eastAsia="宋体" w:cs="Arial"/>
          <w:b/>
          <w:color w:val="auto"/>
          <w:kern w:val="0"/>
          <w:szCs w:val="21"/>
          <w:highlight w:val="none"/>
        </w:rPr>
      </w:pPr>
      <w:r>
        <w:rPr>
          <w:rFonts w:ascii="宋体" w:hAnsi="宋体" w:eastAsia="宋体" w:cs="Arial"/>
          <w:b/>
          <w:color w:val="auto"/>
          <w:kern w:val="0"/>
          <w:szCs w:val="21"/>
          <w:highlight w:val="none"/>
        </w:rPr>
        <w:t>投标文件报价出现前后不一致的，按照下列规定修正：</w:t>
      </w:r>
    </w:p>
    <w:p w14:paraId="07647F94">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投标文件中开标一览表(报价表)内容与投标文件中相应内容不一致的，以开标一览表(报价表)为准；</w:t>
      </w:r>
    </w:p>
    <w:p w14:paraId="67A89B36">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大写金额和小写金额不一致的，以大写金额为准；</w:t>
      </w:r>
    </w:p>
    <w:p w14:paraId="14BF6853">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单价金额小数点或者百分比有明显错位的，以开标一览表的总价为准，并修改单价；</w:t>
      </w:r>
    </w:p>
    <w:p w14:paraId="7C95D32D">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总价金额与按单价汇总金额不一致的，以单价金额计算结果为准。</w:t>
      </w:r>
    </w:p>
    <w:p w14:paraId="51A9DA46">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hint="eastAsia" w:ascii="宋体" w:hAnsi="宋体" w:cs="仿宋"/>
          <w:color w:val="auto"/>
          <w:kern w:val="0"/>
          <w:sz w:val="21"/>
          <w:szCs w:val="21"/>
          <w:highlight w:val="none"/>
        </w:rPr>
        <w:t>同时出现两种以上不一致的，按照前款规定的顺序修正。修正后的报价按照财政部第</w:t>
      </w:r>
      <w:r>
        <w:rPr>
          <w:rFonts w:ascii="宋体" w:hAnsi="宋体" w:cs="仿宋"/>
          <w:color w:val="auto"/>
          <w:kern w:val="0"/>
          <w:sz w:val="21"/>
          <w:szCs w:val="21"/>
          <w:highlight w:val="none"/>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642B46EE">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hint="eastAsia" w:ascii="宋体" w:hAnsi="宋体" w:cs="仿宋"/>
          <w:color w:val="auto"/>
          <w:kern w:val="0"/>
          <w:sz w:val="21"/>
          <w:szCs w:val="21"/>
          <w:highlight w:val="none"/>
        </w:rPr>
        <w:t>投标人收到修正确认文件后，在规定时间内未做出回复的，视为不确认。</w:t>
      </w:r>
    </w:p>
    <w:p w14:paraId="73B51F58">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（五）投标人澄清、说明或者补正</w:t>
      </w:r>
    </w:p>
    <w:p w14:paraId="4DC6E1F4">
      <w:pPr>
        <w:pStyle w:val="98"/>
        <w:adjustRightInd w:val="0"/>
        <w:snapToGrid w:val="0"/>
        <w:spacing w:before="0" w:line="288" w:lineRule="auto"/>
        <w:ind w:firstLine="424" w:firstLineChars="202"/>
        <w:rPr>
          <w:rFonts w:ascii="宋体" w:hAnsi="宋体" w:cs="Arial"/>
          <w:color w:val="auto"/>
          <w:kern w:val="0"/>
          <w:sz w:val="21"/>
          <w:szCs w:val="21"/>
          <w:highlight w:val="none"/>
        </w:rPr>
      </w:pPr>
      <w:r>
        <w:rPr>
          <w:rFonts w:hint="eastAsia" w:ascii="宋体" w:hAnsi="宋体" w:cs="Arial"/>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4E43">
      <w:pPr>
        <w:adjustRightInd w:val="0"/>
        <w:snapToGrid w:val="0"/>
        <w:spacing w:line="288"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投标人的书面澄清、说明或者补正无法通过政府采购云平台上传的，可在规定时间内（不少于半小时）通过指定的电子邮箱（</w:t>
      </w:r>
      <w:r>
        <w:rPr>
          <w:rFonts w:hint="eastAsia" w:ascii="宋体" w:hAnsi="宋体" w:eastAsia="宋体" w:cs="宋体"/>
          <w:color w:val="auto"/>
          <w:kern w:val="0"/>
          <w:szCs w:val="21"/>
          <w:highlight w:val="none"/>
          <w:lang w:eastAsia="zh-CN"/>
        </w:rPr>
        <w:t>zb03@qszb.net</w:t>
      </w:r>
      <w:r>
        <w:rPr>
          <w:rFonts w:ascii="宋体" w:hAnsi="宋体" w:eastAsia="宋体" w:cs="宋体"/>
          <w:color w:val="auto"/>
          <w:kern w:val="0"/>
          <w:szCs w:val="21"/>
          <w:highlight w:val="none"/>
        </w:rPr>
        <w:t>）或传真号码（0571-87666116）提交。</w:t>
      </w:r>
    </w:p>
    <w:p w14:paraId="177CC836">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（六）排序与推荐</w:t>
      </w:r>
    </w:p>
    <w:p w14:paraId="597C4ABF">
      <w:pP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评标方法：本项目评标方法是综合评分法，具体评标方法和评标标准详见“第四章：评标方法和评标标准”。</w:t>
      </w:r>
    </w:p>
    <w:p w14:paraId="650BA6A0">
      <w:pPr>
        <w:adjustRightInd w:val="0"/>
        <w:snapToGrid w:val="0"/>
        <w:spacing w:line="288" w:lineRule="auto"/>
        <w:ind w:firstLine="424" w:firstLineChars="202"/>
        <w:rPr>
          <w:rFonts w:ascii="宋体" w:hAnsi="宋体" w:eastAsia="宋体" w:cs="Times New Roman"/>
          <w:bCs/>
          <w:color w:val="auto"/>
          <w:spacing w:val="-6"/>
          <w:szCs w:val="21"/>
          <w:highlight w:val="none"/>
        </w:rPr>
      </w:pPr>
      <w:r>
        <w:rPr>
          <w:rFonts w:ascii="宋体" w:hAnsi="宋体" w:eastAsia="宋体" w:cs="Arial"/>
          <w:color w:val="auto"/>
          <w:kern w:val="0"/>
          <w:szCs w:val="21"/>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color w:val="auto"/>
          <w:kern w:val="0"/>
          <w:szCs w:val="21"/>
          <w:highlight w:val="none"/>
        </w:rPr>
        <w:t>。</w:t>
      </w:r>
      <w:r>
        <w:rPr>
          <w:rFonts w:hint="eastAsia" w:ascii="宋体" w:hAnsi="宋体" w:eastAsia="宋体" w:cs="Arial"/>
          <w:color w:val="auto"/>
          <w:kern w:val="0"/>
          <w:szCs w:val="21"/>
          <w:highlight w:val="none"/>
        </w:rPr>
        <w:t>本项目推荐</w:t>
      </w:r>
      <w:r>
        <w:rPr>
          <w:rFonts w:ascii="宋体" w:hAnsi="宋体" w:eastAsia="宋体" w:cs="Arial"/>
          <w:color w:val="auto"/>
          <w:kern w:val="0"/>
          <w:szCs w:val="21"/>
          <w:highlight w:val="none"/>
        </w:rPr>
        <w:t>1</w:t>
      </w:r>
      <w:r>
        <w:rPr>
          <w:rFonts w:hint="eastAsia" w:ascii="宋体" w:hAnsi="宋体" w:eastAsia="宋体" w:cs="Arial"/>
          <w:color w:val="auto"/>
          <w:kern w:val="0"/>
          <w:szCs w:val="21"/>
          <w:highlight w:val="none"/>
        </w:rPr>
        <w:t>名中标候选人。</w:t>
      </w:r>
    </w:p>
    <w:p w14:paraId="121DDC7C">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1EA04888">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非单一产品采购项目，采购人应当根据采购项目技术构成、产品价格比重等合理确定核心产品，并在招标文件中载明。多家投标人提供的核心产品品牌相同的，按前款规定处理。</w:t>
      </w:r>
    </w:p>
    <w:p w14:paraId="2B7CEC09">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（七）</w:t>
      </w:r>
      <w:r>
        <w:rPr>
          <w:rFonts w:ascii="宋体" w:hAnsi="宋体" w:eastAsia="宋体" w:cs="Arial"/>
          <w:b/>
          <w:color w:val="auto"/>
          <w:kern w:val="0"/>
          <w:szCs w:val="21"/>
          <w:highlight w:val="none"/>
        </w:rPr>
        <w:t>编写评标报告</w:t>
      </w:r>
    </w:p>
    <w:p w14:paraId="5A82206B">
      <w:pP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评标委员会根据全体评标成员签名的原始评标记录和评标结果编写评标报告。</w:t>
      </w:r>
      <w:r>
        <w:rPr>
          <w:rFonts w:hint="eastAsia" w:ascii="宋体" w:hAnsi="宋体" w:eastAsia="宋体" w:cs="Arial"/>
          <w:color w:val="auto"/>
          <w:kern w:val="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55"/>
    <w:p w14:paraId="0743F67A">
      <w:pPr>
        <w:widowControl/>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3ED9A5C1">
      <w:pP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七、中标与合同</w:t>
      </w:r>
    </w:p>
    <w:p w14:paraId="4AAC3B4C">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（一）中标</w:t>
      </w:r>
    </w:p>
    <w:p w14:paraId="46C38E4E">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1.采购代理机构应当在评标结束后</w:t>
      </w:r>
      <w:r>
        <w:rPr>
          <w:rFonts w:ascii="宋体" w:hAnsi="宋体" w:eastAsia="宋体" w:cs="Times New Roman"/>
          <w:color w:val="auto"/>
          <w:spacing w:val="-6"/>
          <w:szCs w:val="21"/>
          <w:highlight w:val="none"/>
        </w:rPr>
        <w:t>2个工作日内将评标报告送采购人。</w:t>
      </w:r>
      <w:r>
        <w:rPr>
          <w:rFonts w:hint="eastAsia" w:ascii="宋体" w:hAnsi="宋体" w:eastAsia="宋体" w:cs="Times New Roman"/>
          <w:color w:val="auto"/>
          <w:spacing w:val="-6"/>
          <w:szCs w:val="21"/>
          <w:highlight w:val="none"/>
        </w:rPr>
        <w:t>采购人应当自收到评标报告之日起</w:t>
      </w:r>
      <w:r>
        <w:rPr>
          <w:rFonts w:ascii="宋体" w:hAnsi="宋体" w:eastAsia="宋体" w:cs="Times New Roman"/>
          <w:color w:val="auto"/>
          <w:spacing w:val="-6"/>
          <w:szCs w:val="21"/>
          <w:highlight w:val="none"/>
        </w:rPr>
        <w:t>5个工作日内，在评标报告确定的中标候选人名单中按顺序确定中标人</w:t>
      </w:r>
      <w:r>
        <w:rPr>
          <w:rFonts w:hint="eastAsia" w:ascii="宋体" w:hAnsi="宋体" w:eastAsia="宋体" w:cs="Times New Roman"/>
          <w:color w:val="auto"/>
          <w:spacing w:val="-6"/>
          <w:szCs w:val="21"/>
          <w:highlight w:val="none"/>
        </w:rPr>
        <w:t>，也可以书面授权评标委员会直接确定中标人。</w:t>
      </w:r>
    </w:p>
    <w:p w14:paraId="1C469931">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2.采购代理机构自中标人确定之日起</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个工作日内，公告中标结果，并发出中标通知书。</w:t>
      </w:r>
    </w:p>
    <w:p w14:paraId="321153A3">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zCs w:val="21"/>
          <w:highlight w:val="none"/>
        </w:rPr>
        <w:t>评标结果公示媒体：浙江政府采购网（http://zfcg.czt.zj.gov.cn）。</w:t>
      </w:r>
    </w:p>
    <w:p w14:paraId="59DD5AA1">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（二）合同</w:t>
      </w:r>
    </w:p>
    <w:p w14:paraId="0673C2F5">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2FAAF00">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12CD6E0A">
      <w:pPr>
        <w:adjustRightInd w:val="0"/>
        <w:snapToGrid w:val="0"/>
        <w:spacing w:line="288" w:lineRule="auto"/>
        <w:ind w:firstLine="396" w:firstLineChars="200"/>
        <w:rPr>
          <w:rFonts w:ascii="宋体" w:hAnsi="宋体" w:eastAsia="宋体" w:cs="Times New Roman"/>
          <w:color w:val="auto"/>
          <w:spacing w:val="-6"/>
          <w:szCs w:val="21"/>
          <w:highlight w:val="none"/>
        </w:rPr>
      </w:pPr>
    </w:p>
    <w:p w14:paraId="00887A34">
      <w:pP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w:t>
      </w:r>
      <w:r>
        <w:rPr>
          <w:rFonts w:ascii="宋体" w:hAnsi="宋体" w:eastAsia="宋体" w:cs="Times New Roman"/>
          <w:b/>
          <w:color w:val="auto"/>
          <w:spacing w:val="-6"/>
          <w:szCs w:val="21"/>
          <w:highlight w:val="none"/>
        </w:rPr>
        <w:t>验</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 xml:space="preserve"> 收</w:t>
      </w:r>
    </w:p>
    <w:p w14:paraId="3BC6BAC9">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31CBF391">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采购人可以邀请参加本项目的其他投标人或者第三方机构参与验收。参与验收的投标人或者第三方机构的意见作为</w:t>
      </w:r>
      <w:r>
        <w:rPr>
          <w:rFonts w:hint="eastAsia" w:ascii="宋体" w:hAnsi="宋体" w:eastAsia="宋体" w:cs="Helvetica"/>
          <w:color w:val="auto"/>
          <w:kern w:val="0"/>
          <w:szCs w:val="21"/>
          <w:highlight w:val="none"/>
        </w:rPr>
        <w:t>验收书的参考资料一并存档。</w:t>
      </w:r>
    </w:p>
    <w:p w14:paraId="34F73E57">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53DB727">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766A8E">
      <w:pPr>
        <w:tabs>
          <w:tab w:val="left" w:pos="0"/>
        </w:tabs>
        <w:adjustRightInd w:val="0"/>
        <w:snapToGrid w:val="0"/>
        <w:spacing w:line="288" w:lineRule="auto"/>
        <w:ind w:firstLine="400" w:firstLineChars="201"/>
        <w:rPr>
          <w:rFonts w:ascii="宋体" w:hAnsi="宋体" w:eastAsia="宋体" w:cs="Times New Roman"/>
          <w:b/>
          <w:color w:val="auto"/>
          <w:spacing w:val="-6"/>
          <w:szCs w:val="21"/>
          <w:highlight w:val="none"/>
        </w:rPr>
      </w:pPr>
    </w:p>
    <w:p w14:paraId="01E88B54">
      <w:pPr>
        <w:adjustRightInd w:val="0"/>
        <w:snapToGrid w:val="0"/>
        <w:spacing w:line="288" w:lineRule="auto"/>
        <w:ind w:firstLine="398" w:firstLineChars="200"/>
        <w:jc w:val="center"/>
        <w:outlineLvl w:val="1"/>
        <w:rPr>
          <w:rFonts w:ascii="宋体" w:hAnsi="宋体" w:eastAsia="宋体" w:cs="Times New Roman"/>
          <w:color w:val="auto"/>
          <w:szCs w:val="21"/>
          <w:highlight w:val="none"/>
        </w:rPr>
      </w:pPr>
      <w:r>
        <w:rPr>
          <w:rFonts w:hint="eastAsia" w:ascii="宋体" w:hAnsi="宋体" w:eastAsia="宋体" w:cs="Times New Roman"/>
          <w:b/>
          <w:color w:val="auto"/>
          <w:spacing w:val="-6"/>
          <w:szCs w:val="21"/>
          <w:highlight w:val="none"/>
        </w:rPr>
        <w:t>九、可中止电子交易活动的情形</w:t>
      </w:r>
    </w:p>
    <w:p w14:paraId="3DB7C932">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采购过程中出现以下情形，导致电子交易平台无法正常运行，或者无法保证电子交易的公平、公正和安全时，采购代理机构可中止电子交易活动：</w:t>
      </w:r>
    </w:p>
    <w:p w14:paraId="7BF0FE7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1.电子交易平台发生故障而无法登录访问的；</w:t>
      </w:r>
    </w:p>
    <w:p w14:paraId="1F5C839A">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2.电子交易平台应用或数据库出现错误，不能进行正常操作的；</w:t>
      </w:r>
    </w:p>
    <w:p w14:paraId="26FF8B05">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3.电子交易平台发现严重安全漏洞，有潜在泄密危险的；</w:t>
      </w:r>
    </w:p>
    <w:p w14:paraId="0A878D58">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4.病毒发作导致不能进行正常操作的；</w:t>
      </w:r>
    </w:p>
    <w:p w14:paraId="5F87136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5.其他无法保证电子交易的公平、公正和安全的情况。</w:t>
      </w:r>
    </w:p>
    <w:p w14:paraId="1E392CB4">
      <w:pPr>
        <w:adjustRightInd w:val="0"/>
        <w:snapToGrid w:val="0"/>
        <w:spacing w:line="288" w:lineRule="auto"/>
        <w:ind w:firstLine="396" w:firstLineChars="200"/>
        <w:rPr>
          <w:rFonts w:ascii="宋体" w:hAnsi="宋体" w:eastAsia="宋体"/>
          <w:color w:val="auto"/>
          <w:szCs w:val="21"/>
          <w:highlight w:val="none"/>
        </w:rPr>
      </w:pPr>
      <w:r>
        <w:rPr>
          <w:rFonts w:hint="eastAsia" w:ascii="宋体" w:hAnsi="宋体" w:eastAsia="宋体" w:cs="Times New Roman"/>
          <w:color w:val="auto"/>
          <w:spacing w:val="-6"/>
          <w:szCs w:val="21"/>
          <w:highlight w:val="none"/>
        </w:rPr>
        <w:t>出现前款规定情形，不影响采购公平、公正性的，采购代理机构可以待上述情形消除后继续组织电子交易活动；影响或可能影响采购公平、公正性的，应当重新采购。</w:t>
      </w:r>
    </w:p>
    <w:p w14:paraId="082C7A4F">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14:paraId="6DF01960">
      <w:pPr>
        <w:adjustRightInd w:val="0"/>
        <w:snapToGrid w:val="0"/>
        <w:spacing w:line="288" w:lineRule="auto"/>
        <w:jc w:val="center"/>
        <w:outlineLvl w:val="0"/>
        <w:rPr>
          <w:rFonts w:ascii="宋体" w:hAnsi="宋体" w:eastAsia="宋体" w:cs="Times New Roman"/>
          <w:b/>
          <w:color w:val="auto"/>
          <w:spacing w:val="-6"/>
          <w:sz w:val="32"/>
          <w:szCs w:val="32"/>
          <w:highlight w:val="none"/>
        </w:rPr>
      </w:pPr>
      <w:r>
        <w:rPr>
          <w:rFonts w:hint="eastAsia" w:ascii="宋体" w:hAnsi="宋体" w:eastAsia="宋体" w:cs="Times New Roman"/>
          <w:b/>
          <w:color w:val="auto"/>
          <w:sz w:val="32"/>
          <w:szCs w:val="32"/>
          <w:highlight w:val="none"/>
        </w:rPr>
        <w:t xml:space="preserve">第四章  </w:t>
      </w:r>
      <w:r>
        <w:rPr>
          <w:rFonts w:hint="eastAsia" w:ascii="宋体" w:hAnsi="宋体" w:eastAsia="宋体" w:cs="Times New Roman"/>
          <w:b/>
          <w:color w:val="auto"/>
          <w:sz w:val="32"/>
          <w:szCs w:val="32"/>
          <w:highlight w:val="none"/>
        </w:rPr>
        <w:t>评标方法</w:t>
      </w:r>
      <w:r>
        <w:rPr>
          <w:rFonts w:hint="eastAsia" w:ascii="宋体" w:hAnsi="宋体" w:eastAsia="宋体" w:cs="Times New Roman"/>
          <w:b/>
          <w:color w:val="auto"/>
          <w:sz w:val="32"/>
          <w:szCs w:val="32"/>
          <w:highlight w:val="none"/>
        </w:rPr>
        <w:t>和评标标准</w:t>
      </w:r>
    </w:p>
    <w:p w14:paraId="729382E9">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一、评标方法</w:t>
      </w:r>
    </w:p>
    <w:p w14:paraId="337D2AD8">
      <w:pPr>
        <w:adjustRightInd w:val="0"/>
        <w:snapToGrid w:val="0"/>
        <w:spacing w:line="288" w:lineRule="auto"/>
        <w:ind w:firstLine="396" w:firstLine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本次评标采用综合评分法，总分为100分。评分过程中采用四舍五入法，并保留小数2位。</w:t>
      </w:r>
    </w:p>
    <w:p w14:paraId="531608AF">
      <w:pPr>
        <w:adjustRightInd w:val="0"/>
        <w:snapToGrid w:val="0"/>
        <w:spacing w:line="288" w:lineRule="auto"/>
        <w:ind w:firstLine="396" w:firstLineChars="200"/>
        <w:rPr>
          <w:rFonts w:ascii="宋体" w:hAnsi="宋体" w:eastAsia="宋体" w:cs="Times New Roman"/>
          <w:bCs/>
          <w:color w:val="auto"/>
          <w:spacing w:val="-6"/>
          <w:szCs w:val="21"/>
          <w:highlight w:val="none"/>
        </w:rPr>
      </w:pPr>
      <w:r>
        <w:rPr>
          <w:rFonts w:hint="eastAsia" w:ascii="宋体" w:hAnsi="宋体" w:eastAsia="宋体" w:cs="Times New Roman"/>
          <w:color w:val="auto"/>
          <w:spacing w:val="-6"/>
          <w:szCs w:val="21"/>
          <w:highlight w:val="none"/>
        </w:rPr>
        <w:t>投标人评标</w:t>
      </w:r>
      <w:r>
        <w:rPr>
          <w:rFonts w:hint="eastAsia" w:ascii="宋体" w:hAnsi="宋体" w:eastAsia="宋体" w:cs="Times New Roman"/>
          <w:bCs/>
          <w:color w:val="auto"/>
          <w:spacing w:val="-6"/>
          <w:szCs w:val="21"/>
          <w:highlight w:val="none"/>
        </w:rPr>
        <w:t>综合得分=商务分+技术分+价格分</w:t>
      </w:r>
    </w:p>
    <w:p w14:paraId="7725C6D2">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bCs/>
          <w:color w:val="auto"/>
          <w:spacing w:val="-6"/>
          <w:szCs w:val="21"/>
          <w:highlight w:val="none"/>
        </w:rPr>
        <w:t>商务和技术分按照评标委员会成员的独立评分结果的算术平均分计算，计算公式为：商务分</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技术分=评标委员会所有成员评分合计数</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评标委员会组成人员数</w:t>
      </w:r>
    </w:p>
    <w:p w14:paraId="56B38FDB">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二、评标标准</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6F0E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03C001B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654" w:type="dxa"/>
            <w:vAlign w:val="center"/>
          </w:tcPr>
          <w:p w14:paraId="780F0EE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c>
          <w:tcPr>
            <w:tcW w:w="7072" w:type="dxa"/>
            <w:vAlign w:val="center"/>
          </w:tcPr>
          <w:p w14:paraId="74BC18BF">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r>
      <w:tr w14:paraId="5605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12BC1F32">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价格分</w:t>
            </w:r>
          </w:p>
        </w:tc>
      </w:tr>
      <w:tr w14:paraId="40CC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291697B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62C7E1E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w:t>
            </w:r>
          </w:p>
        </w:tc>
        <w:tc>
          <w:tcPr>
            <w:tcW w:w="7072" w:type="dxa"/>
            <w:tcBorders>
              <w:top w:val="single" w:color="auto" w:sz="4" w:space="0"/>
              <w:left w:val="single" w:color="auto" w:sz="4" w:space="0"/>
              <w:bottom w:val="single" w:color="auto" w:sz="4" w:space="0"/>
              <w:right w:val="single" w:color="auto" w:sz="4" w:space="0"/>
            </w:tcBorders>
            <w:vAlign w:val="center"/>
          </w:tcPr>
          <w:p w14:paraId="29318C18">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价格分采用低价优先法计算，即满足招标文件要求且投标价格最低的投标报价为评标基准价，其他投标人的价格分按照下列公式计算：</w:t>
            </w:r>
          </w:p>
          <w:p w14:paraId="6CD84B42">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价格分=（评标基准价/投标报价）×30%×100</w:t>
            </w:r>
          </w:p>
          <w:p w14:paraId="1C38E11F">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注：</w:t>
            </w:r>
            <w:r>
              <w:rPr>
                <w:rFonts w:hint="eastAsia" w:ascii="宋体" w:hAnsi="宋体" w:eastAsia="宋体" w:cs="宋体"/>
                <w:b w:val="0"/>
                <w:bCs w:val="0"/>
                <w:color w:val="auto"/>
                <w:szCs w:val="21"/>
                <w:highlight w:val="none"/>
                <w:lang w:val="en-US" w:eastAsia="zh-CN"/>
              </w:rPr>
              <w:t>本项目</w:t>
            </w:r>
            <w:r>
              <w:rPr>
                <w:rFonts w:hint="eastAsia" w:ascii="宋体" w:hAnsi="宋体" w:eastAsia="宋体" w:cs="Times New Roman"/>
                <w:b w:val="0"/>
                <w:bCs w:val="0"/>
                <w:color w:val="auto"/>
                <w:szCs w:val="21"/>
                <w:highlight w:val="none"/>
              </w:rPr>
              <w:t>对符合规定的小微企业报价给予</w:t>
            </w: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lang w:val="en-US" w:eastAsia="zh-CN"/>
              </w:rPr>
              <w:t>10</w:t>
            </w: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rPr>
              <w:t>%的扣除后计算价格得分。</w:t>
            </w:r>
            <w:r>
              <w:rPr>
                <w:rFonts w:hint="eastAsia" w:ascii="宋体" w:hAnsi="宋体" w:eastAsia="宋体" w:cs="Times New Roman"/>
                <w:color w:val="auto"/>
                <w:spacing w:val="-6"/>
                <w:szCs w:val="21"/>
                <w:highlight w:val="none"/>
                <w:u w:val="none"/>
              </w:rPr>
              <w:t>对于联合协议或者分包意向协议约定小微企业的合同份额占到合同总金额</w:t>
            </w:r>
            <w:r>
              <w:rPr>
                <w:rFonts w:hint="eastAsia" w:ascii="宋体" w:hAnsi="宋体" w:eastAsia="宋体" w:cs="Times New Roman"/>
                <w:color w:val="auto"/>
                <w:spacing w:val="-6"/>
                <w:szCs w:val="21"/>
                <w:highlight w:val="none"/>
                <w:u w:val="none"/>
                <w:lang w:val="en-US" w:eastAsia="zh-CN"/>
              </w:rPr>
              <w:t>30</w:t>
            </w:r>
            <w:r>
              <w:rPr>
                <w:rFonts w:hint="eastAsia" w:ascii="宋体" w:hAnsi="宋体" w:eastAsia="宋体" w:cs="Times New Roman"/>
                <w:color w:val="auto"/>
                <w:spacing w:val="-6"/>
                <w:szCs w:val="21"/>
                <w:highlight w:val="none"/>
                <w:u w:val="none"/>
              </w:rPr>
              <w:t>%以上的，对联合体或者大中型企业的报价给予</w:t>
            </w:r>
            <w:r>
              <w:rPr>
                <w:rFonts w:hint="eastAsia" w:ascii="宋体" w:hAnsi="宋体" w:eastAsia="宋体" w:cs="Times New Roman"/>
                <w:color w:val="auto"/>
                <w:spacing w:val="-6"/>
                <w:szCs w:val="21"/>
                <w:highlight w:val="none"/>
                <w:u w:val="none"/>
                <w:lang w:eastAsia="zh-CN"/>
              </w:rPr>
              <w:t>【</w:t>
            </w:r>
            <w:r>
              <w:rPr>
                <w:rFonts w:hint="eastAsia" w:ascii="宋体" w:hAnsi="宋体" w:eastAsia="宋体" w:cs="Times New Roman"/>
                <w:color w:val="auto"/>
                <w:spacing w:val="-6"/>
                <w:szCs w:val="21"/>
                <w:highlight w:val="none"/>
                <w:u w:val="none"/>
                <w:lang w:val="en-US" w:eastAsia="zh-CN"/>
              </w:rPr>
              <w:t>4</w:t>
            </w:r>
            <w:r>
              <w:rPr>
                <w:rFonts w:hint="eastAsia" w:ascii="宋体" w:hAnsi="宋体" w:eastAsia="宋体" w:cs="Times New Roman"/>
                <w:color w:val="auto"/>
                <w:spacing w:val="-6"/>
                <w:szCs w:val="21"/>
                <w:highlight w:val="none"/>
                <w:u w:val="none"/>
                <w:lang w:eastAsia="zh-CN"/>
              </w:rPr>
              <w:t>】</w:t>
            </w:r>
            <w:r>
              <w:rPr>
                <w:rFonts w:hint="eastAsia" w:ascii="宋体" w:hAnsi="宋体" w:eastAsia="宋体" w:cs="Times New Roman"/>
                <w:color w:val="auto"/>
                <w:spacing w:val="-6"/>
                <w:szCs w:val="21"/>
                <w:highlight w:val="none"/>
                <w:u w:val="none"/>
              </w:rPr>
              <w:t>%的扣除，用扣除后的价格参加评审。</w:t>
            </w:r>
          </w:p>
        </w:tc>
      </w:tr>
      <w:tr w14:paraId="568B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71409B1C">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p>
        </w:tc>
      </w:tr>
      <w:tr w14:paraId="5887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3ECFCA24">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质保期</w:t>
            </w:r>
          </w:p>
        </w:tc>
        <w:tc>
          <w:tcPr>
            <w:tcW w:w="654" w:type="dxa"/>
            <w:vAlign w:val="center"/>
          </w:tcPr>
          <w:p w14:paraId="448A93A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7072" w:type="dxa"/>
            <w:vAlign w:val="center"/>
          </w:tcPr>
          <w:p w14:paraId="134F5FF0">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67202DBC">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满足招标文件最低要求基础上每延长1年得0.5分（最高1分），延长时间不足1年不计入得分。</w:t>
            </w:r>
          </w:p>
        </w:tc>
      </w:tr>
      <w:tr w14:paraId="0F78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61EB533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业绩</w:t>
            </w:r>
          </w:p>
        </w:tc>
        <w:tc>
          <w:tcPr>
            <w:tcW w:w="654" w:type="dxa"/>
            <w:vAlign w:val="center"/>
          </w:tcPr>
          <w:p w14:paraId="1BE5402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7072" w:type="dxa"/>
            <w:vAlign w:val="center"/>
          </w:tcPr>
          <w:p w14:paraId="44D9D3DB">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73A1564B">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投标人自2021年1月1日以来（以合同签订时间为准）同类合同业绩（以提供的合同扫描件为准）：每提供1份合同业绩得1分，最高得3分。</w:t>
            </w:r>
          </w:p>
        </w:tc>
      </w:tr>
      <w:tr w14:paraId="2FD0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7BB0F6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政策功能</w:t>
            </w:r>
          </w:p>
        </w:tc>
        <w:tc>
          <w:tcPr>
            <w:tcW w:w="654" w:type="dxa"/>
            <w:vAlign w:val="center"/>
          </w:tcPr>
          <w:p w14:paraId="7E4B91E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7072" w:type="dxa"/>
            <w:vAlign w:val="center"/>
          </w:tcPr>
          <w:p w14:paraId="342830F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04EA5D0E">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投标产品属于品目清单范围且提供国家确定的认证机构出具的有效的节能产品认证证书（扫描件）的得0.5分；</w:t>
            </w:r>
          </w:p>
          <w:p w14:paraId="2E008AD9">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投标产品属于品目清单范围且提供国家确定的认证机构出具的有效的环境标志产品认证证书（扫描件）的得0.5分；</w:t>
            </w:r>
          </w:p>
          <w:p w14:paraId="65DB797A">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注：政府强制采购的节能产品的除外。</w:t>
            </w:r>
          </w:p>
        </w:tc>
      </w:tr>
      <w:tr w14:paraId="3123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5F17DA6A">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技术分</w:t>
            </w:r>
          </w:p>
        </w:tc>
      </w:tr>
      <w:tr w14:paraId="7737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287CCBB3">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技术响应程度</w:t>
            </w:r>
          </w:p>
        </w:tc>
        <w:tc>
          <w:tcPr>
            <w:tcW w:w="654" w:type="dxa"/>
            <w:vAlign w:val="center"/>
          </w:tcPr>
          <w:p w14:paraId="569F4D3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w:t>
            </w:r>
          </w:p>
        </w:tc>
        <w:tc>
          <w:tcPr>
            <w:tcW w:w="7072" w:type="dxa"/>
            <w:vAlign w:val="center"/>
          </w:tcPr>
          <w:p w14:paraId="38624A37">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2DC5F6E6">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投标产品对采购需求中“</w:t>
            </w:r>
            <w:r>
              <w:rPr>
                <w:rFonts w:hint="eastAsia" w:ascii="宋体" w:hAnsi="宋体" w:eastAsia="宋体" w:cs="宋体"/>
                <w:b/>
                <w:bCs/>
                <w:color w:val="auto"/>
                <w:spacing w:val="-4"/>
                <w:szCs w:val="21"/>
                <w:highlight w:val="none"/>
              </w:rPr>
              <w:t>需满足的质量、安全、技术规格、物理特性等要求</w:t>
            </w:r>
            <w:r>
              <w:rPr>
                <w:rFonts w:hint="eastAsia" w:ascii="宋体" w:hAnsi="宋体" w:eastAsia="宋体" w:cs="宋体"/>
                <w:color w:val="auto"/>
                <w:szCs w:val="21"/>
                <w:highlight w:val="none"/>
              </w:rPr>
              <w:t>”的响应程度：不符合（负偏离）技术要求中标注“▲”条款（不可偏离）的投标无效；</w:t>
            </w:r>
          </w:p>
          <w:p w14:paraId="1E9DA402">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满足招标文件明确的全部技术条款要求的该项得满分；</w:t>
            </w:r>
          </w:p>
          <w:p w14:paraId="20A99B06">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技术条款低于技术要求（负偏离）的每项扣2分；</w:t>
            </w:r>
          </w:p>
          <w:p w14:paraId="25ACF4CC">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负偏离7项及以上的，视为采购人不能接受的附加条件。</w:t>
            </w:r>
          </w:p>
        </w:tc>
      </w:tr>
      <w:tr w14:paraId="71AE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Merge w:val="restart"/>
            <w:vAlign w:val="center"/>
          </w:tcPr>
          <w:p w14:paraId="3842431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技术方案</w:t>
            </w:r>
          </w:p>
        </w:tc>
        <w:tc>
          <w:tcPr>
            <w:tcW w:w="654" w:type="dxa"/>
            <w:shd w:val="clear" w:color="auto" w:fill="auto"/>
            <w:vAlign w:val="center"/>
          </w:tcPr>
          <w:p w14:paraId="6113C7CE">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7072" w:type="dxa"/>
            <w:shd w:val="clear" w:color="auto" w:fill="auto"/>
            <w:vAlign w:val="center"/>
          </w:tcPr>
          <w:p w14:paraId="4EE50180">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42777945">
            <w:pPr>
              <w:snapToGrid w:val="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投标产品超模态行为洞察平台：</w:t>
            </w:r>
          </w:p>
          <w:p w14:paraId="7C7429E0">
            <w:pP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0F77601A">
            <w:pPr>
              <w:snapToGrid w:val="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（评分范围:4,3,2,1,0）</w:t>
            </w:r>
          </w:p>
        </w:tc>
      </w:tr>
      <w:tr w14:paraId="68AC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4F16B3C0">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34FA99B4">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7072" w:type="dxa"/>
            <w:shd w:val="clear" w:color="auto" w:fill="auto"/>
            <w:vAlign w:val="center"/>
          </w:tcPr>
          <w:p w14:paraId="0CE756C6">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21F8AF3E">
            <w:pPr>
              <w:snapToGrid w:val="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投标产品便携式行为观察记录分析系统：</w:t>
            </w:r>
          </w:p>
          <w:p w14:paraId="5C6791AC">
            <w:pP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0C4C5D83">
            <w:pPr>
              <w:snapToGrid w:val="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（评分范围:4,3,2,1,0）</w:t>
            </w:r>
          </w:p>
        </w:tc>
      </w:tr>
      <w:tr w14:paraId="0882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2E29E26D">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17E04206">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7072" w:type="dxa"/>
            <w:shd w:val="clear" w:color="auto" w:fill="auto"/>
            <w:vAlign w:val="center"/>
          </w:tcPr>
          <w:p w14:paraId="11518C2A">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007AF2A4">
            <w:pPr>
              <w:snapToGrid w:val="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投标产品视觉动态追踪系统：</w:t>
            </w:r>
          </w:p>
          <w:p w14:paraId="07BB26B8">
            <w:pP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结构（内部、外部等）、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31C9099B">
            <w:pPr>
              <w:snapToGrid w:val="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（评分范围:4,3,2,1,0）</w:t>
            </w:r>
          </w:p>
        </w:tc>
      </w:tr>
      <w:tr w14:paraId="4983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0C48210B">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4628626C">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7072" w:type="dxa"/>
            <w:shd w:val="clear" w:color="auto" w:fill="auto"/>
            <w:vAlign w:val="center"/>
          </w:tcPr>
          <w:p w14:paraId="1654AD0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497DC067">
            <w:pPr>
              <w:snapToGrid w:val="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投标产品遥测式生理信号采集分析系统：</w:t>
            </w:r>
          </w:p>
          <w:p w14:paraId="784AFC5E">
            <w:pP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结构（内部、外部等）、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6FC090E4">
            <w:pPr>
              <w:snapToGrid w:val="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（评分范围:4,3,2,1,0）</w:t>
            </w:r>
          </w:p>
        </w:tc>
      </w:tr>
      <w:tr w14:paraId="7B2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5105D6D4">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80F6BC3">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2A6157F">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2893741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实施（进度控制计划、技术文档移交）方案，方案全面可行、针对采购需求及实际特点、有利于采购标的实现及合同履约。</w:t>
            </w:r>
          </w:p>
          <w:p w14:paraId="3BD87C3B">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（评分范围：5,4,3,2,1,0）</w:t>
            </w:r>
          </w:p>
        </w:tc>
      </w:tr>
      <w:tr w14:paraId="51F3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7B1DC221">
            <w:pPr>
              <w:adjustRightInd w:val="0"/>
              <w:snapToGrid w:val="0"/>
              <w:spacing w:line="288" w:lineRule="auto"/>
              <w:jc w:val="center"/>
              <w:rPr>
                <w:rFonts w:hint="eastAsia" w:ascii="宋体" w:hAnsi="宋体" w:eastAsia="宋体" w:cs="宋体"/>
                <w:b/>
                <w:bCs/>
                <w:color w:val="auto"/>
                <w:szCs w:val="21"/>
                <w:highlight w:val="none"/>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FAD687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A8CAC03">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01AFDDB0">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日常运行及维护保养方案，方案全面可行、针对采购需求及实际特点、有利于采购标的实现及合同履约。</w:t>
            </w:r>
          </w:p>
          <w:p w14:paraId="52D8604F">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（评分范围：5,4,3,2,1,0）</w:t>
            </w:r>
          </w:p>
        </w:tc>
      </w:tr>
      <w:tr w14:paraId="2B05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0952F76C">
            <w:pPr>
              <w:adjustRightInd w:val="0"/>
              <w:snapToGrid w:val="0"/>
              <w:spacing w:line="288" w:lineRule="auto"/>
              <w:jc w:val="center"/>
              <w:rPr>
                <w:rFonts w:hint="eastAsia" w:ascii="宋体" w:hAnsi="宋体" w:eastAsia="宋体" w:cs="宋体"/>
                <w:b/>
                <w:bCs/>
                <w:color w:val="auto"/>
                <w:szCs w:val="21"/>
                <w:highlight w:val="none"/>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EEA9C83">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198322DC">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56DD2085">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安装、调试方法或方案，方案全面可行、针对采购需求及实际特点、有利于采购标的实现及合同履约。</w:t>
            </w:r>
          </w:p>
          <w:p w14:paraId="7C357CE8">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（评分范围：5,4,3,2,1,0）</w:t>
            </w:r>
          </w:p>
        </w:tc>
      </w:tr>
      <w:tr w14:paraId="01D2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9B1701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7252C6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825E274">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606D7752">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培训计划（包括培训流程、培训方式、培训对象、培训内容、培训日程等），计划方案全面可行、针对采购需求及实际特点、有利于采购标的实现及合同履约。</w:t>
            </w:r>
          </w:p>
          <w:p w14:paraId="6287764E">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（评分范围：5,4,3,2,1,0）</w:t>
            </w:r>
          </w:p>
        </w:tc>
      </w:tr>
      <w:tr w14:paraId="4E83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1046BB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1A5DCD3">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31546BC">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1247A149">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售后服务方案（包括服务机构、服务内容、服务承诺、响应时间、服务方式、人员配备、应急服务等），方案全面可行、针对采购需求及实际特点、有利于采购标的实现及合同履约。</w:t>
            </w:r>
          </w:p>
          <w:p w14:paraId="6103168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（评分范围：5,4,3,2,1,0）</w:t>
            </w:r>
          </w:p>
        </w:tc>
      </w:tr>
      <w:tr w14:paraId="43D6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vAlign w:val="center"/>
          </w:tcPr>
          <w:p w14:paraId="1B64CF66">
            <w:pPr>
              <w:adjustRightInd w:val="0"/>
              <w:snapToGrid w:val="0"/>
              <w:spacing w:line="288" w:lineRule="auto"/>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演示-超模态行为洞察平台</w:t>
            </w:r>
          </w:p>
          <w:p w14:paraId="05753C3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演示</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D93103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DE22E2E">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【主观分】演示内容完整，操作顺滑，响应速度快。</w:t>
            </w:r>
            <w:r>
              <w:rPr>
                <w:rFonts w:hint="eastAsia" w:ascii="宋体" w:hAnsi="宋体" w:eastAsia="宋体" w:cs="宋体"/>
                <w:b/>
                <w:bCs/>
                <w:color w:val="auto"/>
                <w:szCs w:val="21"/>
                <w:highlight w:val="none"/>
              </w:rPr>
              <w:t>（评分范围：2,1,0）</w:t>
            </w:r>
          </w:p>
          <w:p w14:paraId="39125BAD">
            <w:pPr>
              <w:numPr>
                <w:ilvl w:val="255"/>
                <w:numId w:val="0"/>
              </w:num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（1）行为编码模块</w:t>
            </w:r>
          </w:p>
          <w:p w14:paraId="1053C1D5">
            <w:pPr>
              <w:numPr>
                <w:ilvl w:val="255"/>
                <w:numId w:val="0"/>
              </w:num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第三，系统应配备可视化界面</w:t>
            </w:r>
            <w:r>
              <w:rPr>
                <w:rFonts w:hint="eastAsia" w:ascii="宋体" w:hAnsi="宋体" w:eastAsia="宋体" w:cs="宋体"/>
                <w:color w:val="auto"/>
                <w:szCs w:val="21"/>
                <w:highlight w:val="none"/>
                <w:lang w:eastAsia="zh"/>
              </w:rPr>
              <w:t>，</w:t>
            </w:r>
            <w:r>
              <w:rPr>
                <w:rFonts w:hint="eastAsia" w:ascii="宋体" w:hAnsi="宋体" w:eastAsia="宋体" w:cs="宋体"/>
                <w:color w:val="auto"/>
                <w:szCs w:val="21"/>
                <w:highlight w:val="none"/>
              </w:rPr>
              <w:t>通过</w:t>
            </w:r>
            <w:r>
              <w:rPr>
                <w:rFonts w:hint="eastAsia" w:ascii="宋体" w:hAnsi="宋体" w:eastAsia="宋体" w:cs="宋体"/>
                <w:color w:val="auto"/>
                <w:szCs w:val="21"/>
                <w:highlight w:val="none"/>
                <w:lang w:eastAsia="zh"/>
              </w:rPr>
              <w:t>如</w:t>
            </w:r>
            <w:r>
              <w:rPr>
                <w:rFonts w:hint="eastAsia" w:ascii="宋体" w:hAnsi="宋体" w:eastAsia="宋体" w:cs="宋体"/>
                <w:color w:val="auto"/>
                <w:szCs w:val="21"/>
                <w:highlight w:val="none"/>
              </w:rPr>
              <w:t>事件日志、图形时间轴联动展示等展现形式。（需要演示</w:t>
            </w:r>
            <w:r>
              <w:rPr>
                <w:rFonts w:hint="eastAsia" w:ascii="宋体" w:hAnsi="宋体" w:eastAsia="宋体" w:cs="宋体"/>
                <w:color w:val="auto"/>
                <w:szCs w:val="21"/>
                <w:highlight w:val="none"/>
                <w:lang w:eastAsia="zh"/>
              </w:rPr>
              <w:t>1</w:t>
            </w:r>
            <w:r>
              <w:rPr>
                <w:rFonts w:hint="eastAsia" w:ascii="宋体" w:hAnsi="宋体" w:eastAsia="宋体" w:cs="宋体"/>
                <w:color w:val="auto"/>
                <w:szCs w:val="21"/>
                <w:highlight w:val="none"/>
              </w:rPr>
              <w:t>）</w:t>
            </w:r>
          </w:p>
          <w:p w14:paraId="783FD4E1">
            <w:pPr>
              <w:numPr>
                <w:ilvl w:val="255"/>
                <w:numId w:val="0"/>
              </w:num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第五，系统应具备导入/导出编码结果的能力（例如支持导出CSV或ODX等其他格式数据），可将数据发送到其他行为编码软件或第三方分析软件分析，便于后续的数据管理和分析。（需要演示</w:t>
            </w:r>
            <w:r>
              <w:rPr>
                <w:rFonts w:hint="eastAsia" w:ascii="宋体" w:hAnsi="宋体" w:eastAsia="宋体" w:cs="宋体"/>
                <w:color w:val="auto"/>
                <w:szCs w:val="21"/>
                <w:highlight w:val="none"/>
                <w:lang w:eastAsia="zh"/>
              </w:rPr>
              <w:t>2</w:t>
            </w:r>
            <w:r>
              <w:rPr>
                <w:rFonts w:hint="eastAsia" w:ascii="宋体" w:hAnsi="宋体" w:eastAsia="宋体" w:cs="宋体"/>
                <w:color w:val="auto"/>
                <w:szCs w:val="21"/>
                <w:highlight w:val="none"/>
              </w:rPr>
              <w:t>）</w:t>
            </w:r>
          </w:p>
        </w:tc>
      </w:tr>
      <w:tr w14:paraId="71F7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1CD2E24F">
            <w:pPr>
              <w:adjustRightInd w:val="0"/>
              <w:snapToGrid w:val="0"/>
              <w:spacing w:line="288" w:lineRule="auto"/>
              <w:jc w:val="center"/>
              <w:rPr>
                <w:rFonts w:hint="eastAsia" w:ascii="宋体" w:hAnsi="宋体" w:eastAsia="宋体" w:cs="宋体"/>
                <w:b/>
                <w:bCs/>
                <w:color w:val="auto"/>
                <w:szCs w:val="21"/>
                <w:highlight w:val="none"/>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140A29A">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7AAC6BD">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【主观分】演示内容完整，操作顺滑，响应速度快。</w:t>
            </w:r>
            <w:r>
              <w:rPr>
                <w:rFonts w:hint="eastAsia" w:ascii="宋体" w:hAnsi="宋体" w:eastAsia="宋体" w:cs="宋体"/>
                <w:b/>
                <w:bCs/>
                <w:color w:val="auto"/>
                <w:szCs w:val="21"/>
                <w:highlight w:val="none"/>
              </w:rPr>
              <w:t>（评分范围：2,1,0）</w:t>
            </w:r>
          </w:p>
          <w:p w14:paraId="3D96FD81">
            <w:pPr>
              <w:numPr>
                <w:ilvl w:val="255"/>
                <w:numId w:val="0"/>
              </w:numPr>
              <w:adjustRightInd w:val="0"/>
              <w:spacing w:line="288"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（2）生理电导反应模块</w:t>
            </w:r>
          </w:p>
          <w:p w14:paraId="64880438">
            <w:pPr>
              <w:numPr>
                <w:ilvl w:val="255"/>
                <w:numId w:val="0"/>
              </w:num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第三，系统应提供可视化工具，如趋势图，以直观展示生理反应的变化。（需要演示3）</w:t>
            </w:r>
          </w:p>
          <w:p w14:paraId="5116C7B0">
            <w:pPr>
              <w:numPr>
                <w:ilvl w:val="255"/>
                <w:numId w:val="0"/>
              </w:num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第四，系统需要支持与行为编码模块的数据联动，标识出特定行为发生时的生理反应变化。（需要演示4）</w:t>
            </w:r>
          </w:p>
        </w:tc>
      </w:tr>
      <w:tr w14:paraId="0725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shd w:val="clear" w:color="auto" w:fill="auto"/>
            <w:vAlign w:val="center"/>
          </w:tcPr>
          <w:p w14:paraId="3F34DD66">
            <w:pPr>
              <w:adjustRightInd w:val="0"/>
              <w:snapToGrid w:val="0"/>
              <w:spacing w:line="288" w:lineRule="auto"/>
              <w:jc w:val="center"/>
              <w:rPr>
                <w:rFonts w:hint="eastAsia" w:ascii="宋体" w:hAnsi="宋体" w:eastAsia="宋体" w:cs="宋体"/>
                <w:b/>
                <w:bCs/>
                <w:color w:val="auto"/>
                <w:szCs w:val="21"/>
                <w:highlight w:val="none"/>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A1E58B6">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293E22F9">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【主观分】演示内容完整，操作顺滑，响应速度快。</w:t>
            </w:r>
            <w:r>
              <w:rPr>
                <w:rFonts w:hint="eastAsia" w:ascii="宋体" w:hAnsi="宋体" w:eastAsia="宋体" w:cs="宋体"/>
                <w:b/>
                <w:bCs/>
                <w:color w:val="auto"/>
                <w:szCs w:val="21"/>
                <w:highlight w:val="none"/>
              </w:rPr>
              <w:t>（评分范围：2,1,0）</w:t>
            </w:r>
          </w:p>
          <w:p w14:paraId="4FD070AA">
            <w:pPr>
              <w:numPr>
                <w:ilvl w:val="255"/>
                <w:numId w:val="0"/>
              </w:num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（3）视动采集模块</w:t>
            </w:r>
          </w:p>
          <w:p w14:paraId="0A7F0B2B">
            <w:pPr>
              <w:numPr>
                <w:ilvl w:val="255"/>
                <w:numId w:val="0"/>
              </w:num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第二，系统提供眼动注视点位、瞳孔直径、眼跳。以帮助分析受试者的注意力分布及认知负荷。（需要演示5）</w:t>
            </w:r>
          </w:p>
          <w:p w14:paraId="46DC2931">
            <w:pPr>
              <w:numPr>
                <w:ilvl w:val="255"/>
                <w:numId w:val="0"/>
              </w:num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第三，系统应提供可视化工具，如趋势图，以直观展示生理反应的变化。（需要演示6）</w:t>
            </w:r>
          </w:p>
        </w:tc>
      </w:tr>
      <w:tr w14:paraId="2CDC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shd w:val="clear" w:color="auto" w:fill="auto"/>
            <w:vAlign w:val="center"/>
          </w:tcPr>
          <w:p w14:paraId="35AE7A12">
            <w:pPr>
              <w:adjustRightInd w:val="0"/>
              <w:snapToGrid w:val="0"/>
              <w:spacing w:line="288" w:lineRule="auto"/>
              <w:jc w:val="center"/>
              <w:rPr>
                <w:rFonts w:hint="eastAsia" w:ascii="宋体" w:hAnsi="宋体" w:eastAsia="宋体" w:cs="宋体"/>
                <w:b/>
                <w:bCs/>
                <w:color w:val="auto"/>
                <w:szCs w:val="21"/>
                <w:highlight w:val="none"/>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18DC5E1">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6ED0B33">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【主观分】演示内容完整，操作顺滑，响应速度快。</w:t>
            </w:r>
            <w:r>
              <w:rPr>
                <w:rFonts w:hint="eastAsia" w:ascii="宋体" w:hAnsi="宋体" w:eastAsia="宋体" w:cs="宋体"/>
                <w:b/>
                <w:bCs/>
                <w:color w:val="auto"/>
                <w:szCs w:val="21"/>
                <w:highlight w:val="none"/>
              </w:rPr>
              <w:t>（评分范围：2,1,0）</w:t>
            </w:r>
          </w:p>
          <w:p w14:paraId="3ED381CA">
            <w:p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（4）心理情绪分析模块（需要演示7）</w:t>
            </w:r>
          </w:p>
          <w:p w14:paraId="5326F4A7">
            <w:p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第一，系统应自动进行情绪识别，通过摄像机捕捉被试面部，软件识别建模后分析面部表情（喜、怒、哀、乐、惊、惧、中性）基本表情及困惑、无趣、感兴趣等情绪，采集后所得数据支持实时可视化呈现。</w:t>
            </w:r>
          </w:p>
          <w:p w14:paraId="18849572">
            <w:p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第二，系统应提供情绪强度的量化指标，以客观评估情绪变化的程度。</w:t>
            </w:r>
          </w:p>
          <w:p w14:paraId="3165E3AC">
            <w:p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第三，系统应具备同时获取不少于2人的表情数据，并支持将分析结果与行为数据和眼动、生理数据进行关联分析的功能，以满足模拟提案实验中的多人实时数据采集。</w:t>
            </w:r>
          </w:p>
        </w:tc>
      </w:tr>
      <w:tr w14:paraId="02A0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0CE2FF8">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演示-</w:t>
            </w:r>
            <w:r>
              <w:rPr>
                <w:rFonts w:hint="eastAsia" w:ascii="宋体" w:hAnsi="宋体" w:eastAsia="宋体" w:cs="宋体"/>
                <w:b/>
                <w:bCs/>
                <w:color w:val="auto"/>
                <w:szCs w:val="21"/>
                <w:highlight w:val="none"/>
                <w:lang w:bidi="ar"/>
              </w:rPr>
              <w:t>便携式行为观察记录分析系统</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112EC39">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DFD2A36">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【主观分】演示内容完整，操作顺滑，响应速度快。</w:t>
            </w:r>
            <w:r>
              <w:rPr>
                <w:rFonts w:hint="eastAsia" w:ascii="宋体" w:hAnsi="宋体" w:eastAsia="宋体" w:cs="宋体"/>
                <w:b/>
                <w:bCs/>
                <w:color w:val="auto"/>
                <w:szCs w:val="21"/>
                <w:highlight w:val="none"/>
              </w:rPr>
              <w:t>（评分范围：2,1,0）</w:t>
            </w:r>
          </w:p>
          <w:p w14:paraId="54493BD9">
            <w:pPr>
              <w:numPr>
                <w:ilvl w:val="0"/>
                <w:numId w:val="4"/>
              </w:num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行为分析系统软件</w:t>
            </w:r>
          </w:p>
          <w:p w14:paraId="1889D2B2">
            <w:pPr>
              <w:pStyle w:val="101"/>
              <w:adjustRightInd w:val="0"/>
              <w:spacing w:line="288" w:lineRule="auto"/>
              <w:ind w:left="0"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①视频处理模块（需要演示8）</w:t>
            </w:r>
          </w:p>
          <w:p w14:paraId="7A64A87D">
            <w:pPr>
              <w:numPr>
                <w:ilvl w:val="255"/>
                <w:numId w:val="0"/>
              </w:numPr>
              <w:adjustRightIn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数据采样机制需灵活多样，囊括连续采样、瞬时采样及两者混合模式</w:t>
            </w:r>
            <w:r>
              <w:rPr>
                <w:rFonts w:hint="eastAsia" w:ascii="宋体" w:hAnsi="宋体" w:eastAsia="宋体" w:cs="宋体"/>
                <w:color w:val="auto"/>
                <w:szCs w:val="21"/>
                <w:highlight w:val="none"/>
                <w:lang w:eastAsia="zh"/>
              </w:rPr>
              <w:t>，</w:t>
            </w:r>
            <w:r>
              <w:rPr>
                <w:rFonts w:hint="eastAsia" w:ascii="宋体" w:hAnsi="宋体" w:eastAsia="宋体" w:cs="宋体"/>
                <w:color w:val="auto"/>
                <w:szCs w:val="21"/>
                <w:highlight w:val="none"/>
              </w:rPr>
              <w:t>并借助可视化界面</w:t>
            </w:r>
            <w:r>
              <w:rPr>
                <w:rFonts w:hint="eastAsia" w:ascii="宋体" w:hAnsi="宋体" w:eastAsia="宋体" w:cs="宋体"/>
                <w:color w:val="auto"/>
                <w:szCs w:val="21"/>
                <w:highlight w:val="none"/>
                <w:lang w:eastAsia="zh"/>
              </w:rPr>
              <w:t>，如</w:t>
            </w:r>
            <w:r>
              <w:rPr>
                <w:rFonts w:hint="eastAsia" w:ascii="宋体" w:hAnsi="宋体" w:eastAsia="宋体" w:cs="宋体"/>
                <w:color w:val="auto"/>
                <w:szCs w:val="21"/>
                <w:highlight w:val="none"/>
              </w:rPr>
              <w:t>事件日志</w:t>
            </w:r>
            <w:r>
              <w:rPr>
                <w:rFonts w:hint="eastAsia" w:ascii="宋体" w:hAnsi="宋体" w:eastAsia="宋体" w:cs="宋体"/>
                <w:color w:val="auto"/>
                <w:szCs w:val="21"/>
                <w:highlight w:val="none"/>
                <w:lang w:eastAsia="zh"/>
              </w:rPr>
              <w:t>和</w:t>
            </w:r>
            <w:r>
              <w:rPr>
                <w:rFonts w:hint="eastAsia" w:ascii="宋体" w:hAnsi="宋体" w:eastAsia="宋体" w:cs="宋体"/>
                <w:color w:val="auto"/>
                <w:szCs w:val="21"/>
                <w:highlight w:val="none"/>
              </w:rPr>
              <w:t>图形时间轴联动展示，方便对已标记事件进行查阅和分析，并具备uASQ实时调查问卷功能、uLog记录鼠标键盘操作功能。</w:t>
            </w:r>
          </w:p>
        </w:tc>
      </w:tr>
      <w:tr w14:paraId="7964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B499D8B">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演示-</w:t>
            </w:r>
            <w:r>
              <w:rPr>
                <w:rFonts w:hint="eastAsia" w:ascii="宋体" w:hAnsi="宋体" w:eastAsia="宋体" w:cs="宋体"/>
                <w:b/>
                <w:bCs/>
                <w:color w:val="auto"/>
                <w:szCs w:val="21"/>
                <w:highlight w:val="none"/>
                <w:lang w:bidi="ar"/>
              </w:rPr>
              <w:t>视觉动态追踪系统</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22DC9D9">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1A5470D">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【主观分】演示内容完整，操作顺滑，响应速度快。</w:t>
            </w:r>
            <w:r>
              <w:rPr>
                <w:rFonts w:hint="eastAsia" w:ascii="宋体" w:hAnsi="宋体" w:eastAsia="宋体" w:cs="宋体"/>
                <w:b/>
                <w:bCs/>
                <w:color w:val="auto"/>
                <w:szCs w:val="21"/>
                <w:highlight w:val="none"/>
              </w:rPr>
              <w:t>（评分范围：2,1,0）</w:t>
            </w:r>
          </w:p>
          <w:p w14:paraId="2CA38090">
            <w:pPr>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（2）视觉动态数据分析软件</w:t>
            </w:r>
          </w:p>
          <w:p w14:paraId="1787DFB1">
            <w:pPr>
              <w:pStyle w:val="101"/>
              <w:spacing w:line="288" w:lineRule="auto"/>
              <w:ind w:left="0"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第三，采集软件支持被试信息管理，可添加字数不限的描述和注释信息，并在记录结束后立即回放叠加了视线位置的视频，便于快速分析。</w:t>
            </w:r>
            <w:r>
              <w:rPr>
                <w:rFonts w:hint="eastAsia" w:ascii="宋体" w:hAnsi="宋体" w:cs="宋体"/>
                <w:color w:val="auto"/>
                <w:sz w:val="21"/>
                <w:szCs w:val="21"/>
                <w:highlight w:val="none"/>
                <w:lang w:eastAsia="zh"/>
              </w:rPr>
              <w:t>（需要演示</w:t>
            </w:r>
            <w:r>
              <w:rPr>
                <w:rFonts w:hint="eastAsia" w:ascii="宋体" w:hAnsi="宋体" w:cs="宋体"/>
                <w:color w:val="auto"/>
                <w:sz w:val="21"/>
                <w:szCs w:val="21"/>
                <w:highlight w:val="none"/>
              </w:rPr>
              <w:t>9</w:t>
            </w:r>
            <w:r>
              <w:rPr>
                <w:rFonts w:hint="eastAsia" w:ascii="宋体" w:hAnsi="宋体" w:cs="宋体"/>
                <w:color w:val="auto"/>
                <w:sz w:val="21"/>
                <w:szCs w:val="21"/>
                <w:highlight w:val="none"/>
                <w:lang w:eastAsia="zh"/>
              </w:rPr>
              <w:t>）</w:t>
            </w:r>
          </w:p>
          <w:p w14:paraId="529D58CD">
            <w:pPr>
              <w:pStyle w:val="101"/>
              <w:spacing w:line="288" w:lineRule="auto"/>
              <w:ind w:left="0"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
              </w:rPr>
              <w:t>第四，</w:t>
            </w:r>
            <w:r>
              <w:rPr>
                <w:rFonts w:hint="eastAsia" w:ascii="宋体" w:hAnsi="宋体" w:cs="宋体"/>
                <w:color w:val="auto"/>
                <w:sz w:val="21"/>
                <w:szCs w:val="21"/>
                <w:highlight w:val="none"/>
              </w:rPr>
              <w:t>系统应提供热点图、注视轨迹图、注视轨迹回放视频等可视化结果呈现与导出功能，方便后续分析。</w:t>
            </w:r>
            <w:r>
              <w:rPr>
                <w:rFonts w:hint="eastAsia" w:ascii="宋体" w:hAnsi="宋体" w:cs="宋体"/>
                <w:color w:val="auto"/>
                <w:sz w:val="21"/>
                <w:szCs w:val="21"/>
                <w:highlight w:val="none"/>
                <w:lang w:eastAsia="zh"/>
              </w:rPr>
              <w:t>（需要演示</w:t>
            </w:r>
            <w:r>
              <w:rPr>
                <w:rFonts w:hint="eastAsia" w:ascii="宋体" w:hAnsi="宋体" w:cs="宋体"/>
                <w:color w:val="auto"/>
                <w:sz w:val="21"/>
                <w:szCs w:val="21"/>
                <w:highlight w:val="none"/>
              </w:rPr>
              <w:t>10</w:t>
            </w:r>
            <w:r>
              <w:rPr>
                <w:rFonts w:hint="eastAsia" w:ascii="宋体" w:hAnsi="宋体" w:cs="宋体"/>
                <w:color w:val="auto"/>
                <w:sz w:val="21"/>
                <w:szCs w:val="21"/>
                <w:highlight w:val="none"/>
                <w:lang w:eastAsia="zh"/>
              </w:rPr>
              <w:t>）</w:t>
            </w:r>
          </w:p>
        </w:tc>
      </w:tr>
    </w:tbl>
    <w:p w14:paraId="777EC4A4">
      <w:pPr>
        <w:widowControl/>
        <w:adjustRightInd w:val="0"/>
        <w:snapToGrid w:val="0"/>
        <w:spacing w:line="288" w:lineRule="auto"/>
        <w:jc w:val="left"/>
        <w:rPr>
          <w:rFonts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br w:type="page"/>
      </w:r>
    </w:p>
    <w:p w14:paraId="444FA635">
      <w:pPr>
        <w:adjustRightInd w:val="0"/>
        <w:snapToGrid w:val="0"/>
        <w:spacing w:line="288" w:lineRule="auto"/>
        <w:jc w:val="center"/>
        <w:outlineLvl w:val="0"/>
        <w:rPr>
          <w:rFonts w:ascii="宋体" w:hAnsi="宋体" w:eastAsia="宋体" w:cs="宋体"/>
          <w:b/>
          <w:bCs/>
          <w:color w:val="auto"/>
          <w:spacing w:val="-6"/>
          <w:sz w:val="32"/>
          <w:szCs w:val="32"/>
          <w:highlight w:val="none"/>
        </w:rPr>
      </w:pPr>
      <w:r>
        <w:rPr>
          <w:rFonts w:hint="eastAsia" w:ascii="宋体" w:hAnsi="宋体" w:eastAsia="宋体" w:cs="宋体"/>
          <w:b/>
          <w:color w:val="auto"/>
          <w:sz w:val="32"/>
          <w:szCs w:val="32"/>
          <w:highlight w:val="none"/>
        </w:rPr>
        <w:t>第五章  拟签订的合同文本</w:t>
      </w:r>
    </w:p>
    <w:p w14:paraId="73C4AB1B">
      <w:pPr>
        <w:spacing w:before="120" w:beforeLines="50" w:after="120" w:afterLines="5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浙江省政府采购合同（三方合同）</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9"/>
        <w:gridCol w:w="4629"/>
      </w:tblGrid>
      <w:tr w14:paraId="4E37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2596" w:type="pct"/>
            <w:vAlign w:val="center"/>
          </w:tcPr>
          <w:p w14:paraId="5AE516B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招标编号：</w:t>
            </w:r>
            <w:r>
              <w:rPr>
                <w:rFonts w:hint="eastAsia" w:ascii="宋体" w:hAnsi="宋体" w:eastAsia="宋体" w:cs="宋体"/>
                <w:bCs/>
                <w:color w:val="auto"/>
                <w:szCs w:val="21"/>
                <w:highlight w:val="none"/>
              </w:rPr>
              <w:t xml:space="preserve"> </w:t>
            </w:r>
          </w:p>
        </w:tc>
        <w:tc>
          <w:tcPr>
            <w:tcW w:w="2404" w:type="pct"/>
            <w:vAlign w:val="center"/>
          </w:tcPr>
          <w:p w14:paraId="21A4E6D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采购计划书号： </w:t>
            </w:r>
          </w:p>
        </w:tc>
      </w:tr>
      <w:tr w14:paraId="29E4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596" w:type="pct"/>
            <w:vAlign w:val="center"/>
          </w:tcPr>
          <w:p w14:paraId="3FF183B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浙江工商大学合同编号：</w:t>
            </w:r>
          </w:p>
        </w:tc>
        <w:tc>
          <w:tcPr>
            <w:tcW w:w="2404" w:type="pct"/>
            <w:vAlign w:val="center"/>
          </w:tcPr>
          <w:p w14:paraId="2F56A42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浙江工商大学标书编号：</w:t>
            </w:r>
          </w:p>
        </w:tc>
      </w:tr>
    </w:tbl>
    <w:p w14:paraId="30BE41AF">
      <w:pPr>
        <w:spacing w:before="120"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甲方（采购人）：浙江工商大学</w:t>
      </w:r>
    </w:p>
    <w:p w14:paraId="0DEA93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乙方（供应商）： </w:t>
      </w:r>
    </w:p>
    <w:p w14:paraId="7B29161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鉴证方（采购代理机构）：  </w:t>
      </w:r>
    </w:p>
    <w:p w14:paraId="7241A84D">
      <w:pPr>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签约地点：杭州                                   </w:t>
      </w:r>
    </w:p>
    <w:p w14:paraId="5BE28F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关于项目编号为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u w:val="single"/>
        </w:rPr>
        <w:t xml:space="preserve">   公开招标</w:t>
      </w:r>
      <w:r>
        <w:rPr>
          <w:rFonts w:hint="eastAsia" w:ascii="宋体" w:hAnsi="宋体" w:eastAsia="宋体" w:cs="宋体"/>
          <w:color w:val="auto"/>
          <w:szCs w:val="21"/>
          <w:highlight w:val="none"/>
        </w:rPr>
        <w:t>的结果，签署本采购合同。</w:t>
      </w:r>
    </w:p>
    <w:p w14:paraId="1DA71EC1">
      <w:pPr>
        <w:spacing w:line="360" w:lineRule="auto"/>
        <w:ind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一、货物内容及价格</w:t>
      </w:r>
    </w:p>
    <w:p w14:paraId="2F538704">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1、货物名称和型号规格、数量、配置要求、价格：</w:t>
      </w:r>
    </w:p>
    <w:p w14:paraId="326F6112">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金额单位：元</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051"/>
        <w:gridCol w:w="2394"/>
        <w:gridCol w:w="741"/>
        <w:gridCol w:w="741"/>
        <w:gridCol w:w="1296"/>
        <w:gridCol w:w="1664"/>
      </w:tblGrid>
      <w:tr w14:paraId="17F9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75EBC75A">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序号</w:t>
            </w:r>
          </w:p>
        </w:tc>
        <w:tc>
          <w:tcPr>
            <w:tcW w:w="1065" w:type="pct"/>
            <w:tcBorders>
              <w:top w:val="single" w:color="auto" w:sz="4" w:space="0"/>
              <w:left w:val="single" w:color="auto" w:sz="4" w:space="0"/>
              <w:bottom w:val="single" w:color="auto" w:sz="4" w:space="0"/>
              <w:right w:val="single" w:color="auto" w:sz="4" w:space="0"/>
            </w:tcBorders>
            <w:vAlign w:val="center"/>
          </w:tcPr>
          <w:p w14:paraId="714BC366">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货物名称</w:t>
            </w:r>
          </w:p>
        </w:tc>
        <w:tc>
          <w:tcPr>
            <w:tcW w:w="1243" w:type="pct"/>
            <w:tcBorders>
              <w:top w:val="single" w:color="auto" w:sz="4" w:space="0"/>
              <w:left w:val="single" w:color="auto" w:sz="4" w:space="0"/>
              <w:bottom w:val="single" w:color="auto" w:sz="4" w:space="0"/>
              <w:right w:val="single" w:color="auto" w:sz="4" w:space="0"/>
            </w:tcBorders>
            <w:vAlign w:val="center"/>
          </w:tcPr>
          <w:p w14:paraId="02941C11">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厂牌、型号</w:t>
            </w:r>
          </w:p>
        </w:tc>
        <w:tc>
          <w:tcPr>
            <w:tcW w:w="385" w:type="pct"/>
            <w:tcBorders>
              <w:top w:val="single" w:color="auto" w:sz="4" w:space="0"/>
              <w:left w:val="single" w:color="auto" w:sz="4" w:space="0"/>
              <w:bottom w:val="single" w:color="auto" w:sz="4" w:space="0"/>
              <w:right w:val="single" w:color="auto" w:sz="4" w:space="0"/>
            </w:tcBorders>
            <w:vAlign w:val="center"/>
          </w:tcPr>
          <w:p w14:paraId="07055CF8">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数量</w:t>
            </w:r>
          </w:p>
        </w:tc>
        <w:tc>
          <w:tcPr>
            <w:tcW w:w="385" w:type="pct"/>
            <w:tcBorders>
              <w:top w:val="single" w:color="auto" w:sz="4" w:space="0"/>
              <w:left w:val="single" w:color="auto" w:sz="4" w:space="0"/>
              <w:bottom w:val="single" w:color="auto" w:sz="4" w:space="0"/>
              <w:right w:val="single" w:color="auto" w:sz="4" w:space="0"/>
            </w:tcBorders>
            <w:vAlign w:val="center"/>
          </w:tcPr>
          <w:p w14:paraId="73CC50B0">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w:t>
            </w:r>
          </w:p>
        </w:tc>
        <w:tc>
          <w:tcPr>
            <w:tcW w:w="673" w:type="pct"/>
            <w:tcBorders>
              <w:top w:val="single" w:color="auto" w:sz="4" w:space="0"/>
              <w:left w:val="single" w:color="auto" w:sz="4" w:space="0"/>
              <w:bottom w:val="single" w:color="auto" w:sz="4" w:space="0"/>
              <w:right w:val="single" w:color="auto" w:sz="4" w:space="0"/>
            </w:tcBorders>
            <w:vAlign w:val="center"/>
          </w:tcPr>
          <w:p w14:paraId="0040626C">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单价</w:t>
            </w:r>
          </w:p>
        </w:tc>
        <w:tc>
          <w:tcPr>
            <w:tcW w:w="864" w:type="pct"/>
            <w:tcBorders>
              <w:top w:val="single" w:color="auto" w:sz="4" w:space="0"/>
              <w:left w:val="single" w:color="auto" w:sz="4" w:space="0"/>
              <w:bottom w:val="single" w:color="auto" w:sz="4" w:space="0"/>
              <w:right w:val="single" w:color="auto" w:sz="4" w:space="0"/>
            </w:tcBorders>
            <w:vAlign w:val="center"/>
          </w:tcPr>
          <w:p w14:paraId="410C828E">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金额</w:t>
            </w:r>
          </w:p>
        </w:tc>
      </w:tr>
      <w:tr w14:paraId="7E55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53F327A1">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w:t>
            </w:r>
          </w:p>
        </w:tc>
        <w:tc>
          <w:tcPr>
            <w:tcW w:w="1065" w:type="pct"/>
            <w:tcBorders>
              <w:top w:val="single" w:color="auto" w:sz="4" w:space="0"/>
              <w:left w:val="single" w:color="auto" w:sz="4" w:space="0"/>
              <w:bottom w:val="single" w:color="auto" w:sz="4" w:space="0"/>
              <w:right w:val="single" w:color="auto" w:sz="4" w:space="0"/>
            </w:tcBorders>
            <w:vAlign w:val="center"/>
          </w:tcPr>
          <w:p w14:paraId="32443224">
            <w:pPr>
              <w:ind w:firstLine="396" w:firstLineChars="200"/>
              <w:jc w:val="center"/>
              <w:rPr>
                <w:rFonts w:hint="eastAsia" w:ascii="宋体" w:hAnsi="宋体" w:eastAsia="宋体" w:cs="宋体"/>
                <w:color w:val="auto"/>
                <w:spacing w:val="-6"/>
                <w:szCs w:val="21"/>
                <w:highlight w:val="none"/>
              </w:rPr>
            </w:pPr>
          </w:p>
        </w:tc>
        <w:tc>
          <w:tcPr>
            <w:tcW w:w="1243" w:type="pct"/>
            <w:tcBorders>
              <w:top w:val="single" w:color="auto" w:sz="4" w:space="0"/>
              <w:left w:val="single" w:color="auto" w:sz="4" w:space="0"/>
              <w:bottom w:val="single" w:color="auto" w:sz="4" w:space="0"/>
              <w:right w:val="single" w:color="auto" w:sz="4" w:space="0"/>
            </w:tcBorders>
            <w:vAlign w:val="center"/>
          </w:tcPr>
          <w:p w14:paraId="7D446312">
            <w:pP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43999B21">
            <w:pPr>
              <w:ind w:firstLine="396" w:firstLineChars="200"/>
              <w:jc w:val="cente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76E128E9">
            <w:pPr>
              <w:ind w:firstLine="396" w:firstLineChars="200"/>
              <w:jc w:val="center"/>
              <w:rPr>
                <w:rFonts w:hint="eastAsia" w:ascii="宋体" w:hAnsi="宋体" w:eastAsia="宋体" w:cs="宋体"/>
                <w:color w:val="auto"/>
                <w:spacing w:val="-6"/>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14:paraId="36EB7060">
            <w:pPr>
              <w:ind w:firstLine="396" w:firstLineChars="200"/>
              <w:jc w:val="center"/>
              <w:rPr>
                <w:rFonts w:hint="eastAsia" w:ascii="宋体" w:hAnsi="宋体" w:eastAsia="宋体" w:cs="宋体"/>
                <w:color w:val="auto"/>
                <w:spacing w:val="-6"/>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0142E4ED">
            <w:pPr>
              <w:ind w:firstLine="396" w:firstLineChars="200"/>
              <w:rPr>
                <w:rFonts w:hint="eastAsia" w:ascii="宋体" w:hAnsi="宋体" w:eastAsia="宋体" w:cs="宋体"/>
                <w:color w:val="auto"/>
                <w:spacing w:val="-6"/>
                <w:szCs w:val="21"/>
                <w:highlight w:val="none"/>
              </w:rPr>
            </w:pPr>
          </w:p>
        </w:tc>
      </w:tr>
      <w:tr w14:paraId="014E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1F117EEF">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w:t>
            </w:r>
          </w:p>
        </w:tc>
        <w:tc>
          <w:tcPr>
            <w:tcW w:w="1065" w:type="pct"/>
            <w:tcBorders>
              <w:top w:val="single" w:color="auto" w:sz="4" w:space="0"/>
              <w:left w:val="single" w:color="auto" w:sz="4" w:space="0"/>
              <w:bottom w:val="single" w:color="auto" w:sz="4" w:space="0"/>
              <w:right w:val="single" w:color="auto" w:sz="4" w:space="0"/>
            </w:tcBorders>
            <w:vAlign w:val="center"/>
          </w:tcPr>
          <w:p w14:paraId="7D3F49B2">
            <w:pPr>
              <w:ind w:firstLine="396" w:firstLineChars="200"/>
              <w:jc w:val="center"/>
              <w:rPr>
                <w:rFonts w:hint="eastAsia" w:ascii="宋体" w:hAnsi="宋体" w:eastAsia="宋体" w:cs="宋体"/>
                <w:color w:val="auto"/>
                <w:spacing w:val="-6"/>
                <w:szCs w:val="21"/>
                <w:highlight w:val="none"/>
              </w:rPr>
            </w:pPr>
          </w:p>
        </w:tc>
        <w:tc>
          <w:tcPr>
            <w:tcW w:w="1243" w:type="pct"/>
            <w:tcBorders>
              <w:top w:val="single" w:color="auto" w:sz="4" w:space="0"/>
              <w:left w:val="single" w:color="auto" w:sz="4" w:space="0"/>
              <w:bottom w:val="single" w:color="auto" w:sz="4" w:space="0"/>
              <w:right w:val="single" w:color="auto" w:sz="4" w:space="0"/>
            </w:tcBorders>
            <w:vAlign w:val="center"/>
          </w:tcPr>
          <w:p w14:paraId="7FFB3EAD">
            <w:pP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64A06D5A">
            <w:pPr>
              <w:ind w:firstLine="396" w:firstLineChars="200"/>
              <w:jc w:val="cente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7990154C">
            <w:pPr>
              <w:ind w:firstLine="396" w:firstLineChars="200"/>
              <w:jc w:val="center"/>
              <w:rPr>
                <w:rFonts w:hint="eastAsia" w:ascii="宋体" w:hAnsi="宋体" w:eastAsia="宋体" w:cs="宋体"/>
                <w:color w:val="auto"/>
                <w:spacing w:val="-6"/>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14:paraId="278DEB43">
            <w:pPr>
              <w:ind w:firstLine="396" w:firstLineChars="200"/>
              <w:jc w:val="center"/>
              <w:rPr>
                <w:rFonts w:hint="eastAsia" w:ascii="宋体" w:hAnsi="宋体" w:eastAsia="宋体" w:cs="宋体"/>
                <w:color w:val="auto"/>
                <w:spacing w:val="-6"/>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0A873D7D">
            <w:pPr>
              <w:ind w:firstLine="396" w:firstLineChars="200"/>
              <w:rPr>
                <w:rFonts w:hint="eastAsia" w:ascii="宋体" w:hAnsi="宋体" w:eastAsia="宋体" w:cs="宋体"/>
                <w:color w:val="auto"/>
                <w:spacing w:val="-6"/>
                <w:szCs w:val="21"/>
                <w:highlight w:val="none"/>
              </w:rPr>
            </w:pPr>
          </w:p>
        </w:tc>
      </w:tr>
      <w:tr w14:paraId="48B1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3F0BD24D">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w:t>
            </w:r>
          </w:p>
        </w:tc>
        <w:tc>
          <w:tcPr>
            <w:tcW w:w="1065" w:type="pct"/>
            <w:tcBorders>
              <w:top w:val="single" w:color="auto" w:sz="4" w:space="0"/>
              <w:left w:val="single" w:color="auto" w:sz="4" w:space="0"/>
              <w:bottom w:val="single" w:color="auto" w:sz="4" w:space="0"/>
              <w:right w:val="single" w:color="auto" w:sz="4" w:space="0"/>
            </w:tcBorders>
            <w:vAlign w:val="center"/>
          </w:tcPr>
          <w:p w14:paraId="438FAC17">
            <w:pPr>
              <w:ind w:firstLine="396" w:firstLineChars="200"/>
              <w:jc w:val="center"/>
              <w:rPr>
                <w:rFonts w:hint="eastAsia" w:ascii="宋体" w:hAnsi="宋体" w:eastAsia="宋体" w:cs="宋体"/>
                <w:color w:val="auto"/>
                <w:spacing w:val="-6"/>
                <w:szCs w:val="21"/>
                <w:highlight w:val="none"/>
              </w:rPr>
            </w:pPr>
          </w:p>
        </w:tc>
        <w:tc>
          <w:tcPr>
            <w:tcW w:w="1243" w:type="pct"/>
            <w:tcBorders>
              <w:top w:val="single" w:color="auto" w:sz="4" w:space="0"/>
              <w:left w:val="single" w:color="auto" w:sz="4" w:space="0"/>
              <w:bottom w:val="single" w:color="auto" w:sz="4" w:space="0"/>
              <w:right w:val="single" w:color="auto" w:sz="4" w:space="0"/>
            </w:tcBorders>
            <w:vAlign w:val="center"/>
          </w:tcPr>
          <w:p w14:paraId="79C9C4AB">
            <w:pP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4C8ADDEA">
            <w:pPr>
              <w:ind w:firstLine="396" w:firstLineChars="200"/>
              <w:jc w:val="cente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06703559">
            <w:pPr>
              <w:ind w:firstLine="396" w:firstLineChars="200"/>
              <w:jc w:val="center"/>
              <w:rPr>
                <w:rFonts w:hint="eastAsia" w:ascii="宋体" w:hAnsi="宋体" w:eastAsia="宋体" w:cs="宋体"/>
                <w:color w:val="auto"/>
                <w:spacing w:val="-6"/>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14:paraId="19BB5AEC">
            <w:pPr>
              <w:ind w:firstLine="396" w:firstLineChars="200"/>
              <w:jc w:val="center"/>
              <w:rPr>
                <w:rFonts w:hint="eastAsia" w:ascii="宋体" w:hAnsi="宋体" w:eastAsia="宋体" w:cs="宋体"/>
                <w:color w:val="auto"/>
                <w:spacing w:val="-6"/>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439BBD11">
            <w:pPr>
              <w:ind w:firstLine="396" w:firstLineChars="200"/>
              <w:rPr>
                <w:rFonts w:hint="eastAsia" w:ascii="宋体" w:hAnsi="宋体" w:eastAsia="宋体" w:cs="宋体"/>
                <w:color w:val="auto"/>
                <w:spacing w:val="-6"/>
                <w:szCs w:val="21"/>
                <w:highlight w:val="none"/>
              </w:rPr>
            </w:pPr>
          </w:p>
        </w:tc>
      </w:tr>
      <w:tr w14:paraId="7044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463" w:type="pct"/>
            <w:gridSpan w:val="5"/>
            <w:tcBorders>
              <w:top w:val="single" w:color="auto" w:sz="4" w:space="0"/>
              <w:left w:val="single" w:color="auto" w:sz="4" w:space="0"/>
              <w:bottom w:val="single" w:color="auto" w:sz="4" w:space="0"/>
              <w:right w:val="single" w:color="auto" w:sz="4" w:space="0"/>
            </w:tcBorders>
            <w:vAlign w:val="center"/>
          </w:tcPr>
          <w:p w14:paraId="4AFBC53D">
            <w:pPr>
              <w:ind w:firstLine="396" w:firstLineChars="200"/>
              <w:jc w:val="center"/>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合  计</w:t>
            </w:r>
          </w:p>
        </w:tc>
        <w:tc>
          <w:tcPr>
            <w:tcW w:w="1537" w:type="pct"/>
            <w:gridSpan w:val="2"/>
            <w:tcBorders>
              <w:top w:val="single" w:color="auto" w:sz="4" w:space="0"/>
              <w:left w:val="single" w:color="auto" w:sz="4" w:space="0"/>
              <w:bottom w:val="single" w:color="auto" w:sz="4" w:space="0"/>
              <w:right w:val="single" w:color="auto" w:sz="4" w:space="0"/>
            </w:tcBorders>
            <w:vAlign w:val="center"/>
          </w:tcPr>
          <w:p w14:paraId="37CA8B07">
            <w:pPr>
              <w:ind w:firstLine="420" w:firstLineChars="200"/>
              <w:rPr>
                <w:rFonts w:hint="eastAsia" w:ascii="宋体" w:hAnsi="宋体" w:eastAsia="宋体" w:cs="宋体"/>
                <w:color w:val="auto"/>
                <w:szCs w:val="21"/>
                <w:highlight w:val="none"/>
              </w:rPr>
            </w:pPr>
          </w:p>
        </w:tc>
      </w:tr>
      <w:tr w14:paraId="2CEF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49" w:type="pct"/>
            <w:gridSpan w:val="2"/>
            <w:tcBorders>
              <w:top w:val="single" w:color="auto" w:sz="4" w:space="0"/>
              <w:left w:val="single" w:color="auto" w:sz="4" w:space="0"/>
              <w:bottom w:val="single" w:color="auto" w:sz="4" w:space="0"/>
              <w:right w:val="single" w:color="auto" w:sz="4" w:space="0"/>
            </w:tcBorders>
            <w:vAlign w:val="center"/>
          </w:tcPr>
          <w:p w14:paraId="0BDDE7AC">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合同总价（人民币）</w:t>
            </w:r>
          </w:p>
        </w:tc>
        <w:tc>
          <w:tcPr>
            <w:tcW w:w="3551" w:type="pct"/>
            <w:gridSpan w:val="5"/>
            <w:tcBorders>
              <w:top w:val="single" w:color="auto" w:sz="4" w:space="0"/>
              <w:left w:val="single" w:color="auto" w:sz="4" w:space="0"/>
              <w:bottom w:val="single" w:color="auto" w:sz="4" w:space="0"/>
              <w:right w:val="single" w:color="auto" w:sz="4" w:space="0"/>
            </w:tcBorders>
            <w:vAlign w:val="center"/>
          </w:tcPr>
          <w:p w14:paraId="5B0D6BDA">
            <w:pPr>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大写：                          小写：￥</w:t>
            </w:r>
            <w:r>
              <w:rPr>
                <w:rFonts w:hint="eastAsia" w:ascii="宋体" w:hAnsi="宋体" w:eastAsia="宋体" w:cs="宋体"/>
                <w:color w:val="auto"/>
                <w:szCs w:val="21"/>
                <w:highlight w:val="none"/>
                <w:u w:val="single"/>
              </w:rPr>
              <w:t xml:space="preserve">          </w:t>
            </w:r>
          </w:p>
        </w:tc>
      </w:tr>
    </w:tbl>
    <w:p w14:paraId="79BA7D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2、上表所称合同总价，包括货物的运费、保险费、税费等全部费用。合同约定需对货物进行检测、安装和调试的，总价包括检测、安装和调试费用，合同另有约定的，从约定。</w:t>
      </w:r>
    </w:p>
    <w:p w14:paraId="027F371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二、货物质量标准和要求</w:t>
      </w:r>
    </w:p>
    <w:p w14:paraId="65701B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1、乙方交付的货物，应当符合招标书规定的质量标准和国家规定的质量标准</w:t>
      </w:r>
    </w:p>
    <w:p w14:paraId="18DB20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2、乙方交付的货物应当是最新生产的原装合格产品，进口商品应当是经商检合格的原装产品。软件产品需由乙方提供原厂知识产权证书及授权书。</w:t>
      </w:r>
    </w:p>
    <w:p w14:paraId="296CE97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三、货物的品质和权利担保责任</w:t>
      </w:r>
    </w:p>
    <w:p w14:paraId="5245FC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1、乙方应担保向甲方提供的货物的品质符合合同的约定，并符合国家和行业标准。</w:t>
      </w:r>
    </w:p>
    <w:p w14:paraId="620064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2、乙方应担保向甲方提供的货物不侵犯第三人的知识产权，且货物上不存在抵押、查封等权利限制。</w:t>
      </w:r>
    </w:p>
    <w:p w14:paraId="442E5A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3、乙方提供的货物不符合前条约定的质量标准和要求，或者违反本条前项规定的，乙方应当予以更换，因此构成迟延交货的，乙方应承担迟延的违约责任。</w:t>
      </w:r>
    </w:p>
    <w:p w14:paraId="415D789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四、货物的交付及风险转移</w:t>
      </w:r>
    </w:p>
    <w:p w14:paraId="39E7C2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1、乙方的交货期限为：合同签订后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。乙方提前交货的，应当在三日前通知甲方，并征得甲方同意。</w:t>
      </w:r>
    </w:p>
    <w:p w14:paraId="0B189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2、乙方的交货方式依照下列第</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目规定：</w:t>
      </w:r>
    </w:p>
    <w:p w14:paraId="48CB39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（1）一次性交货；</w:t>
      </w:r>
    </w:p>
    <w:p w14:paraId="3776CF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（2）分批交货。各批交货时间分别为：</w:t>
      </w:r>
    </w:p>
    <w:p w14:paraId="640B54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1B3D0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A42D6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1A86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1A46F1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3、交货地点为：</w:t>
      </w:r>
      <w:r>
        <w:rPr>
          <w:rFonts w:hint="eastAsia" w:ascii="宋体" w:hAnsi="宋体" w:eastAsia="宋体" w:cs="宋体"/>
          <w:color w:val="auto"/>
          <w:szCs w:val="21"/>
          <w:highlight w:val="none"/>
          <w:u w:val="single"/>
        </w:rPr>
        <w:t xml:space="preserve">  浙江工商大学，甲方指定地点  。</w:t>
      </w:r>
    </w:p>
    <w:p w14:paraId="0C46E7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4、货物的风险自于约定的交货地点交付于甲方并经甲方初步验收合格之时起转移于甲方。</w:t>
      </w:r>
    </w:p>
    <w:p w14:paraId="173D354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五、货物设备的检验、安装调试和验收</w:t>
      </w:r>
    </w:p>
    <w:p w14:paraId="223118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1、乙方交货前，应按照招标文件规定的标准对货物进行检验，整理检验文件并列出清单，该文件和清单应随货交付甲方，作为甲方验收和使用的技术依据。</w:t>
      </w:r>
    </w:p>
    <w:p w14:paraId="50979C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2、乙方向甲方交付货物设备后，应当负责对该设备进行安装和调试，直至达到约定的质量技术标准和使用性能。</w:t>
      </w:r>
    </w:p>
    <w:p w14:paraId="635A47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3、甲方对乙方提供的货物，依据招标</w:t>
      </w:r>
      <w:r>
        <w:rPr>
          <w:rFonts w:hint="eastAsia" w:ascii="宋体" w:hAnsi="宋体" w:eastAsia="宋体" w:cs="宋体"/>
          <w:color w:val="auto"/>
          <w:szCs w:val="21"/>
          <w:highlight w:val="none"/>
        </w:rPr>
        <w:t>文件规定的技术要求和国家规定的质量标准进行验收。乙方交货后，甲方需在五个工作日内开始验收。货物设备需要安装的，在乙方送达约定地点，由甲方进行初步验收</w:t>
      </w:r>
      <w:r>
        <w:rPr>
          <w:rFonts w:hint="eastAsia" w:ascii="宋体" w:hAnsi="宋体" w:eastAsia="宋体" w:cs="宋体"/>
          <w:color w:val="auto"/>
          <w:szCs w:val="21"/>
          <w:highlight w:val="none"/>
        </w:rPr>
        <w:t>合格后，再行安装。安装调试应在不迟于甲方初步验收合格后</w:t>
      </w:r>
      <w:r>
        <w:rPr>
          <w:rFonts w:hint="eastAsia" w:ascii="宋体" w:hAnsi="宋体" w:eastAsia="宋体" w:cs="宋体"/>
          <w:color w:val="auto"/>
          <w:szCs w:val="21"/>
          <w:highlight w:val="none"/>
          <w:u w:val="single"/>
        </w:rPr>
        <w:t xml:space="preserve">    个工作日</w:t>
      </w:r>
      <w:r>
        <w:rPr>
          <w:rFonts w:hint="eastAsia" w:ascii="宋体" w:hAnsi="宋体" w:eastAsia="宋体" w:cs="宋体"/>
          <w:color w:val="auto"/>
          <w:szCs w:val="21"/>
          <w:highlight w:val="none"/>
        </w:rPr>
        <w:t>内完成。安装调试完成后，由甲方进行最终验收，并签署验收合格证明材料。</w:t>
      </w:r>
    </w:p>
    <w:p w14:paraId="1981D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4、甲方对乙方提供的货物的验收，并不能排除乙方依照第三条第3项应当对货物瑕疵承担的担保责任。</w:t>
      </w:r>
    </w:p>
    <w:p w14:paraId="24C00A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5、乙方在对货物设备进行安装调试的过程中，应为甲方培训使用操作人员。</w:t>
      </w:r>
    </w:p>
    <w:p w14:paraId="76508E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6、对技术复杂的货物，甲方可以请求国家认可的专业检测机构参与验收，并由其出具质量检测报告，检测费用由乙方承担。甲方根据其检测报告签署验收合格证明材料。</w:t>
      </w:r>
    </w:p>
    <w:p w14:paraId="0B84B0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7、在乙方安装调试期间，发生货物损害的，由乙方承担责任。因不可抗力原因造成损害的，由双方协商分担。</w:t>
      </w:r>
    </w:p>
    <w:p w14:paraId="7C7651D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六、转包或分包</w:t>
      </w:r>
    </w:p>
    <w:p w14:paraId="622F65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1、不允许转包。</w:t>
      </w:r>
    </w:p>
    <w:p w14:paraId="4F446E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2、允许分包部分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F52E8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3、如乙方将项目转包或将不允许分包部分就行了分包，甲方有权解除合同、没收履约保证金（如有），并要求乙方支付合同总价15.0%的违约金。</w:t>
      </w:r>
    </w:p>
    <w:p w14:paraId="7ABBB8C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七、技术资料及保密义务</w:t>
      </w:r>
    </w:p>
    <w:p w14:paraId="0EAD86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1、乙方应按招标文件规定的时间向甲方提供货物的有关技术资料。</w:t>
      </w:r>
    </w:p>
    <w:p w14:paraId="321B7F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2、未经甲方同意，乙方不得将甲方提供的与本合同履行有关的技术和商务资料向无关的第三人泄露。为履行合同必须向第三人提供时，应限于为履行合同所必须的范围。</w:t>
      </w:r>
    </w:p>
    <w:p w14:paraId="63F5AE0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八、质量保证及售后服务</w:t>
      </w:r>
    </w:p>
    <w:p w14:paraId="63222C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1、乙方交付的货物，自交付验收合格之日起</w:t>
      </w:r>
      <w:r>
        <w:rPr>
          <w:rFonts w:hint="eastAsia" w:ascii="宋体" w:hAnsi="宋体" w:eastAsia="宋体" w:cs="宋体"/>
          <w:color w:val="auto"/>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zCs w:val="21"/>
          <w:highlight w:val="none"/>
        </w:rPr>
        <w:t>年内为质量保证期。</w:t>
      </w:r>
    </w:p>
    <w:p w14:paraId="310ED1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2、在质量保证期内，货物发生故障或损坏的，乙方应至迟在接到通知之日起两个工作日内修复，以保证甲方的正常使用。</w:t>
      </w:r>
      <w:r>
        <w:rPr>
          <w:rFonts w:hint="eastAsia" w:ascii="宋体" w:hAnsi="宋体" w:eastAsia="宋体" w:cs="宋体"/>
          <w:color w:val="auto"/>
          <w:szCs w:val="21"/>
          <w:highlight w:val="none"/>
        </w:rPr>
        <w:t>乙方无法在上述期限内修复或者经两次修复后又出现故障的，甲方有权选择下列方式</w:t>
      </w:r>
      <w:r>
        <w:rPr>
          <w:rFonts w:hint="eastAsia" w:ascii="宋体" w:hAnsi="宋体" w:eastAsia="宋体" w:cs="宋体"/>
          <w:color w:val="auto"/>
          <w:szCs w:val="21"/>
          <w:highlight w:val="none"/>
        </w:rPr>
        <w:t>之一处理：</w:t>
      </w:r>
    </w:p>
    <w:p w14:paraId="208BB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（1）更换：由乙方承担所需费用；</w:t>
      </w:r>
    </w:p>
    <w:p w14:paraId="2A9564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（2）贬值处理：由甲乙双方协议确定价格；</w:t>
      </w:r>
    </w:p>
    <w:p w14:paraId="404CF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（3）退货：乙方应退还甲方已支付的价款，并承担退货所发生的费用和损失（包括运费、保险费、检验费、货款利息及银行手续费等）。</w:t>
      </w:r>
    </w:p>
    <w:p w14:paraId="62E02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3、在质保期内，乙方依照前项规定对货物进行修复的，不得另行请求甲方支付修理费或服务费等费用。但因甲方人为原因造成的货物损害，不在此限。</w:t>
      </w:r>
    </w:p>
    <w:p w14:paraId="4B7A0E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4、乙方交付的货物从验收合格之日起30日内发生无法排除的障碍时，由乙方整机调换。</w:t>
      </w:r>
    </w:p>
    <w:p w14:paraId="24994C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5、质保期届满后，乙方应当为货物提供维修服务，并可收取成本费。</w:t>
      </w:r>
    </w:p>
    <w:p w14:paraId="282B66C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rPr>
        <w:t>为担保乙方履行合同义务，乙方在合同签订成立7日内，应向甲方交付履约保证金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。（提交方式：支票、汇票、本票或者金融机构、担保机构出具的保函等非现金形式）。在没有发生质量索赔的情况下，履约保证金在验收合格后及时无息退还。</w:t>
      </w:r>
    </w:p>
    <w:p w14:paraId="24134E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乙方如因交付的货物存在质量瑕疵等，或者乙方存在其他违约情形，依法应承担违约金或赔偿责任时，按实际损失赔偿，并通知乙方。</w:t>
      </w:r>
    </w:p>
    <w:p w14:paraId="13AE5C5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九、货物包装及附件</w:t>
      </w:r>
    </w:p>
    <w:p w14:paraId="23198D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1、乙方应在货物发运前对其进行符合安全、卫生、效率要求的包装。</w:t>
      </w:r>
    </w:p>
    <w:p w14:paraId="2652CF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2、使用说明书、质量检验证书、保修卡、随配附件和工具及其清单，应当附于货物包装内。</w:t>
      </w:r>
    </w:p>
    <w:p w14:paraId="51E12AF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十、货款的支付</w:t>
      </w:r>
    </w:p>
    <w:p w14:paraId="4639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1、乙方提交银行、保险公司等金融机构出具的预付款保函（保函金额与预付款等额，保函有效期在验收合格日之后）；</w:t>
      </w:r>
    </w:p>
    <w:p w14:paraId="37CCC6E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2、合同生效并具备实施条件后7个工作日内，甲方向乙方支付合同总价</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bCs/>
          <w:color w:val="auto"/>
          <w:szCs w:val="21"/>
          <w:highlight w:val="none"/>
        </w:rPr>
        <w:t>的预付款。验收合格后，乙方凭验收合格证明材料、发票、履约保证金凭证（如有）到甲方结算，甲方在7个工作日内向乙方支付合同剩余款项。</w:t>
      </w:r>
    </w:p>
    <w:p w14:paraId="45F85D2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签订合同前，乙方主动要求降低预付款比例的，按实际比例计。乙方明确表示无需预付款的，采用下述付款方式：验收合格后，乙方凭验收合格证明材料、发票、履约保证金凭证（如有）到甲方结算，甲方在7个工作日内向乙方支付合同总价的100%货款。</w:t>
      </w:r>
    </w:p>
    <w:p w14:paraId="641B2A1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十一、违约责任</w:t>
      </w:r>
    </w:p>
    <w:p w14:paraId="012B7F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1、甲方迟延办理付款手续的，自迟延之日起，应每日向乙方计付迟延部分货款万分之五的违约金。</w:t>
      </w:r>
    </w:p>
    <w:p w14:paraId="7CBA45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甲方迟延验收货物的，亦同。因此造成乙方其他损害时，甲方应当承担赔偿责任。</w:t>
      </w:r>
    </w:p>
    <w:p w14:paraId="11195C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2、乙方迟延履行交货义务的，自迟延之日起，应每日向甲方计付迟延部分货款千分之一的违约金。</w:t>
      </w:r>
    </w:p>
    <w:p w14:paraId="14FEAA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迟延交货期间超过30日的，甲方有权解除合同，并请求乙方支付合同总价百分之五的违约金。该违约金不足以补偿因乙方的迟延造成的甲方损失的，甲方有权请求增加违约金数额。</w:t>
      </w:r>
    </w:p>
    <w:p w14:paraId="08D7A2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3、乙方因交付的货物质量有瑕疵，或安装调试中出现质量不符合约定的情形的，应当采取更换、重作等补救方法。因此而造成迟延的，应当按照前项规定承担违约责任。</w:t>
      </w:r>
    </w:p>
    <w:p w14:paraId="5374F1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4、乙方不履行售后服务义务的，甲方有权部分或全部解除合同，乙方应当返还已收取的价款，并支付退货部分货款百分之五的违约金。</w:t>
      </w:r>
    </w:p>
    <w:p w14:paraId="48600B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5、除本条规定的违约责任外，法律、法规、政府规章规定违约一方应当承担其他法律责任的，从其规定。</w:t>
      </w:r>
    </w:p>
    <w:p w14:paraId="279E046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十二、不可抗力</w:t>
      </w:r>
    </w:p>
    <w:p w14:paraId="741BBA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1、因不可抗力导致合同无法完全履行的，不承担违约责任。</w:t>
      </w:r>
    </w:p>
    <w:p w14:paraId="66C283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2、因不可抗力致使合同的履行成为不可能或不必要的，可以通知对方解除合同。因通知迟延造成对方不必要损失的，应当承担责任。</w:t>
      </w:r>
    </w:p>
    <w:p w14:paraId="4F4CEA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3、因不可抗力解除合同的，双方应依据公平合理原则，通过友好协商，确定损失的分担。</w:t>
      </w:r>
    </w:p>
    <w:p w14:paraId="54C3857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十三、争议的解决</w:t>
      </w:r>
    </w:p>
    <w:p w14:paraId="6BE34B57">
      <w:pPr>
        <w:spacing w:line="360" w:lineRule="auto"/>
        <w:ind w:firstLine="420" w:firstLineChars="200"/>
        <w:rPr>
          <w:rFonts w:hint="eastAsia" w:ascii="宋体" w:hAnsi="宋体" w:eastAsia="宋体" w:cs="宋体"/>
          <w:bCs/>
          <w:color w:val="auto"/>
          <w:szCs w:val="21"/>
          <w:highlight w:val="none"/>
          <w:lang w:val="zh-TW" w:eastAsia="zh-TW"/>
        </w:rPr>
      </w:pPr>
      <w:r>
        <w:rPr>
          <w:rFonts w:hint="eastAsia" w:ascii="宋体" w:hAnsi="宋体" w:eastAsia="宋体" w:cs="宋体"/>
          <w:bCs/>
          <w:color w:val="auto"/>
          <w:szCs w:val="21"/>
          <w:highlight w:val="none"/>
          <w:lang w:val="zh-TW" w:eastAsia="zh-TW"/>
        </w:rPr>
        <w:t>本合同履行过程中若发生服务质量、售后服务等问题时，甲方有权直接向乙方索赔。如双方不能就争议解决协商一致的，任何一方有权向杭州仲裁委员会申请仲裁解决</w:t>
      </w:r>
      <w:r>
        <w:rPr>
          <w:rFonts w:hint="eastAsia" w:ascii="宋体" w:hAnsi="宋体" w:eastAsia="宋体" w:cs="宋体"/>
          <w:bCs/>
          <w:color w:val="auto"/>
          <w:szCs w:val="21"/>
          <w:highlight w:val="none"/>
          <w:lang w:val="zh-TW"/>
        </w:rPr>
        <w:t>，仲裁为终局</w:t>
      </w:r>
      <w:r>
        <w:rPr>
          <w:rFonts w:hint="eastAsia" w:ascii="宋体" w:hAnsi="宋体" w:eastAsia="宋体" w:cs="宋体"/>
          <w:bCs/>
          <w:color w:val="auto"/>
          <w:szCs w:val="21"/>
          <w:highlight w:val="none"/>
          <w:lang w:val="zh-TW" w:eastAsia="zh-TW"/>
        </w:rPr>
        <w:t>。</w:t>
      </w:r>
    </w:p>
    <w:p w14:paraId="09CE3C2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十四、合同组成部分和生效要件</w:t>
      </w:r>
    </w:p>
    <w:p w14:paraId="47E634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1、合同经甲乙双方及鉴证方签字盖章后生效。</w:t>
      </w:r>
    </w:p>
    <w:p w14:paraId="658762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2、招标文件、投标文件、承诺书作为本合同的组成部分</w:t>
      </w:r>
      <w:r>
        <w:rPr>
          <w:rFonts w:hint="eastAsia" w:ascii="宋体" w:hAnsi="宋体" w:eastAsia="宋体" w:cs="宋体"/>
          <w:snapToGrid w:val="0"/>
          <w:color w:val="auto"/>
          <w:kern w:val="0"/>
          <w:szCs w:val="21"/>
          <w:highlight w:val="none"/>
        </w:rPr>
        <w:t>，与本合同</w:t>
      </w:r>
      <w:r>
        <w:rPr>
          <w:rFonts w:hint="eastAsia" w:ascii="宋体" w:hAnsi="宋体" w:eastAsia="宋体" w:cs="宋体"/>
          <w:color w:val="auto"/>
          <w:szCs w:val="21"/>
          <w:highlight w:val="none"/>
        </w:rPr>
        <w:t>具有同等法律效力。</w:t>
      </w:r>
    </w:p>
    <w:p w14:paraId="15DF41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30D37B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4、本合同一式六份，甲方执三份，乙方执二份，鉴证方执一份。</w:t>
      </w:r>
    </w:p>
    <w:p w14:paraId="3C3EE431">
      <w:pPr>
        <w:spacing w:line="360" w:lineRule="auto"/>
        <w:ind w:firstLine="480" w:firstLineChars="200"/>
        <w:rPr>
          <w:rFonts w:ascii="Times New Roman" w:hAnsi="Times New Roman" w:eastAsia="宋体" w:cs="Times New Roman"/>
          <w:color w:val="auto"/>
          <w:sz w:val="24"/>
          <w:szCs w:val="20"/>
          <w:highlight w:val="none"/>
        </w:rPr>
      </w:pPr>
    </w:p>
    <w:tbl>
      <w:tblPr>
        <w:tblStyle w:val="1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0"/>
        <w:gridCol w:w="4286"/>
      </w:tblGrid>
      <w:tr w14:paraId="07F7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53C5002B">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甲方（签章）：浙江工商大学</w:t>
            </w:r>
          </w:p>
        </w:tc>
        <w:tc>
          <w:tcPr>
            <w:tcW w:w="4286" w:type="dxa"/>
            <w:vAlign w:val="center"/>
          </w:tcPr>
          <w:p w14:paraId="47A45FB1">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乙方（签章）：</w:t>
            </w:r>
            <w:r>
              <w:rPr>
                <w:rFonts w:ascii="Times New Roman" w:hAnsi="Times New Roman" w:eastAsia="宋体" w:cs="Times New Roman"/>
                <w:bCs/>
                <w:color w:val="auto"/>
                <w:szCs w:val="21"/>
                <w:highlight w:val="none"/>
                <w:lang w:eastAsia="zh-TW"/>
              </w:rPr>
              <w:t xml:space="preserve"> </w:t>
            </w:r>
          </w:p>
        </w:tc>
      </w:tr>
      <w:tr w14:paraId="6F35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4AD79900">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住所地：杭州市钱塘区学正街18号</w:t>
            </w:r>
          </w:p>
        </w:tc>
        <w:tc>
          <w:tcPr>
            <w:tcW w:w="4286" w:type="dxa"/>
            <w:vAlign w:val="center"/>
          </w:tcPr>
          <w:p w14:paraId="4C157BA7">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住所地：</w:t>
            </w:r>
            <w:r>
              <w:rPr>
                <w:rFonts w:ascii="Times New Roman" w:hAnsi="Times New Roman" w:eastAsia="宋体" w:cs="Times New Roman"/>
                <w:bCs/>
                <w:color w:val="auto"/>
                <w:szCs w:val="21"/>
                <w:highlight w:val="none"/>
                <w:lang w:eastAsia="zh-TW"/>
              </w:rPr>
              <w:t xml:space="preserve"> </w:t>
            </w:r>
          </w:p>
        </w:tc>
      </w:tr>
      <w:tr w14:paraId="393C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73EF09FC">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开户行：工行杭州高新支行</w:t>
            </w:r>
          </w:p>
        </w:tc>
        <w:tc>
          <w:tcPr>
            <w:tcW w:w="4286" w:type="dxa"/>
            <w:vAlign w:val="center"/>
          </w:tcPr>
          <w:p w14:paraId="345EF079">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开户行：</w:t>
            </w:r>
          </w:p>
        </w:tc>
      </w:tr>
      <w:tr w14:paraId="362B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540D06EB">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开户帐号：1202026209008930682</w:t>
            </w:r>
          </w:p>
        </w:tc>
        <w:tc>
          <w:tcPr>
            <w:tcW w:w="4286" w:type="dxa"/>
            <w:vAlign w:val="center"/>
          </w:tcPr>
          <w:p w14:paraId="12CF4F8C">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开户帐号：</w:t>
            </w:r>
          </w:p>
        </w:tc>
      </w:tr>
      <w:tr w14:paraId="14AD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3B783870">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税号：123300004700090180</w:t>
            </w:r>
          </w:p>
        </w:tc>
        <w:tc>
          <w:tcPr>
            <w:tcW w:w="4286" w:type="dxa"/>
            <w:vAlign w:val="center"/>
          </w:tcPr>
          <w:p w14:paraId="0E19F3DC">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统一社会信用代码：</w:t>
            </w:r>
          </w:p>
        </w:tc>
      </w:tr>
      <w:tr w14:paraId="19D6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010" w:type="dxa"/>
            <w:vAlign w:val="center"/>
          </w:tcPr>
          <w:p w14:paraId="4D6E1B9A">
            <w:pPr>
              <w:tabs>
                <w:tab w:val="left" w:pos="1200"/>
              </w:tabs>
              <w:ind w:right="181"/>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法定（授权）代表人</w:t>
            </w:r>
          </w:p>
          <w:p w14:paraId="1425B632">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（签章）：</w:t>
            </w:r>
          </w:p>
        </w:tc>
        <w:tc>
          <w:tcPr>
            <w:tcW w:w="4286" w:type="dxa"/>
            <w:vAlign w:val="center"/>
          </w:tcPr>
          <w:p w14:paraId="05CB4813">
            <w:pPr>
              <w:tabs>
                <w:tab w:val="left" w:pos="1200"/>
              </w:tabs>
              <w:ind w:right="181"/>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法定（授权）代表人</w:t>
            </w:r>
          </w:p>
          <w:p w14:paraId="6298C54F">
            <w:pPr>
              <w:tabs>
                <w:tab w:val="left" w:pos="1200"/>
              </w:tabs>
              <w:ind w:right="181"/>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 xml:space="preserve">（签章）： </w:t>
            </w:r>
          </w:p>
        </w:tc>
      </w:tr>
      <w:tr w14:paraId="3E30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506E4553">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签署日期：      年    月    日</w:t>
            </w:r>
          </w:p>
        </w:tc>
        <w:tc>
          <w:tcPr>
            <w:tcW w:w="4286" w:type="dxa"/>
            <w:vAlign w:val="center"/>
          </w:tcPr>
          <w:p w14:paraId="31665752">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签署日期：      年    月    日</w:t>
            </w:r>
          </w:p>
        </w:tc>
      </w:tr>
      <w:tr w14:paraId="0A02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6E673FA9">
            <w:pPr>
              <w:tabs>
                <w:tab w:val="left" w:pos="1200"/>
              </w:tabs>
              <w:ind w:right="181"/>
              <w:rPr>
                <w:rFonts w:ascii="Times New Roman" w:hAnsi="Times New Roman" w:eastAsia="宋体" w:cs="Times New Roman"/>
                <w:bCs/>
                <w:color w:val="auto"/>
                <w:szCs w:val="21"/>
                <w:highlight w:val="none"/>
                <w:lang w:eastAsia="zh-TW"/>
              </w:rPr>
            </w:pPr>
          </w:p>
        </w:tc>
      </w:tr>
      <w:tr w14:paraId="3F04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0D779110">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 xml:space="preserve">鉴证方（签章）： </w:t>
            </w:r>
          </w:p>
        </w:tc>
      </w:tr>
      <w:tr w14:paraId="4FB6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3603ED60">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 xml:space="preserve">住所地： </w:t>
            </w:r>
          </w:p>
        </w:tc>
      </w:tr>
      <w:tr w14:paraId="5B0E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296" w:type="dxa"/>
            <w:gridSpan w:val="2"/>
            <w:vAlign w:val="center"/>
          </w:tcPr>
          <w:p w14:paraId="1D572972">
            <w:pPr>
              <w:tabs>
                <w:tab w:val="left" w:pos="1200"/>
              </w:tabs>
              <w:ind w:right="181"/>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法定（授权）代表人</w:t>
            </w:r>
          </w:p>
          <w:p w14:paraId="33DDB250">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（签章）：</w:t>
            </w:r>
          </w:p>
        </w:tc>
      </w:tr>
      <w:tr w14:paraId="4EDE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5399D070">
            <w:pPr>
              <w:tabs>
                <w:tab w:val="left" w:pos="1200"/>
              </w:tabs>
              <w:ind w:right="181"/>
              <w:rPr>
                <w:rFonts w:ascii="Times New Roman" w:hAnsi="Times New Roman" w:eastAsia="宋体" w:cs="Times New Roman"/>
                <w:bCs/>
                <w:color w:val="auto"/>
                <w:szCs w:val="21"/>
                <w:highlight w:val="none"/>
                <w:lang w:eastAsia="zh-TW"/>
              </w:rPr>
            </w:pPr>
            <w:r>
              <w:rPr>
                <w:rFonts w:ascii="Times New Roman" w:hAnsi="Times New Roman" w:eastAsia="宋体" w:cs="Times New Roman"/>
                <w:bCs/>
                <w:color w:val="auto"/>
                <w:szCs w:val="21"/>
                <w:highlight w:val="none"/>
              </w:rPr>
              <w:t>鉴证日期：      年   月    日</w:t>
            </w:r>
          </w:p>
        </w:tc>
      </w:tr>
    </w:tbl>
    <w:p w14:paraId="3ED7A49C">
      <w:pPr>
        <w:spacing w:after="160" w:line="278" w:lineRule="auto"/>
        <w:jc w:val="left"/>
        <w:rPr>
          <w:rFonts w:hint="eastAsia" w:ascii="等线" w:hAnsi="等线" w:eastAsia="等线" w:cs="Times New Roman"/>
          <w:color w:val="auto"/>
          <w:sz w:val="22"/>
          <w:szCs w:val="24"/>
          <w:highlight w:val="none"/>
          <w14:ligatures w14:val="standardContextual"/>
        </w:rPr>
      </w:pPr>
    </w:p>
    <w:p w14:paraId="3372E1DB">
      <w:pPr>
        <w:adjustRightInd w:val="0"/>
        <w:snapToGrid w:val="0"/>
        <w:spacing w:line="288" w:lineRule="auto"/>
        <w:ind w:firstLine="422" w:firstLineChars="200"/>
        <w:jc w:val="center"/>
        <w:rPr>
          <w:rFonts w:ascii="宋体" w:hAnsi="宋体" w:eastAsia="宋体" w:cs="宋体"/>
          <w:b/>
          <w:bCs/>
          <w:color w:val="auto"/>
          <w:szCs w:val="21"/>
          <w:highlight w:val="none"/>
          <w:lang w:val="zh-CN"/>
        </w:rPr>
      </w:pPr>
    </w:p>
    <w:p w14:paraId="49592717">
      <w:pPr>
        <w:adjustRightInd w:val="0"/>
        <w:snapToGrid w:val="0"/>
        <w:spacing w:line="288" w:lineRule="auto"/>
        <w:ind w:firstLine="420" w:firstLineChars="200"/>
        <w:jc w:val="center"/>
        <w:rPr>
          <w:rFonts w:ascii="宋体" w:hAnsi="宋体" w:eastAsia="宋体" w:cs="Times New Roman"/>
          <w:b/>
          <w:color w:val="auto"/>
          <w:sz w:val="32"/>
          <w:szCs w:val="32"/>
          <w:highlight w:val="none"/>
        </w:rPr>
      </w:pPr>
      <w:r>
        <w:rPr>
          <w:rFonts w:ascii="宋体" w:hAnsi="宋体" w:eastAsia="宋体" w:cs="宋体"/>
          <w:color w:val="auto"/>
          <w:szCs w:val="21"/>
          <w:highlight w:val="none"/>
          <w:lang w:val="zh-CN"/>
        </w:rPr>
        <w:br w:type="page"/>
      </w:r>
    </w:p>
    <w:p w14:paraId="5B0DE274">
      <w:pPr>
        <w:adjustRightInd w:val="0"/>
        <w:snapToGrid w:val="0"/>
        <w:spacing w:line="288" w:lineRule="auto"/>
        <w:jc w:val="center"/>
        <w:outlineLvl w:val="0"/>
        <w:rPr>
          <w:rFonts w:ascii="宋体" w:hAnsi="宋体" w:eastAsia="宋体" w:cs="Times New Roman"/>
          <w:color w:val="auto"/>
          <w:sz w:val="28"/>
          <w:szCs w:val="24"/>
          <w:highlight w:val="none"/>
        </w:rPr>
      </w:pPr>
      <w:r>
        <w:rPr>
          <w:rFonts w:ascii="宋体" w:hAnsi="宋体" w:eastAsia="宋体" w:cs="Times New Roman"/>
          <w:b/>
          <w:color w:val="auto"/>
          <w:sz w:val="32"/>
          <w:szCs w:val="32"/>
          <w:highlight w:val="none"/>
        </w:rPr>
        <w:t>第六章</w:t>
      </w:r>
      <w:r>
        <w:rPr>
          <w:rFonts w:hint="eastAsia" w:ascii="宋体" w:hAnsi="宋体" w:eastAsia="宋体" w:cs="Times New Roman"/>
          <w:b/>
          <w:color w:val="auto"/>
          <w:sz w:val="32"/>
          <w:szCs w:val="32"/>
          <w:highlight w:val="none"/>
        </w:rPr>
        <w:t xml:space="preserve">  </w:t>
      </w:r>
      <w:r>
        <w:rPr>
          <w:rFonts w:ascii="宋体" w:hAnsi="宋体" w:eastAsia="宋体" w:cs="Times New Roman"/>
          <w:b/>
          <w:color w:val="auto"/>
          <w:sz w:val="32"/>
          <w:szCs w:val="32"/>
          <w:highlight w:val="none"/>
        </w:rPr>
        <w:t>投标文件格式</w:t>
      </w:r>
    </w:p>
    <w:p w14:paraId="432179F2">
      <w:pPr>
        <w:adjustRightInd w:val="0"/>
        <w:snapToGrid w:val="0"/>
        <w:spacing w:line="288" w:lineRule="auto"/>
        <w:rPr>
          <w:rFonts w:ascii="宋体" w:hAnsi="宋体" w:eastAsia="宋体" w:cs="Times New Roman"/>
          <w:b/>
          <w:bCs/>
          <w:color w:val="auto"/>
          <w:spacing w:val="-6"/>
          <w:sz w:val="24"/>
          <w:szCs w:val="24"/>
          <w:highlight w:val="none"/>
        </w:rPr>
      </w:pPr>
    </w:p>
    <w:p w14:paraId="2D39263F">
      <w:pPr>
        <w:adjustRightInd w:val="0"/>
        <w:snapToGrid w:val="0"/>
        <w:spacing w:line="288" w:lineRule="auto"/>
        <w:jc w:val="center"/>
        <w:rPr>
          <w:rFonts w:ascii="宋体" w:hAnsi="宋体" w:eastAsia="宋体" w:cs="Times New Roman"/>
          <w:b/>
          <w:bCs/>
          <w:color w:val="auto"/>
          <w:spacing w:val="-6"/>
          <w:sz w:val="24"/>
          <w:szCs w:val="24"/>
          <w:highlight w:val="none"/>
        </w:rPr>
      </w:pPr>
      <w:r>
        <w:rPr>
          <w:rFonts w:hint="eastAsia" w:ascii="宋体" w:hAnsi="宋体" w:eastAsia="宋体" w:cs="Times New Roman"/>
          <w:b/>
          <w:bCs/>
          <w:color w:val="auto"/>
          <w:spacing w:val="-6"/>
          <w:sz w:val="24"/>
          <w:szCs w:val="24"/>
          <w:highlight w:val="none"/>
        </w:rPr>
        <w:t xml:space="preserve">目 </w:t>
      </w:r>
      <w:r>
        <w:rPr>
          <w:rFonts w:ascii="宋体" w:hAnsi="宋体" w:eastAsia="宋体" w:cs="Times New Roman"/>
          <w:b/>
          <w:bCs/>
          <w:color w:val="auto"/>
          <w:spacing w:val="-6"/>
          <w:sz w:val="24"/>
          <w:szCs w:val="24"/>
          <w:highlight w:val="none"/>
        </w:rPr>
        <w:t xml:space="preserve"> </w:t>
      </w:r>
      <w:r>
        <w:rPr>
          <w:rFonts w:hint="eastAsia" w:ascii="宋体" w:hAnsi="宋体" w:eastAsia="宋体" w:cs="Times New Roman"/>
          <w:b/>
          <w:bCs/>
          <w:color w:val="auto"/>
          <w:spacing w:val="-6"/>
          <w:sz w:val="24"/>
          <w:szCs w:val="24"/>
          <w:highlight w:val="none"/>
        </w:rPr>
        <w:t>录</w:t>
      </w:r>
    </w:p>
    <w:p w14:paraId="1B153B50">
      <w:pPr>
        <w:adjustRightInd w:val="0"/>
        <w:snapToGrid w:val="0"/>
        <w:spacing w:line="288" w:lineRule="auto"/>
        <w:rPr>
          <w:rFonts w:ascii="宋体" w:hAnsi="宋体" w:eastAsia="宋体" w:cs="Times New Roman"/>
          <w:b/>
          <w:bCs/>
          <w:color w:val="auto"/>
          <w:spacing w:val="-6"/>
          <w:sz w:val="24"/>
          <w:szCs w:val="24"/>
          <w:highlight w:val="none"/>
        </w:rPr>
      </w:pPr>
    </w:p>
    <w:p w14:paraId="693965F8">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w:t>
      </w:r>
      <w:r>
        <w:rPr>
          <w:rFonts w:ascii="宋体" w:hAnsi="宋体" w:eastAsia="宋体" w:cs="Times New Roman"/>
          <w:b/>
          <w:bCs/>
          <w:color w:val="auto"/>
          <w:spacing w:val="-6"/>
          <w:szCs w:val="21"/>
          <w:highlight w:val="none"/>
        </w:rPr>
        <w:t>1</w:t>
      </w:r>
      <w:r>
        <w:rPr>
          <w:rFonts w:hint="eastAsia" w:ascii="宋体" w:hAnsi="宋体" w:eastAsia="宋体" w:cs="Times New Roman"/>
          <w:b/>
          <w:bCs/>
          <w:color w:val="auto"/>
          <w:spacing w:val="-6"/>
          <w:szCs w:val="21"/>
          <w:highlight w:val="none"/>
        </w:rPr>
        <w:t>.资格文件（单独上传）。</w:t>
      </w:r>
      <w:r>
        <w:rPr>
          <w:rFonts w:hint="eastAsia" w:ascii="宋体" w:hAnsi="宋体" w:eastAsia="宋体" w:cs="宋体"/>
          <w:b/>
          <w:bCs/>
          <w:color w:val="auto"/>
          <w:szCs w:val="21"/>
          <w:highlight w:val="none"/>
        </w:rPr>
        <w:t>资格审查要求的资格证明材料（均需加盖公章）</w:t>
      </w:r>
    </w:p>
    <w:p w14:paraId="3F271F06">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（1）有效的法人或者其他组织的营业执照等证明文件，自然人的身份证明</w:t>
      </w:r>
    </w:p>
    <w:p w14:paraId="5ADDFB26">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2）符合参加政府采购活动应当具备的一般条件的承诺函</w:t>
      </w:r>
    </w:p>
    <w:p w14:paraId="10F8D612">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3）落实政府采购政策需满足的资格要求：无</w:t>
      </w:r>
    </w:p>
    <w:p w14:paraId="35392E48">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4）</w:t>
      </w:r>
      <w:r>
        <w:rPr>
          <w:rFonts w:hint="eastAsia" w:ascii="宋体" w:hAnsi="宋体" w:eastAsia="宋体" w:cs="宋体"/>
          <w:bCs/>
          <w:color w:val="auto"/>
          <w:spacing w:val="-6"/>
          <w:szCs w:val="21"/>
          <w:highlight w:val="none"/>
        </w:rPr>
        <w:t>本项目的特定资格要求证明材料：无</w:t>
      </w:r>
    </w:p>
    <w:p w14:paraId="6DB14D68">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（5）</w:t>
      </w:r>
      <w:r>
        <w:rPr>
          <w:rFonts w:hint="eastAsia" w:ascii="宋体" w:hAnsi="宋体" w:eastAsia="宋体" w:cs="宋体"/>
          <w:bCs/>
          <w:color w:val="auto"/>
          <w:spacing w:val="-6"/>
          <w:szCs w:val="21"/>
          <w:highlight w:val="none"/>
          <w:lang w:val="zh-CN"/>
        </w:rPr>
        <w:t>联合协议</w:t>
      </w:r>
      <w:r>
        <w:rPr>
          <w:rFonts w:hint="eastAsia" w:ascii="宋体" w:hAnsi="宋体" w:eastAsia="宋体" w:cs="宋体"/>
          <w:bCs/>
          <w:color w:val="auto"/>
          <w:spacing w:val="-6"/>
          <w:szCs w:val="21"/>
          <w:highlight w:val="none"/>
        </w:rPr>
        <w:t>（以联合体形式投标的，提供联合协议；本项目不接受联合体投标或者投标人不以联合体形式投标的，则不需要提供）</w:t>
      </w:r>
    </w:p>
    <w:p w14:paraId="45F37309">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▲联合体投标的，联合体各方均应提供资格文件（</w:t>
      </w:r>
      <w:r>
        <w:rPr>
          <w:rFonts w:ascii="宋体" w:hAnsi="宋体" w:eastAsia="宋体" w:cs="宋体"/>
          <w:bCs/>
          <w:color w:val="auto"/>
          <w:spacing w:val="-6"/>
          <w:szCs w:val="21"/>
          <w:highlight w:val="none"/>
        </w:rPr>
        <w:t>1）</w:t>
      </w: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w:t>
      </w:r>
      <w:r>
        <w:rPr>
          <w:rFonts w:hint="eastAsia" w:ascii="宋体" w:hAnsi="宋体" w:eastAsia="宋体" w:cs="宋体"/>
          <w:bCs/>
          <w:color w:val="auto"/>
          <w:spacing w:val="-6"/>
          <w:szCs w:val="21"/>
          <w:highlight w:val="none"/>
        </w:rPr>
        <w:t>材料</w:t>
      </w:r>
      <w:r>
        <w:rPr>
          <w:rFonts w:ascii="宋体" w:hAnsi="宋体" w:eastAsia="宋体" w:cs="宋体"/>
          <w:bCs/>
          <w:color w:val="auto"/>
          <w:spacing w:val="-6"/>
          <w:szCs w:val="21"/>
          <w:highlight w:val="none"/>
        </w:rPr>
        <w:t>。</w:t>
      </w:r>
    </w:p>
    <w:p w14:paraId="258EBAC1">
      <w:pPr>
        <w:adjustRightInd w:val="0"/>
        <w:snapToGrid w:val="0"/>
        <w:spacing w:line="288" w:lineRule="auto"/>
        <w:jc w:val="left"/>
        <w:rPr>
          <w:rFonts w:ascii="宋体" w:hAnsi="宋体" w:eastAsia="宋体" w:cs="宋体"/>
          <w:b/>
          <w:color w:val="auto"/>
          <w:spacing w:val="-6"/>
          <w:szCs w:val="21"/>
          <w:highlight w:val="none"/>
        </w:rPr>
      </w:pPr>
    </w:p>
    <w:p w14:paraId="338CB46C">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ascii="宋体" w:hAnsi="宋体" w:eastAsia="宋体" w:cs="Times New Roman"/>
          <w:b/>
          <w:color w:val="auto"/>
          <w:spacing w:val="-6"/>
          <w:szCs w:val="21"/>
          <w:highlight w:val="none"/>
        </w:rPr>
        <w:t>2</w:t>
      </w:r>
      <w:r>
        <w:rPr>
          <w:rFonts w:hint="eastAsia" w:ascii="宋体" w:hAnsi="宋体" w:eastAsia="宋体" w:cs="Times New Roman"/>
          <w:b/>
          <w:color w:val="auto"/>
          <w:spacing w:val="-6"/>
          <w:szCs w:val="21"/>
          <w:highlight w:val="none"/>
        </w:rPr>
        <w:t>.商务和</w:t>
      </w:r>
      <w:r>
        <w:rPr>
          <w:rFonts w:hint="eastAsia" w:ascii="宋体" w:hAnsi="宋体" w:eastAsia="宋体" w:cs="Times New Roman"/>
          <w:b/>
          <w:bCs/>
          <w:color w:val="auto"/>
          <w:spacing w:val="-6"/>
          <w:szCs w:val="21"/>
          <w:highlight w:val="none"/>
        </w:rPr>
        <w:t>技术文件（单独上传）</w:t>
      </w:r>
    </w:p>
    <w:p w14:paraId="33B3DEA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（1）投标函</w:t>
      </w:r>
    </w:p>
    <w:p w14:paraId="16724235">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2）授权委托书</w:t>
      </w:r>
      <w:r>
        <w:rPr>
          <w:rFonts w:hint="eastAsia" w:ascii="宋体" w:hAnsi="宋体" w:eastAsia="宋体" w:cs="Times New Roman"/>
          <w:color w:val="auto"/>
          <w:spacing w:val="-6"/>
          <w:szCs w:val="21"/>
          <w:highlight w:val="none"/>
        </w:rPr>
        <w:t>/法定代表人（单位负责人、自然人本人）身份证明</w:t>
      </w:r>
    </w:p>
    <w:p w14:paraId="3862A49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附：授权代表社保缴纳证明（</w:t>
      </w:r>
      <w:r>
        <w:rPr>
          <w:rFonts w:hint="eastAsia" w:ascii="宋体" w:hAnsi="宋体" w:eastAsia="宋体" w:cs="Times New Roman"/>
          <w:color w:val="auto"/>
          <w:spacing w:val="-6"/>
          <w:szCs w:val="21"/>
          <w:highlight w:val="none"/>
        </w:rPr>
        <w:t>2024年6月（含）</w:t>
      </w:r>
      <w:r>
        <w:rPr>
          <w:rFonts w:ascii="宋体" w:hAnsi="宋体" w:eastAsia="宋体" w:cs="Times New Roman"/>
          <w:color w:val="auto"/>
          <w:spacing w:val="-6"/>
          <w:szCs w:val="21"/>
          <w:highlight w:val="none"/>
        </w:rPr>
        <w:t>以后任意一月）</w:t>
      </w:r>
    </w:p>
    <w:p w14:paraId="3B507385">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）投标人同类合同一览表</w:t>
      </w:r>
    </w:p>
    <w:p w14:paraId="186C802C">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4</w:t>
      </w:r>
      <w:r>
        <w:rPr>
          <w:rFonts w:hint="eastAsia" w:ascii="宋体" w:hAnsi="宋体" w:eastAsia="宋体" w:cs="宋体"/>
          <w:color w:val="auto"/>
          <w:spacing w:val="-6"/>
          <w:szCs w:val="21"/>
          <w:highlight w:val="none"/>
        </w:rPr>
        <w:t>）采购需求偏离表</w:t>
      </w:r>
    </w:p>
    <w:p w14:paraId="157DDD12">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5</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标的配置清单</w:t>
      </w:r>
    </w:p>
    <w:p w14:paraId="1896C126">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6</w:t>
      </w:r>
      <w:r>
        <w:rPr>
          <w:rFonts w:hint="eastAsia" w:ascii="宋体" w:hAnsi="宋体" w:eastAsia="宋体" w:cs="宋体"/>
          <w:color w:val="auto"/>
          <w:spacing w:val="-6"/>
          <w:szCs w:val="21"/>
          <w:highlight w:val="none"/>
        </w:rPr>
        <w:t>）技术方案</w:t>
      </w:r>
    </w:p>
    <w:p w14:paraId="6A7C9ED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）节能、环保产品证明材料</w:t>
      </w:r>
    </w:p>
    <w:p w14:paraId="49E6048E">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）投标人需要说明的其他文件和材料。</w:t>
      </w:r>
    </w:p>
    <w:p w14:paraId="2EEFBD4F">
      <w:pPr>
        <w:adjustRightInd w:val="0"/>
        <w:snapToGrid w:val="0"/>
        <w:spacing w:line="288" w:lineRule="auto"/>
        <w:jc w:val="left"/>
        <w:rPr>
          <w:rFonts w:ascii="宋体" w:hAnsi="宋体" w:eastAsia="宋体" w:cs="Times New Roman"/>
          <w:b/>
          <w:color w:val="auto"/>
          <w:spacing w:val="-6"/>
          <w:szCs w:val="21"/>
          <w:highlight w:val="none"/>
        </w:rPr>
      </w:pPr>
    </w:p>
    <w:p w14:paraId="4BF70312">
      <w:pP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3.</w:t>
      </w:r>
      <w:r>
        <w:rPr>
          <w:rFonts w:hint="eastAsia" w:ascii="宋体" w:hAnsi="宋体" w:eastAsia="宋体" w:cs="Times New Roman"/>
          <w:b/>
          <w:color w:val="auto"/>
          <w:spacing w:val="-6"/>
          <w:szCs w:val="21"/>
          <w:highlight w:val="none"/>
        </w:rPr>
        <w:t>报价文件</w:t>
      </w:r>
      <w:r>
        <w:rPr>
          <w:rFonts w:hint="eastAsia" w:ascii="宋体" w:hAnsi="宋体" w:eastAsia="宋体" w:cs="Times New Roman"/>
          <w:b/>
          <w:bCs/>
          <w:color w:val="auto"/>
          <w:spacing w:val="-6"/>
          <w:szCs w:val="21"/>
          <w:highlight w:val="none"/>
        </w:rPr>
        <w:t>（单独上传）</w:t>
      </w:r>
    </w:p>
    <w:p w14:paraId="28760C00">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（1）开标一览表</w:t>
      </w:r>
    </w:p>
    <w:p w14:paraId="1864C2E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）中小企业声明函</w:t>
      </w:r>
      <w:bookmarkStart w:id="56" w:name="_Hlk81815656"/>
      <w:r>
        <w:rPr>
          <w:rFonts w:hint="eastAsia" w:ascii="宋体" w:hAnsi="宋体" w:eastAsia="宋体" w:cs="Times New Roman"/>
          <w:color w:val="auto"/>
          <w:spacing w:val="-6"/>
          <w:szCs w:val="21"/>
          <w:highlight w:val="none"/>
        </w:rPr>
        <w:t>（若属于中小企业）</w:t>
      </w:r>
      <w:bookmarkEnd w:id="56"/>
    </w:p>
    <w:p w14:paraId="00CF2383">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）属于监狱企业的证明文件</w:t>
      </w:r>
      <w:bookmarkStart w:id="57" w:name="_Hlk81815359"/>
      <w:r>
        <w:rPr>
          <w:rFonts w:hint="eastAsia" w:ascii="宋体" w:hAnsi="宋体" w:eastAsia="宋体" w:cs="Times New Roman"/>
          <w:color w:val="auto"/>
          <w:spacing w:val="-6"/>
          <w:szCs w:val="21"/>
          <w:highlight w:val="none"/>
        </w:rPr>
        <w:t>（若属于监狱企业）</w:t>
      </w:r>
      <w:bookmarkEnd w:id="57"/>
    </w:p>
    <w:p w14:paraId="367979E4">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4</w:t>
      </w:r>
      <w:r>
        <w:rPr>
          <w:rFonts w:hint="eastAsia" w:ascii="宋体" w:hAnsi="宋体" w:eastAsia="宋体" w:cs="Times New Roman"/>
          <w:color w:val="auto"/>
          <w:spacing w:val="-6"/>
          <w:szCs w:val="21"/>
          <w:highlight w:val="none"/>
        </w:rPr>
        <w:t>）</w:t>
      </w:r>
      <w:bookmarkStart w:id="58" w:name="OLE_LINK13"/>
      <w:bookmarkStart w:id="59" w:name="OLE_LINK14"/>
      <w:r>
        <w:rPr>
          <w:rFonts w:hint="eastAsia" w:ascii="宋体" w:hAnsi="宋体" w:eastAsia="宋体" w:cs="Times New Roman"/>
          <w:color w:val="auto"/>
          <w:spacing w:val="-6"/>
          <w:szCs w:val="21"/>
          <w:highlight w:val="none"/>
        </w:rPr>
        <w:t>残疾人福利性单位声明函</w:t>
      </w:r>
      <w:bookmarkEnd w:id="58"/>
      <w:bookmarkEnd w:id="59"/>
      <w:bookmarkStart w:id="60" w:name="_Hlk81815372"/>
      <w:r>
        <w:rPr>
          <w:rFonts w:hint="eastAsia" w:ascii="宋体" w:hAnsi="宋体" w:eastAsia="宋体" w:cs="Times New Roman"/>
          <w:color w:val="auto"/>
          <w:spacing w:val="-6"/>
          <w:szCs w:val="21"/>
          <w:highlight w:val="none"/>
        </w:rPr>
        <w:t>（若属于残疾人福利性单位）</w:t>
      </w:r>
      <w:bookmarkEnd w:id="60"/>
    </w:p>
    <w:p w14:paraId="508882B5">
      <w:pPr>
        <w:widowControl/>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02BDE54C">
      <w:pPr>
        <w:tabs>
          <w:tab w:val="center" w:pos="4706"/>
        </w:tabs>
        <w:adjustRightInd w:val="0"/>
        <w:snapToGrid w:val="0"/>
        <w:spacing w:line="288" w:lineRule="auto"/>
        <w:jc w:val="center"/>
        <w:outlineLvl w:val="2"/>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59A3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8CC2881">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序号</w:t>
            </w:r>
          </w:p>
        </w:tc>
        <w:tc>
          <w:tcPr>
            <w:tcW w:w="2091" w:type="dxa"/>
            <w:vAlign w:val="center"/>
          </w:tcPr>
          <w:p w14:paraId="3A179977">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评审因素</w:t>
            </w:r>
          </w:p>
        </w:tc>
        <w:tc>
          <w:tcPr>
            <w:tcW w:w="709" w:type="dxa"/>
            <w:vAlign w:val="center"/>
          </w:tcPr>
          <w:p w14:paraId="2C1531A5">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分值</w:t>
            </w:r>
          </w:p>
        </w:tc>
        <w:tc>
          <w:tcPr>
            <w:tcW w:w="3040" w:type="dxa"/>
            <w:vAlign w:val="center"/>
          </w:tcPr>
          <w:p w14:paraId="2E2B1D01">
            <w:pPr>
              <w:tabs>
                <w:tab w:val="left" w:pos="1418"/>
              </w:tabs>
              <w:adjustRightInd w:val="0"/>
              <w:snapToGrid w:val="0"/>
              <w:spacing w:line="288" w:lineRule="auto"/>
              <w:ind w:firstLine="398"/>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评分标准</w:t>
            </w:r>
          </w:p>
        </w:tc>
        <w:tc>
          <w:tcPr>
            <w:tcW w:w="967" w:type="dxa"/>
            <w:vAlign w:val="center"/>
          </w:tcPr>
          <w:p w14:paraId="17426859">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自评分</w:t>
            </w:r>
          </w:p>
        </w:tc>
        <w:tc>
          <w:tcPr>
            <w:tcW w:w="1053" w:type="dxa"/>
            <w:vAlign w:val="center"/>
          </w:tcPr>
          <w:p w14:paraId="0A1BF03D">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自评依据</w:t>
            </w:r>
          </w:p>
        </w:tc>
        <w:tc>
          <w:tcPr>
            <w:tcW w:w="881" w:type="dxa"/>
            <w:vAlign w:val="center"/>
          </w:tcPr>
          <w:p w14:paraId="347DFBFF">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页码</w:t>
            </w:r>
          </w:p>
        </w:tc>
      </w:tr>
      <w:tr w14:paraId="1BF2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27FD71ED">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商务分</w:t>
            </w:r>
          </w:p>
        </w:tc>
      </w:tr>
      <w:tr w14:paraId="07FE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5EF762D">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69B2FF6B">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7593322C">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16D4F52D">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0564D3E7">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56594C3E">
            <w:pP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3AB866D2">
            <w:pPr>
              <w:adjustRightInd w:val="0"/>
              <w:snapToGrid w:val="0"/>
              <w:spacing w:line="288" w:lineRule="auto"/>
              <w:jc w:val="center"/>
              <w:rPr>
                <w:rFonts w:ascii="宋体" w:hAnsi="宋体" w:eastAsia="宋体" w:cs="Times New Roman"/>
                <w:color w:val="auto"/>
                <w:spacing w:val="-6"/>
                <w:szCs w:val="21"/>
                <w:highlight w:val="none"/>
              </w:rPr>
            </w:pPr>
          </w:p>
        </w:tc>
      </w:tr>
      <w:tr w14:paraId="260A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1AB6147">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6A90ED10">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1AA4495A">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751E0101">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72EE89FA">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4AA19E38">
            <w:pP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225447F0">
            <w:pPr>
              <w:adjustRightInd w:val="0"/>
              <w:snapToGrid w:val="0"/>
              <w:spacing w:line="288" w:lineRule="auto"/>
              <w:jc w:val="center"/>
              <w:rPr>
                <w:rFonts w:ascii="宋体" w:hAnsi="宋体" w:eastAsia="宋体" w:cs="Times New Roman"/>
                <w:color w:val="auto"/>
                <w:spacing w:val="-6"/>
                <w:szCs w:val="21"/>
                <w:highlight w:val="none"/>
              </w:rPr>
            </w:pPr>
          </w:p>
        </w:tc>
      </w:tr>
      <w:tr w14:paraId="596B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BA04208">
            <w:pPr>
              <w:adjustRightInd w:val="0"/>
              <w:snapToGrid w:val="0"/>
              <w:spacing w:line="288" w:lineRule="auto"/>
              <w:jc w:val="center"/>
              <w:rPr>
                <w:rFonts w:ascii="宋体" w:hAnsi="宋体" w:eastAsia="宋体" w:cs="Times New Roman"/>
                <w:color w:val="auto"/>
                <w:kern w:val="0"/>
                <w:szCs w:val="21"/>
                <w:highlight w:val="none"/>
              </w:rPr>
            </w:pPr>
          </w:p>
        </w:tc>
        <w:tc>
          <w:tcPr>
            <w:tcW w:w="2091" w:type="dxa"/>
            <w:vAlign w:val="center"/>
          </w:tcPr>
          <w:p w14:paraId="07EA3311">
            <w:pPr>
              <w:adjustRightInd w:val="0"/>
              <w:snapToGrid w:val="0"/>
              <w:spacing w:line="288" w:lineRule="auto"/>
              <w:jc w:val="center"/>
              <w:rPr>
                <w:rFonts w:ascii="宋体" w:hAnsi="宋体" w:eastAsia="宋体" w:cs="Times New Roman"/>
                <w:color w:val="auto"/>
                <w:kern w:val="0"/>
                <w:szCs w:val="21"/>
                <w:highlight w:val="none"/>
              </w:rPr>
            </w:pPr>
          </w:p>
        </w:tc>
        <w:tc>
          <w:tcPr>
            <w:tcW w:w="709" w:type="dxa"/>
            <w:vAlign w:val="center"/>
          </w:tcPr>
          <w:p w14:paraId="3224EE05">
            <w:pPr>
              <w:adjustRightInd w:val="0"/>
              <w:snapToGrid w:val="0"/>
              <w:spacing w:line="288" w:lineRule="auto"/>
              <w:jc w:val="center"/>
              <w:rPr>
                <w:rFonts w:ascii="宋体" w:hAnsi="宋体" w:eastAsia="宋体" w:cs="Times New Roman"/>
                <w:color w:val="auto"/>
                <w:kern w:val="0"/>
                <w:szCs w:val="21"/>
                <w:highlight w:val="none"/>
              </w:rPr>
            </w:pPr>
          </w:p>
        </w:tc>
        <w:tc>
          <w:tcPr>
            <w:tcW w:w="3040" w:type="dxa"/>
            <w:vAlign w:val="center"/>
          </w:tcPr>
          <w:p w14:paraId="5F1C9753">
            <w:pPr>
              <w:adjustRightInd w:val="0"/>
              <w:snapToGrid w:val="0"/>
              <w:spacing w:line="288" w:lineRule="auto"/>
              <w:rPr>
                <w:rFonts w:ascii="宋体" w:hAnsi="宋体" w:eastAsia="宋体" w:cs="Times New Roman"/>
                <w:color w:val="auto"/>
                <w:kern w:val="0"/>
                <w:szCs w:val="21"/>
                <w:highlight w:val="none"/>
              </w:rPr>
            </w:pPr>
          </w:p>
        </w:tc>
        <w:tc>
          <w:tcPr>
            <w:tcW w:w="967" w:type="dxa"/>
            <w:vAlign w:val="center"/>
          </w:tcPr>
          <w:p w14:paraId="63019052">
            <w:pPr>
              <w:adjustRightInd w:val="0"/>
              <w:snapToGrid w:val="0"/>
              <w:spacing w:line="288" w:lineRule="auto"/>
              <w:jc w:val="center"/>
              <w:rPr>
                <w:rFonts w:ascii="宋体" w:hAnsi="宋体" w:eastAsia="宋体" w:cs="Times New Roman"/>
                <w:color w:val="auto"/>
                <w:szCs w:val="21"/>
                <w:highlight w:val="none"/>
              </w:rPr>
            </w:pPr>
          </w:p>
        </w:tc>
        <w:tc>
          <w:tcPr>
            <w:tcW w:w="1053" w:type="dxa"/>
            <w:vAlign w:val="center"/>
          </w:tcPr>
          <w:p w14:paraId="1984B2C2">
            <w:pPr>
              <w:adjustRightInd w:val="0"/>
              <w:snapToGrid w:val="0"/>
              <w:spacing w:line="288" w:lineRule="auto"/>
              <w:jc w:val="center"/>
              <w:rPr>
                <w:rFonts w:ascii="宋体" w:hAnsi="宋体" w:eastAsia="宋体" w:cs="Times New Roman"/>
                <w:color w:val="auto"/>
                <w:szCs w:val="21"/>
                <w:highlight w:val="none"/>
              </w:rPr>
            </w:pPr>
          </w:p>
        </w:tc>
        <w:tc>
          <w:tcPr>
            <w:tcW w:w="881" w:type="dxa"/>
          </w:tcPr>
          <w:p w14:paraId="3155B1E5">
            <w:pPr>
              <w:adjustRightInd w:val="0"/>
              <w:snapToGrid w:val="0"/>
              <w:spacing w:line="288" w:lineRule="auto"/>
              <w:jc w:val="center"/>
              <w:rPr>
                <w:rFonts w:ascii="宋体" w:hAnsi="宋体" w:eastAsia="宋体" w:cs="Times New Roman"/>
                <w:color w:val="auto"/>
                <w:szCs w:val="21"/>
                <w:highlight w:val="none"/>
              </w:rPr>
            </w:pPr>
          </w:p>
        </w:tc>
      </w:tr>
      <w:tr w14:paraId="031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8AC7A03">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36FFF59A">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403AF5E2">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6E599B6C">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282B748D">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24103C17">
            <w:pP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5DFA3E95">
            <w:pPr>
              <w:adjustRightInd w:val="0"/>
              <w:snapToGrid w:val="0"/>
              <w:spacing w:line="288" w:lineRule="auto"/>
              <w:jc w:val="center"/>
              <w:rPr>
                <w:rFonts w:ascii="宋体" w:hAnsi="宋体" w:eastAsia="宋体" w:cs="Times New Roman"/>
                <w:color w:val="auto"/>
                <w:spacing w:val="-6"/>
                <w:szCs w:val="21"/>
                <w:highlight w:val="none"/>
              </w:rPr>
            </w:pPr>
          </w:p>
        </w:tc>
      </w:tr>
      <w:tr w14:paraId="58AC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75E4FEA">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55487856">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7C2FE2D6">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134BFDF2">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6AC66D39">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781ED50D">
            <w:pP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52BF31DF">
            <w:pPr>
              <w:adjustRightInd w:val="0"/>
              <w:snapToGrid w:val="0"/>
              <w:spacing w:line="288" w:lineRule="auto"/>
              <w:jc w:val="center"/>
              <w:rPr>
                <w:rFonts w:ascii="宋体" w:hAnsi="宋体" w:eastAsia="宋体" w:cs="Times New Roman"/>
                <w:color w:val="auto"/>
                <w:spacing w:val="-6"/>
                <w:szCs w:val="21"/>
                <w:highlight w:val="none"/>
              </w:rPr>
            </w:pPr>
          </w:p>
        </w:tc>
      </w:tr>
      <w:tr w14:paraId="3A16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8656267">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2E22F44B">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4C6A24AE">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6916DDA1">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6896101A">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0548EFEA">
            <w:pP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30BEDA68">
            <w:pPr>
              <w:adjustRightInd w:val="0"/>
              <w:snapToGrid w:val="0"/>
              <w:spacing w:line="288" w:lineRule="auto"/>
              <w:jc w:val="center"/>
              <w:rPr>
                <w:rFonts w:ascii="宋体" w:hAnsi="宋体" w:eastAsia="宋体" w:cs="Times New Roman"/>
                <w:color w:val="auto"/>
                <w:spacing w:val="-6"/>
                <w:szCs w:val="21"/>
                <w:highlight w:val="none"/>
              </w:rPr>
            </w:pPr>
          </w:p>
        </w:tc>
      </w:tr>
      <w:tr w14:paraId="7273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12906D68">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技术</w:t>
            </w:r>
            <w:r>
              <w:rPr>
                <w:rFonts w:ascii="宋体" w:hAnsi="宋体" w:eastAsia="宋体" w:cs="Times New Roman"/>
                <w:b/>
                <w:color w:val="auto"/>
                <w:spacing w:val="-6"/>
                <w:szCs w:val="21"/>
                <w:highlight w:val="none"/>
              </w:rPr>
              <w:t>分</w:t>
            </w:r>
          </w:p>
        </w:tc>
      </w:tr>
      <w:tr w14:paraId="2892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D363147">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109E4040">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7FCFAA5E">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4D64A5D7">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3E7B115E">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5051A75A">
            <w:pP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041AAB7B">
            <w:pPr>
              <w:adjustRightInd w:val="0"/>
              <w:snapToGrid w:val="0"/>
              <w:spacing w:line="288" w:lineRule="auto"/>
              <w:jc w:val="center"/>
              <w:rPr>
                <w:rFonts w:ascii="宋体" w:hAnsi="宋体" w:eastAsia="宋体" w:cs="Times New Roman"/>
                <w:color w:val="auto"/>
                <w:spacing w:val="-6"/>
                <w:szCs w:val="21"/>
                <w:highlight w:val="none"/>
              </w:rPr>
            </w:pPr>
          </w:p>
        </w:tc>
      </w:tr>
      <w:tr w14:paraId="67C3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8E15963">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3CDCD77B">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674DB78D">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26B160C7">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5430B144">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5B7C9F9A">
            <w:pP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5E00324B">
            <w:pPr>
              <w:adjustRightInd w:val="0"/>
              <w:snapToGrid w:val="0"/>
              <w:spacing w:line="288" w:lineRule="auto"/>
              <w:jc w:val="center"/>
              <w:rPr>
                <w:rFonts w:ascii="宋体" w:hAnsi="宋体" w:eastAsia="宋体" w:cs="Times New Roman"/>
                <w:color w:val="auto"/>
                <w:spacing w:val="-6"/>
                <w:szCs w:val="21"/>
                <w:highlight w:val="none"/>
              </w:rPr>
            </w:pPr>
          </w:p>
        </w:tc>
      </w:tr>
      <w:tr w14:paraId="5C6C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1" w:type="dxa"/>
            <w:vAlign w:val="center"/>
          </w:tcPr>
          <w:p w14:paraId="3421AD14">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172D9F55">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701A15D5">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5EE769C6">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645A4928">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4518E9BC">
            <w:pP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1B2C8C24">
            <w:pPr>
              <w:adjustRightInd w:val="0"/>
              <w:snapToGrid w:val="0"/>
              <w:spacing w:line="288" w:lineRule="auto"/>
              <w:jc w:val="center"/>
              <w:rPr>
                <w:rFonts w:ascii="宋体" w:hAnsi="宋体" w:eastAsia="宋体" w:cs="Times New Roman"/>
                <w:color w:val="auto"/>
                <w:spacing w:val="-6"/>
                <w:szCs w:val="21"/>
                <w:highlight w:val="none"/>
              </w:rPr>
            </w:pPr>
          </w:p>
        </w:tc>
      </w:tr>
      <w:tr w14:paraId="3442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53F315C">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536ED616">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6B5787F3">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23E530C7">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592593B4">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52833E3">
            <w:pP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42CE8F77">
            <w:pPr>
              <w:adjustRightInd w:val="0"/>
              <w:snapToGrid w:val="0"/>
              <w:spacing w:line="288" w:lineRule="auto"/>
              <w:jc w:val="center"/>
              <w:rPr>
                <w:rFonts w:ascii="宋体" w:hAnsi="宋体" w:eastAsia="宋体" w:cs="Times New Roman"/>
                <w:color w:val="auto"/>
                <w:spacing w:val="-6"/>
                <w:szCs w:val="21"/>
                <w:highlight w:val="none"/>
              </w:rPr>
            </w:pPr>
          </w:p>
        </w:tc>
      </w:tr>
      <w:tr w14:paraId="2B0E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1" w:type="dxa"/>
            <w:vAlign w:val="center"/>
          </w:tcPr>
          <w:p w14:paraId="473734AB">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52F14065">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39F19218">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7AA83CB2">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1C4E907E">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01FD589D">
            <w:pPr>
              <w:adjustRightInd w:val="0"/>
              <w:snapToGrid w:val="0"/>
              <w:spacing w:line="288" w:lineRule="auto"/>
              <w:jc w:val="center"/>
              <w:rPr>
                <w:rFonts w:ascii="宋体" w:hAnsi="宋体" w:eastAsia="宋体" w:cs="Times New Roman"/>
                <w:color w:val="auto"/>
                <w:spacing w:val="-6"/>
                <w:szCs w:val="21"/>
                <w:highlight w:val="none"/>
              </w:rPr>
            </w:pPr>
          </w:p>
        </w:tc>
        <w:tc>
          <w:tcPr>
            <w:tcW w:w="881" w:type="dxa"/>
          </w:tcPr>
          <w:p w14:paraId="2F03C3B2">
            <w:pPr>
              <w:adjustRightInd w:val="0"/>
              <w:snapToGrid w:val="0"/>
              <w:spacing w:line="288" w:lineRule="auto"/>
              <w:jc w:val="center"/>
              <w:rPr>
                <w:rFonts w:ascii="宋体" w:hAnsi="宋体" w:eastAsia="宋体" w:cs="Times New Roman"/>
                <w:color w:val="auto"/>
                <w:spacing w:val="-6"/>
                <w:szCs w:val="21"/>
                <w:highlight w:val="none"/>
              </w:rPr>
            </w:pPr>
          </w:p>
        </w:tc>
      </w:tr>
    </w:tbl>
    <w:p w14:paraId="6ADA311E">
      <w:pPr>
        <w:adjustRightInd w:val="0"/>
        <w:snapToGrid w:val="0"/>
        <w:spacing w:line="288" w:lineRule="auto"/>
        <w:rPr>
          <w:rFonts w:ascii="宋体" w:hAnsi="宋体" w:eastAsia="宋体" w:cs="Times New Roman"/>
          <w:color w:val="auto"/>
          <w:spacing w:val="-6"/>
          <w:szCs w:val="21"/>
          <w:highlight w:val="none"/>
        </w:rPr>
      </w:pPr>
    </w:p>
    <w:p w14:paraId="3A4DF624">
      <w:pPr>
        <w:widowControl/>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备注：本表仅为方便评标委员会评审使用，不作为判别投标文件是否有效的依据。</w:t>
      </w:r>
    </w:p>
    <w:p w14:paraId="5C7B434B">
      <w:pPr>
        <w:widowControl/>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039E2AC2">
      <w:pPr>
        <w:adjustRightInd w:val="0"/>
        <w:snapToGrid w:val="0"/>
        <w:spacing w:line="288" w:lineRule="auto"/>
        <w:jc w:val="center"/>
        <w:outlineLvl w:val="1"/>
        <w:rPr>
          <w:rFonts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资格文件</w:t>
      </w:r>
    </w:p>
    <w:p w14:paraId="70255CBD">
      <w:pPr>
        <w:adjustRightInd w:val="0"/>
        <w:snapToGrid w:val="0"/>
        <w:spacing w:line="288" w:lineRule="auto"/>
        <w:jc w:val="center"/>
        <w:rPr>
          <w:rFonts w:ascii="宋体" w:hAnsi="宋体" w:eastAsia="宋体" w:cs="宋体"/>
          <w:b/>
          <w:bCs/>
          <w:color w:val="auto"/>
          <w:sz w:val="24"/>
          <w:szCs w:val="24"/>
          <w:highlight w:val="none"/>
        </w:rPr>
      </w:pPr>
    </w:p>
    <w:p w14:paraId="0F0506B0">
      <w:pPr>
        <w:adjustRightInd w:val="0"/>
        <w:snapToGrid w:val="0"/>
        <w:spacing w:line="288" w:lineRule="auto"/>
        <w:jc w:val="center"/>
        <w:rPr>
          <w:rFonts w:ascii="宋体" w:hAnsi="宋体" w:eastAsia="宋体" w:cs="宋体"/>
          <w:b/>
          <w:bCs/>
          <w:color w:val="auto"/>
          <w:sz w:val="24"/>
          <w:szCs w:val="24"/>
          <w:highlight w:val="none"/>
        </w:rPr>
      </w:pPr>
    </w:p>
    <w:p w14:paraId="7DD5E739">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资格审查要求的资格证明材料（均需加盖公章）</w:t>
      </w:r>
    </w:p>
    <w:p w14:paraId="6BB4DD2F">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5CCE162B">
      <w:pPr>
        <w:adjustRightInd w:val="0"/>
        <w:snapToGrid w:val="0"/>
        <w:spacing w:line="288" w:lineRule="auto"/>
        <w:rPr>
          <w:rFonts w:ascii="宋体" w:hAnsi="宋体" w:eastAsia="宋体" w:cs="宋体"/>
          <w:b/>
          <w:color w:val="auto"/>
          <w:spacing w:val="-6"/>
          <w:szCs w:val="21"/>
          <w:highlight w:val="none"/>
        </w:rPr>
      </w:pPr>
    </w:p>
    <w:p w14:paraId="5673BB8C">
      <w:pPr>
        <w:adjustRightInd w:val="0"/>
        <w:snapToGrid w:val="0"/>
        <w:spacing w:line="288" w:lineRule="auto"/>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）有效的法人或者其他组织的营业执照等证明文件，自然人的身份证明</w:t>
      </w:r>
      <w:r>
        <w:rPr>
          <w:rFonts w:hint="eastAsia" w:ascii="宋体" w:hAnsi="宋体" w:eastAsia="宋体" w:cs="Times New Roman"/>
          <w:b/>
          <w:color w:val="auto"/>
          <w:spacing w:val="-6"/>
          <w:szCs w:val="21"/>
          <w:highlight w:val="none"/>
        </w:rPr>
        <w:t>（扫描件）</w:t>
      </w:r>
    </w:p>
    <w:p w14:paraId="0AD928A5">
      <w:pPr>
        <w:adjustRightInd w:val="0"/>
        <w:snapToGrid w:val="0"/>
        <w:spacing w:line="288" w:lineRule="auto"/>
        <w:rPr>
          <w:rFonts w:ascii="宋体" w:hAnsi="宋体" w:eastAsia="宋体" w:cs="Times New Roman"/>
          <w:bCs/>
          <w:color w:val="auto"/>
          <w:spacing w:val="-6"/>
          <w:szCs w:val="21"/>
          <w:highlight w:val="none"/>
        </w:rPr>
      </w:pPr>
    </w:p>
    <w:p w14:paraId="73179F84">
      <w:pPr>
        <w:adjustRightInd w:val="0"/>
        <w:snapToGrid w:val="0"/>
        <w:spacing w:line="288" w:lineRule="auto"/>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说明</w:t>
      </w:r>
      <w:r>
        <w:rPr>
          <w:rFonts w:ascii="宋体" w:hAnsi="宋体" w:eastAsia="宋体" w:cs="Times New Roman"/>
          <w:bCs/>
          <w:color w:val="auto"/>
          <w:spacing w:val="-6"/>
          <w:szCs w:val="21"/>
          <w:highlight w:val="none"/>
        </w:rPr>
        <w:t>：</w:t>
      </w:r>
    </w:p>
    <w:p w14:paraId="2D05106D">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1</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如投标人是企业（包括合伙企业），提供在工商部门注册的有效“企业法人营业执照”或“营业执照”；</w:t>
      </w:r>
    </w:p>
    <w:p w14:paraId="6F90DA95">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2</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如投标人是事业单位，提供有效的“事业单位法人证书”；</w:t>
      </w:r>
    </w:p>
    <w:p w14:paraId="7E7D1C5B">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3</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如投标人是非企业专业服务机构的，提供执业许可证等证明文件；</w:t>
      </w:r>
    </w:p>
    <w:p w14:paraId="6D2CC0DF">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4</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如投标人是个体工商户，提供有效的“个体工商户营业执照”；</w:t>
      </w:r>
    </w:p>
    <w:p w14:paraId="3A2EC533">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5</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如投标人是自然人，提供有效的自然人身份证明。</w:t>
      </w:r>
    </w:p>
    <w:p w14:paraId="140D7262">
      <w:pPr>
        <w:adjustRightInd w:val="0"/>
        <w:snapToGrid w:val="0"/>
        <w:spacing w:line="288" w:lineRule="auto"/>
        <w:jc w:val="center"/>
        <w:outlineLvl w:val="2"/>
        <w:rPr>
          <w:rFonts w:ascii="宋体" w:hAnsi="宋体" w:eastAsia="宋体" w:cs="宋体"/>
          <w:b/>
          <w:color w:val="auto"/>
          <w:spacing w:val="-6"/>
          <w:szCs w:val="21"/>
          <w:highlight w:val="none"/>
        </w:rPr>
      </w:pPr>
      <w:r>
        <w:rPr>
          <w:rFonts w:ascii="宋体" w:hAnsi="宋体" w:eastAsia="宋体" w:cs="Times New Roman"/>
          <w:bCs/>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2）符合参加政府采购活动应当具备的一般条件的承诺函</w:t>
      </w:r>
    </w:p>
    <w:p w14:paraId="0DE2E5DA">
      <w:pPr>
        <w:adjustRightInd w:val="0"/>
        <w:snapToGrid w:val="0"/>
        <w:spacing w:line="288" w:lineRule="auto"/>
        <w:rPr>
          <w:rFonts w:ascii="宋体" w:hAnsi="宋体" w:eastAsia="宋体" w:cs="Times New Roman"/>
          <w:b/>
          <w:bCs/>
          <w:color w:val="auto"/>
          <w:spacing w:val="-6"/>
          <w:szCs w:val="21"/>
          <w:highlight w:val="none"/>
        </w:rPr>
      </w:pPr>
    </w:p>
    <w:p w14:paraId="071F29DB">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w:t>
      </w:r>
      <w:r>
        <w:rPr>
          <w:rFonts w:hint="eastAsia" w:ascii="宋体" w:hAnsi="宋体" w:eastAsia="宋体" w:cs="Times New Roman"/>
          <w:b/>
          <w:bCs/>
          <w:color w:val="auto"/>
          <w:spacing w:val="-6"/>
          <w:szCs w:val="21"/>
          <w:highlight w:val="none"/>
          <w:lang w:eastAsia="zh-CN"/>
        </w:rPr>
        <w:t>浙江工商大学</w:t>
      </w:r>
      <w:r>
        <w:rPr>
          <w:rFonts w:hint="eastAsia" w:ascii="宋体" w:hAnsi="宋体" w:eastAsia="宋体" w:cs="Times New Roman"/>
          <w:b/>
          <w:bCs/>
          <w:color w:val="auto"/>
          <w:spacing w:val="-6"/>
          <w:szCs w:val="21"/>
          <w:highlight w:val="none"/>
        </w:rPr>
        <w:t>、浙江求是招标代理有限公司</w:t>
      </w:r>
    </w:p>
    <w:p w14:paraId="4B8CABF9">
      <w:pPr>
        <w:adjustRightInd w:val="0"/>
        <w:snapToGrid w:val="0"/>
        <w:spacing w:line="288" w:lineRule="auto"/>
        <w:ind w:firstLine="396" w:firstLineChars="200"/>
        <w:rPr>
          <w:rFonts w:ascii="宋体" w:hAnsi="宋体" w:eastAsia="宋体" w:cs="Times New Roman"/>
          <w:color w:val="auto"/>
          <w:spacing w:val="-6"/>
          <w:szCs w:val="21"/>
          <w:highlight w:val="none"/>
        </w:rPr>
      </w:pPr>
    </w:p>
    <w:p w14:paraId="6E2215B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w:t>
      </w:r>
      <w:r>
        <w:rPr>
          <w:rFonts w:hint="eastAsia" w:ascii="宋体" w:hAnsi="宋体" w:eastAsia="宋体" w:cs="Times New Roman"/>
          <w:color w:val="auto"/>
          <w:spacing w:val="-6"/>
          <w:szCs w:val="21"/>
          <w:highlight w:val="none"/>
          <w:u w:val="single"/>
        </w:rPr>
        <w:t xml:space="preserve">（投标人名称）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参加</w:t>
      </w:r>
      <w:r>
        <w:rPr>
          <w:rFonts w:hint="eastAsia" w:ascii="宋体" w:hAnsi="宋体" w:eastAsia="宋体" w:cs="Times New Roman"/>
          <w:color w:val="auto"/>
          <w:spacing w:val="-6"/>
          <w:szCs w:val="21"/>
          <w:highlight w:val="none"/>
          <w:u w:val="single"/>
        </w:rPr>
        <w:t xml:space="preserve">（项目名称）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项目的采购活动并承诺如下：</w:t>
      </w:r>
    </w:p>
    <w:p w14:paraId="1B1B7AE1">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一、我方满足《中华人民共和国政府采购法》第二十二条规定：</w:t>
      </w:r>
    </w:p>
    <w:p w14:paraId="5DF0C6F2">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（一）具有独立承担民事责任的能力；</w:t>
      </w:r>
    </w:p>
    <w:p w14:paraId="3CF4AF68">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（二）具有良好的商业信誉和健全的财务会计制度；</w:t>
      </w:r>
    </w:p>
    <w:p w14:paraId="0B688CD3">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（三）具有履行合同所必需的设备和专业技术能力；</w:t>
      </w:r>
    </w:p>
    <w:p w14:paraId="3F803615">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（四）有依法缴纳税收和社会保障资金的良好记录；</w:t>
      </w:r>
    </w:p>
    <w:p w14:paraId="63C1ECE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（五）参加本项目政府采购活动前三年内，在经营活动中</w:t>
      </w:r>
      <w:r>
        <w:rPr>
          <w:rFonts w:hint="eastAsia" w:ascii="宋体" w:hAnsi="宋体" w:eastAsia="宋体" w:cs="Times New Roman"/>
          <w:b/>
          <w:color w:val="auto"/>
          <w:spacing w:val="-6"/>
          <w:szCs w:val="21"/>
          <w:highlight w:val="none"/>
          <w:u w:val="single"/>
        </w:rPr>
        <w:t xml:space="preserve">  没有  </w:t>
      </w:r>
      <w:r>
        <w:rPr>
          <w:rFonts w:hint="eastAsia" w:ascii="宋体" w:hAnsi="宋体" w:eastAsia="宋体" w:cs="Times New Roman"/>
          <w:color w:val="auto"/>
          <w:spacing w:val="-6"/>
          <w:szCs w:val="21"/>
          <w:highlight w:val="none"/>
        </w:rPr>
        <w:t>重大违法记录。（重大违法记录是指投标人因违法经营受到刑事处罚或者责令停产停业、吊销许可证或者执照、较大数额罚款等行政处罚）</w:t>
      </w:r>
    </w:p>
    <w:p w14:paraId="068C35D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（六）法律、行政法规规定的其他条件。</w:t>
      </w:r>
    </w:p>
    <w:p w14:paraId="40C9EFDB">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二、未被信用中国（www.creditchina.gov.cn）</w:t>
      </w:r>
      <w:r>
        <w:rPr>
          <w:rFonts w:ascii="宋体" w:hAnsi="宋体" w:eastAsia="宋体" w:cs="Times New Roman"/>
          <w:color w:val="auto"/>
          <w:spacing w:val="-6"/>
          <w:szCs w:val="21"/>
          <w:highlight w:val="none"/>
        </w:rPr>
        <w:t>、中国政府采购网（www.ccgp.gov.cn）列入失信被执行人、重大税收违法案件当事人名单、政府采购严重违法失信行为记录名单。</w:t>
      </w:r>
    </w:p>
    <w:p w14:paraId="2A8D1286">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三、不存在以下情况：</w:t>
      </w:r>
    </w:p>
    <w:p w14:paraId="468CA8FC">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单位负责人为同一人或者存在直接控股、管理关系的不同供应商参加同一合同项下的政府采购活动的；</w:t>
      </w:r>
    </w:p>
    <w:p w14:paraId="71E22401">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为采购项目提供整体设计、规范编制或者项目管理、监理、检测等服务后再参加该采购项目的其他采购活动的。</w:t>
      </w:r>
    </w:p>
    <w:p w14:paraId="6188B989">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w:t>
      </w:r>
      <w:r>
        <w:rPr>
          <w:rFonts w:ascii="宋体" w:hAnsi="宋体" w:eastAsia="宋体" w:cs="Times New Roman"/>
          <w:color w:val="auto"/>
          <w:spacing w:val="-6"/>
          <w:szCs w:val="21"/>
          <w:highlight w:val="none"/>
        </w:rPr>
        <w:t>以上事项如有虚假或隐瞒，我方愿意承担一切后果和责任。</w:t>
      </w:r>
    </w:p>
    <w:p w14:paraId="015CDC2E">
      <w:pPr>
        <w:adjustRightInd w:val="0"/>
        <w:snapToGrid w:val="0"/>
        <w:spacing w:line="288" w:lineRule="auto"/>
        <w:rPr>
          <w:rFonts w:ascii="宋体" w:hAnsi="宋体" w:eastAsia="宋体" w:cs="Times New Roman"/>
          <w:color w:val="auto"/>
          <w:szCs w:val="21"/>
          <w:highlight w:val="none"/>
        </w:rPr>
      </w:pPr>
    </w:p>
    <w:p w14:paraId="589A950C">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D1257C9">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38A28CB4">
      <w:pPr>
        <w:widowControl/>
        <w:adjustRightInd w:val="0"/>
        <w:snapToGrid w:val="0"/>
        <w:spacing w:line="288" w:lineRule="auto"/>
        <w:jc w:val="left"/>
        <w:rPr>
          <w:rFonts w:ascii="宋体" w:hAnsi="宋体" w:eastAsia="宋体" w:cs="宋体"/>
          <w:b/>
          <w:color w:val="auto"/>
          <w:spacing w:val="-6"/>
          <w:szCs w:val="21"/>
          <w:highlight w:val="none"/>
        </w:rPr>
      </w:pPr>
    </w:p>
    <w:p w14:paraId="3170F9AF">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77986050">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3）落实政府采购政策需满足的资格要求：无</w:t>
      </w:r>
    </w:p>
    <w:p w14:paraId="2BB3C870">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）本项目的特定资格要求证明材料：无</w:t>
      </w:r>
    </w:p>
    <w:p w14:paraId="2B1D2F67">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（5）</w:t>
      </w:r>
      <w:r>
        <w:rPr>
          <w:rFonts w:hint="eastAsia" w:ascii="宋体" w:hAnsi="宋体" w:eastAsia="宋体" w:cs="宋体"/>
          <w:b/>
          <w:color w:val="auto"/>
          <w:spacing w:val="-6"/>
          <w:szCs w:val="21"/>
          <w:highlight w:val="none"/>
          <w:lang w:val="zh-CN"/>
        </w:rPr>
        <w:t>联合协议</w:t>
      </w:r>
      <w:r>
        <w:rPr>
          <w:rFonts w:hint="eastAsia" w:ascii="宋体" w:hAnsi="宋体" w:eastAsia="宋体" w:cs="宋体"/>
          <w:b/>
          <w:color w:val="auto"/>
          <w:spacing w:val="-6"/>
          <w:szCs w:val="21"/>
          <w:highlight w:val="none"/>
        </w:rPr>
        <w:t>（以联合体形式投标的，提供联合协议；本项目不接受联合体投标或者投标人不以联合体形式投标的，则不需要提供）</w:t>
      </w:r>
    </w:p>
    <w:p w14:paraId="509F8199">
      <w:pPr>
        <w:adjustRightInd w:val="0"/>
        <w:snapToGrid w:val="0"/>
        <w:spacing w:line="288" w:lineRule="auto"/>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575C248A">
      <w:pPr>
        <w:overflowPunct w:val="0"/>
        <w:adjustRightInd w:val="0"/>
        <w:snapToGrid w:val="0"/>
        <w:spacing w:line="288" w:lineRule="auto"/>
        <w:jc w:val="center"/>
        <w:outlineLvl w:val="1"/>
        <w:rPr>
          <w:rFonts w:ascii="宋体" w:hAnsi="宋体" w:eastAsia="宋体" w:cs="Times New Roman"/>
          <w:bCs/>
          <w:color w:val="auto"/>
          <w:spacing w:val="-6"/>
          <w:sz w:val="84"/>
          <w:szCs w:val="84"/>
          <w:highlight w:val="none"/>
        </w:rPr>
      </w:pPr>
      <w:r>
        <w:rPr>
          <w:rFonts w:hint="eastAsia" w:ascii="宋体" w:hAnsi="宋体" w:eastAsia="宋体" w:cs="Times New Roman"/>
          <w:b/>
          <w:color w:val="auto"/>
          <w:spacing w:val="-6"/>
          <w:sz w:val="84"/>
          <w:szCs w:val="84"/>
          <w:highlight w:val="none"/>
        </w:rPr>
        <w:t>商务和技术文件</w:t>
      </w:r>
    </w:p>
    <w:p w14:paraId="69A177D5">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3EA73940">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（1）投标函</w:t>
      </w:r>
    </w:p>
    <w:p w14:paraId="42E45897">
      <w:pPr>
        <w:adjustRightInd w:val="0"/>
        <w:snapToGrid w:val="0"/>
        <w:spacing w:line="288" w:lineRule="auto"/>
        <w:rPr>
          <w:rFonts w:ascii="宋体" w:hAnsi="宋体" w:eastAsia="宋体" w:cs="Times New Roman"/>
          <w:color w:val="auto"/>
          <w:spacing w:val="-6"/>
          <w:szCs w:val="21"/>
          <w:highlight w:val="none"/>
        </w:rPr>
      </w:pPr>
    </w:p>
    <w:p w14:paraId="2E27A224">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w:t>
      </w:r>
      <w:r>
        <w:rPr>
          <w:rFonts w:hint="eastAsia" w:ascii="宋体" w:hAnsi="宋体" w:eastAsia="宋体" w:cs="Times New Roman"/>
          <w:b/>
          <w:bCs/>
          <w:color w:val="auto"/>
          <w:spacing w:val="-6"/>
          <w:szCs w:val="21"/>
          <w:highlight w:val="none"/>
          <w:lang w:eastAsia="zh-CN"/>
        </w:rPr>
        <w:t>浙江工商大学</w:t>
      </w:r>
      <w:r>
        <w:rPr>
          <w:rFonts w:hint="eastAsia" w:ascii="宋体" w:hAnsi="宋体" w:eastAsia="宋体" w:cs="Times New Roman"/>
          <w:b/>
          <w:bCs/>
          <w:color w:val="auto"/>
          <w:spacing w:val="-6"/>
          <w:szCs w:val="21"/>
          <w:highlight w:val="none"/>
        </w:rPr>
        <w:t>、浙江求是招标代理有限公司</w:t>
      </w:r>
    </w:p>
    <w:p w14:paraId="47EA0F35">
      <w:pPr>
        <w:adjustRightInd w:val="0"/>
        <w:snapToGrid w:val="0"/>
        <w:spacing w:line="288" w:lineRule="auto"/>
        <w:ind w:firstLine="396" w:firstLineChars="200"/>
        <w:rPr>
          <w:rFonts w:ascii="宋体" w:hAnsi="宋体" w:eastAsia="宋体" w:cs="Times New Roman"/>
          <w:color w:val="auto"/>
          <w:spacing w:val="-6"/>
          <w:szCs w:val="21"/>
          <w:highlight w:val="none"/>
        </w:rPr>
      </w:pPr>
    </w:p>
    <w:p w14:paraId="5632E3CB">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我方参加</w:t>
      </w:r>
      <w:r>
        <w:rPr>
          <w:rFonts w:hint="eastAsia" w:ascii="宋体" w:hAnsi="宋体" w:eastAsia="宋体" w:cs="Times New Roman"/>
          <w:bCs/>
          <w:color w:val="auto"/>
          <w:spacing w:val="-6"/>
          <w:szCs w:val="21"/>
          <w:highlight w:val="none"/>
          <w:u w:val="single"/>
          <w:lang w:eastAsia="zh-CN"/>
        </w:rPr>
        <w:t>浙江工商大学未来营养健康与共同富裕计算设备更新-共同富裕计算设备（第一批）</w:t>
      </w:r>
      <w:r>
        <w:rPr>
          <w:rFonts w:hint="eastAsia" w:ascii="宋体" w:hAnsi="宋体" w:eastAsia="宋体" w:cs="Times New Roman"/>
          <w:color w:val="auto"/>
          <w:spacing w:val="-6"/>
          <w:szCs w:val="21"/>
          <w:highlight w:val="none"/>
          <w:u w:val="single"/>
        </w:rPr>
        <w:t>（项目编号</w:t>
      </w:r>
      <w:r>
        <w:rPr>
          <w:rFonts w:hint="eastAsia" w:ascii="宋体" w:hAnsi="宋体" w:eastAsia="宋体" w:cs="Times New Roman"/>
          <w:bCs/>
          <w:color w:val="auto"/>
          <w:spacing w:val="-6"/>
          <w:szCs w:val="21"/>
          <w:highlight w:val="none"/>
          <w:u w:val="single"/>
        </w:rPr>
        <w:t>：</w:t>
      </w:r>
      <w:r>
        <w:rPr>
          <w:rFonts w:hint="eastAsia" w:ascii="宋体" w:hAnsi="宋体" w:eastAsia="宋体" w:cs="Times New Roman"/>
          <w:bCs/>
          <w:color w:val="auto"/>
          <w:spacing w:val="-6"/>
          <w:szCs w:val="21"/>
          <w:highlight w:val="none"/>
          <w:u w:val="single"/>
          <w:lang w:eastAsia="zh-CN"/>
        </w:rPr>
        <w:t>QSZB-Z(H)-C24374(GK)L</w:t>
      </w:r>
      <w:r>
        <w:rPr>
          <w:rFonts w:hint="eastAsia" w:ascii="宋体" w:hAnsi="宋体" w:eastAsia="宋体" w:cs="Times New Roman"/>
          <w:color w:val="auto"/>
          <w:spacing w:val="-6"/>
          <w:szCs w:val="21"/>
          <w:highlight w:val="none"/>
          <w:u w:val="single"/>
        </w:rPr>
        <w:t>）</w:t>
      </w:r>
      <w:r>
        <w:rPr>
          <w:rFonts w:hint="eastAsia" w:ascii="宋体" w:hAnsi="宋体" w:eastAsia="宋体" w:cs="Times New Roman"/>
          <w:color w:val="auto"/>
          <w:spacing w:val="-6"/>
          <w:szCs w:val="21"/>
          <w:highlight w:val="none"/>
        </w:rPr>
        <w:t>项目，为此，我方提交电子加密投标文件一份、以介质（U盘）存储的数据电文形式的</w:t>
      </w:r>
      <w:r>
        <w:rPr>
          <w:rFonts w:hint="eastAsia" w:ascii="宋体" w:hAnsi="宋体" w:eastAsia="宋体" w:cs="Times New Roman"/>
          <w:color w:val="auto"/>
          <w:spacing w:val="-6"/>
          <w:szCs w:val="21"/>
          <w:highlight w:val="none"/>
          <w:u w:val="single"/>
        </w:rPr>
        <w:t xml:space="preserve">备份投标文件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份</w:t>
      </w:r>
      <w:r>
        <w:rPr>
          <w:rFonts w:hint="eastAsia" w:ascii="宋体" w:hAnsi="宋体" w:eastAsia="宋体" w:cs="Times New Roman"/>
          <w:color w:val="auto"/>
          <w:spacing w:val="-6"/>
          <w:szCs w:val="21"/>
          <w:highlight w:val="none"/>
        </w:rPr>
        <w:t>。宣布同意如下：</w:t>
      </w:r>
    </w:p>
    <w:p w14:paraId="4E30580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我方已详细审查全部“招标文件”，包括修改文件（如有）以及全部参考资料和有关附件，已经了解我方对于招标文件、招标过程、中标结果有依法进行询问、质疑、投诉的权利及相关渠道和要求。</w:t>
      </w:r>
    </w:p>
    <w:p w14:paraId="3D1267E1">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我方在投标之前已经与贵方进行了充分的沟通，完全理解并接受招标文件的各项规定和要求，对招标文件的合理性、合法性不再有异议。</w:t>
      </w:r>
    </w:p>
    <w:p w14:paraId="15582C58">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投标有效期自提交投标文件的截止之日起</w:t>
      </w:r>
      <w:r>
        <w:rPr>
          <w:rFonts w:hint="eastAsia" w:ascii="宋体" w:hAnsi="宋体" w:eastAsia="宋体" w:cs="Times New Roman"/>
          <w:bCs/>
          <w:color w:val="auto"/>
          <w:spacing w:val="-6"/>
          <w:szCs w:val="21"/>
          <w:highlight w:val="none"/>
          <w:u w:val="single"/>
        </w:rPr>
        <w:t xml:space="preserve"> 90</w:t>
      </w:r>
      <w:r>
        <w:rPr>
          <w:rFonts w:ascii="宋体" w:hAnsi="宋体" w:eastAsia="宋体" w:cs="Times New Roman"/>
          <w:bCs/>
          <w:color w:val="auto"/>
          <w:spacing w:val="-6"/>
          <w:szCs w:val="21"/>
          <w:highlight w:val="none"/>
          <w:u w:val="single"/>
        </w:rPr>
        <w:t xml:space="preserve"> </w:t>
      </w:r>
      <w:r>
        <w:rPr>
          <w:rFonts w:hint="eastAsia" w:ascii="宋体" w:hAnsi="宋体" w:eastAsia="宋体" w:cs="Times New Roman"/>
          <w:color w:val="auto"/>
          <w:spacing w:val="-6"/>
          <w:szCs w:val="21"/>
          <w:highlight w:val="none"/>
        </w:rPr>
        <w:t>天。</w:t>
      </w:r>
    </w:p>
    <w:p w14:paraId="3C8BE2A0">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如中标，本投标文件至本项目合同履行完毕止均保持有效，我方将按“招标文件”及政府采购法律、法规的规定履行合同责任和义务。关于代理服务费，我方承诺按照招标文件的规定履行并承担相应的责任。</w:t>
      </w:r>
    </w:p>
    <w:p w14:paraId="6EDEEEDE">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我方同意按照贵方要求提供与投标有关的一切数据或资料。</w:t>
      </w:r>
    </w:p>
    <w:p w14:paraId="13061986">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与本投标有关的一切正式往来信函联系：</w:t>
      </w:r>
    </w:p>
    <w:tbl>
      <w:tblPr>
        <w:tblStyle w:val="2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5F15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ED9E8A4">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联系人：</w:t>
            </w:r>
          </w:p>
        </w:tc>
        <w:tc>
          <w:tcPr>
            <w:tcW w:w="6808" w:type="dxa"/>
          </w:tcPr>
          <w:p w14:paraId="5A87101B">
            <w:pPr>
              <w:adjustRightInd w:val="0"/>
              <w:snapToGrid w:val="0"/>
              <w:spacing w:line="288" w:lineRule="auto"/>
              <w:rPr>
                <w:rFonts w:ascii="宋体" w:hAnsi="宋体" w:eastAsia="宋体" w:cs="Times New Roman"/>
                <w:color w:val="auto"/>
                <w:spacing w:val="-6"/>
                <w:szCs w:val="21"/>
                <w:highlight w:val="none"/>
              </w:rPr>
            </w:pPr>
          </w:p>
        </w:tc>
      </w:tr>
      <w:tr w14:paraId="620E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4E2FAC5">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职务：</w:t>
            </w:r>
          </w:p>
        </w:tc>
        <w:tc>
          <w:tcPr>
            <w:tcW w:w="6808" w:type="dxa"/>
          </w:tcPr>
          <w:p w14:paraId="1A0D8F23">
            <w:pPr>
              <w:adjustRightInd w:val="0"/>
              <w:snapToGrid w:val="0"/>
              <w:spacing w:line="288" w:lineRule="auto"/>
              <w:rPr>
                <w:rFonts w:ascii="宋体" w:hAnsi="宋体" w:eastAsia="宋体" w:cs="Times New Roman"/>
                <w:color w:val="auto"/>
                <w:spacing w:val="-6"/>
                <w:szCs w:val="21"/>
                <w:highlight w:val="none"/>
              </w:rPr>
            </w:pPr>
          </w:p>
        </w:tc>
      </w:tr>
      <w:tr w14:paraId="58D3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14:paraId="55E90A26">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手机：</w:t>
            </w:r>
          </w:p>
        </w:tc>
        <w:tc>
          <w:tcPr>
            <w:tcW w:w="6808" w:type="dxa"/>
          </w:tcPr>
          <w:p w14:paraId="5A069917">
            <w:pPr>
              <w:adjustRightInd w:val="0"/>
              <w:snapToGrid w:val="0"/>
              <w:spacing w:line="288" w:lineRule="auto"/>
              <w:rPr>
                <w:rFonts w:ascii="宋体" w:hAnsi="宋体" w:eastAsia="宋体" w:cs="Times New Roman"/>
                <w:color w:val="auto"/>
                <w:spacing w:val="-6"/>
                <w:szCs w:val="21"/>
                <w:highlight w:val="none"/>
              </w:rPr>
            </w:pPr>
          </w:p>
        </w:tc>
      </w:tr>
      <w:tr w14:paraId="1B89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B9E6B44">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电子邮箱：</w:t>
            </w:r>
          </w:p>
        </w:tc>
        <w:tc>
          <w:tcPr>
            <w:tcW w:w="6808" w:type="dxa"/>
          </w:tcPr>
          <w:p w14:paraId="59619CC4">
            <w:pPr>
              <w:adjustRightInd w:val="0"/>
              <w:snapToGrid w:val="0"/>
              <w:spacing w:line="288" w:lineRule="auto"/>
              <w:rPr>
                <w:rFonts w:ascii="宋体" w:hAnsi="宋体" w:eastAsia="宋体" w:cs="Times New Roman"/>
                <w:color w:val="auto"/>
                <w:spacing w:val="-6"/>
                <w:szCs w:val="21"/>
                <w:highlight w:val="none"/>
              </w:rPr>
            </w:pPr>
          </w:p>
        </w:tc>
      </w:tr>
      <w:tr w14:paraId="6EA2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14:paraId="09C24036">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地址：</w:t>
            </w:r>
          </w:p>
        </w:tc>
        <w:tc>
          <w:tcPr>
            <w:tcW w:w="6808" w:type="dxa"/>
          </w:tcPr>
          <w:p w14:paraId="25801703">
            <w:pPr>
              <w:adjustRightInd w:val="0"/>
              <w:snapToGrid w:val="0"/>
              <w:spacing w:line="288" w:lineRule="auto"/>
              <w:rPr>
                <w:rFonts w:ascii="宋体" w:hAnsi="宋体" w:eastAsia="宋体" w:cs="Times New Roman"/>
                <w:color w:val="auto"/>
                <w:spacing w:val="-6"/>
                <w:szCs w:val="21"/>
                <w:highlight w:val="none"/>
              </w:rPr>
            </w:pPr>
          </w:p>
        </w:tc>
      </w:tr>
      <w:tr w14:paraId="0D5B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C3D1058">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开户银行：</w:t>
            </w:r>
          </w:p>
        </w:tc>
        <w:tc>
          <w:tcPr>
            <w:tcW w:w="6808" w:type="dxa"/>
          </w:tcPr>
          <w:p w14:paraId="7F5F0CB8">
            <w:pPr>
              <w:adjustRightInd w:val="0"/>
              <w:snapToGrid w:val="0"/>
              <w:spacing w:line="288" w:lineRule="auto"/>
              <w:rPr>
                <w:rFonts w:ascii="宋体" w:hAnsi="宋体" w:eastAsia="宋体" w:cs="Times New Roman"/>
                <w:color w:val="auto"/>
                <w:spacing w:val="-6"/>
                <w:szCs w:val="21"/>
                <w:highlight w:val="none"/>
              </w:rPr>
            </w:pPr>
          </w:p>
        </w:tc>
      </w:tr>
      <w:tr w14:paraId="62A9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ECFEC57">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银行账号：</w:t>
            </w:r>
          </w:p>
        </w:tc>
        <w:tc>
          <w:tcPr>
            <w:tcW w:w="6808" w:type="dxa"/>
          </w:tcPr>
          <w:p w14:paraId="65BD02E6">
            <w:pPr>
              <w:adjustRightInd w:val="0"/>
              <w:snapToGrid w:val="0"/>
              <w:spacing w:line="288" w:lineRule="auto"/>
              <w:rPr>
                <w:rFonts w:ascii="宋体" w:hAnsi="宋体" w:eastAsia="宋体" w:cs="Times New Roman"/>
                <w:color w:val="auto"/>
                <w:spacing w:val="-6"/>
                <w:szCs w:val="21"/>
                <w:highlight w:val="none"/>
              </w:rPr>
            </w:pPr>
          </w:p>
        </w:tc>
      </w:tr>
    </w:tbl>
    <w:p w14:paraId="472D5F6C">
      <w:pPr>
        <w:adjustRightInd w:val="0"/>
        <w:snapToGrid w:val="0"/>
        <w:spacing w:line="288" w:lineRule="auto"/>
        <w:rPr>
          <w:rFonts w:ascii="宋体" w:hAnsi="宋体" w:eastAsia="宋体" w:cs="Times New Roman"/>
          <w:color w:val="auto"/>
          <w:spacing w:val="-6"/>
          <w:szCs w:val="21"/>
          <w:highlight w:val="none"/>
        </w:rPr>
      </w:pPr>
    </w:p>
    <w:p w14:paraId="1924B99C">
      <w:pPr>
        <w:adjustRightInd w:val="0"/>
        <w:snapToGrid w:val="0"/>
        <w:spacing w:line="288" w:lineRule="auto"/>
        <w:rPr>
          <w:rFonts w:ascii="宋体" w:hAnsi="宋体" w:eastAsia="宋体" w:cs="Times New Roman"/>
          <w:color w:val="auto"/>
          <w:spacing w:val="-6"/>
          <w:szCs w:val="21"/>
          <w:highlight w:val="none"/>
        </w:rPr>
      </w:pPr>
    </w:p>
    <w:p w14:paraId="67940BAB">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32085E63">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2EF7F59">
      <w:pPr>
        <w:widowControl/>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60FFF9C">
      <w:pPr>
        <w:adjustRightInd w:val="0"/>
        <w:snapToGrid w:val="0"/>
        <w:spacing w:line="288" w:lineRule="auto"/>
        <w:ind w:firstLine="498" w:firstLineChars="236"/>
        <w:jc w:val="center"/>
        <w:outlineLvl w:val="2"/>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w:t>
      </w:r>
      <w:r>
        <w:rPr>
          <w:rFonts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rPr>
        <w:t>）授权委托书</w:t>
      </w:r>
    </w:p>
    <w:p w14:paraId="0C93BBEA">
      <w:pPr>
        <w:adjustRightInd w:val="0"/>
        <w:snapToGrid w:val="0"/>
        <w:spacing w:line="288" w:lineRule="auto"/>
        <w:rPr>
          <w:rFonts w:ascii="宋体" w:hAnsi="宋体" w:eastAsia="宋体" w:cs="Times New Roman"/>
          <w:b/>
          <w:bCs/>
          <w:color w:val="auto"/>
          <w:spacing w:val="-6"/>
          <w:szCs w:val="21"/>
          <w:highlight w:val="none"/>
        </w:rPr>
      </w:pPr>
    </w:p>
    <w:p w14:paraId="079D26A2">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致：</w:t>
      </w:r>
      <w:r>
        <w:rPr>
          <w:rFonts w:hint="eastAsia" w:ascii="宋体" w:hAnsi="宋体" w:eastAsia="宋体" w:cs="Times New Roman"/>
          <w:b/>
          <w:color w:val="auto"/>
          <w:spacing w:val="-6"/>
          <w:szCs w:val="21"/>
          <w:highlight w:val="none"/>
          <w:lang w:eastAsia="zh-CN"/>
        </w:rPr>
        <w:t>浙江工商大学</w:t>
      </w:r>
      <w:r>
        <w:rPr>
          <w:rFonts w:hint="eastAsia" w:ascii="宋体" w:hAnsi="宋体" w:eastAsia="宋体" w:cs="Times New Roman"/>
          <w:b/>
          <w:color w:val="auto"/>
          <w:spacing w:val="-6"/>
          <w:szCs w:val="21"/>
          <w:highlight w:val="none"/>
        </w:rPr>
        <w:t>、浙江求是招标代理有限公司</w:t>
      </w:r>
    </w:p>
    <w:p w14:paraId="1AA90BAC">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现授权委托：</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（授权代表姓名）（身份证号码：</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，手机：</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）以我方的名义参加</w:t>
      </w:r>
      <w:r>
        <w:rPr>
          <w:rFonts w:hint="eastAsia" w:ascii="宋体" w:hAnsi="宋体" w:eastAsia="宋体" w:cs="Times New Roman"/>
          <w:bCs/>
          <w:color w:val="auto"/>
          <w:spacing w:val="-6"/>
          <w:szCs w:val="21"/>
          <w:highlight w:val="none"/>
          <w:lang w:eastAsia="zh-CN"/>
        </w:rPr>
        <w:t>浙江工商大学未来营养健康与共同富裕计算设备更新-共同富裕计算设备（第一批）</w:t>
      </w:r>
      <w:r>
        <w:rPr>
          <w:rFonts w:hint="eastAsia" w:ascii="宋体" w:hAnsi="宋体" w:eastAsia="宋体" w:cs="Times New Roman"/>
          <w:bCs/>
          <w:color w:val="auto"/>
          <w:spacing w:val="-6"/>
          <w:szCs w:val="21"/>
          <w:highlight w:val="none"/>
        </w:rPr>
        <w:t>项目（项目编号：</w:t>
      </w:r>
      <w:r>
        <w:rPr>
          <w:rFonts w:hint="eastAsia" w:ascii="宋体" w:hAnsi="宋体" w:eastAsia="宋体" w:cs="Times New Roman"/>
          <w:bCs/>
          <w:color w:val="auto"/>
          <w:spacing w:val="-6"/>
          <w:szCs w:val="21"/>
          <w:highlight w:val="none"/>
          <w:lang w:eastAsia="zh-CN"/>
        </w:rPr>
        <w:t>QSZB-Z(H)-C24374(GK)L</w:t>
      </w:r>
      <w:r>
        <w:rPr>
          <w:rFonts w:hint="eastAsia" w:ascii="宋体" w:hAnsi="宋体" w:eastAsia="宋体" w:cs="Times New Roman"/>
          <w:bCs/>
          <w:color w:val="auto"/>
          <w:spacing w:val="-6"/>
          <w:szCs w:val="21"/>
          <w:highlight w:val="none"/>
        </w:rPr>
        <w:t>）</w:t>
      </w:r>
      <w:r>
        <w:rPr>
          <w:rFonts w:hint="eastAsia" w:ascii="宋体" w:hAnsi="宋体" w:eastAsia="宋体" w:cs="Times New Roman"/>
          <w:color w:val="auto"/>
          <w:spacing w:val="-6"/>
          <w:szCs w:val="21"/>
          <w:highlight w:val="none"/>
        </w:rPr>
        <w:t>的投标活动，并代表我方全权办理针对上述项目的投标、开标、评标、签约等具体事务和签署相关文件。</w:t>
      </w:r>
    </w:p>
    <w:p w14:paraId="6C4CCB59">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我方对被授权人的签名负全部责任。</w:t>
      </w:r>
    </w:p>
    <w:p w14:paraId="227607F7">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在撤销授权的书面通知以前，本授权书一直有效。被授权人在授权书有效期内签署的所有文件不因授权的撤销而失效。</w:t>
      </w:r>
    </w:p>
    <w:p w14:paraId="39A71D23">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被授权人无转委托权，特此告知。</w:t>
      </w:r>
    </w:p>
    <w:p w14:paraId="49CF81FB">
      <w:pPr>
        <w:adjustRightInd w:val="0"/>
        <w:snapToGrid w:val="0"/>
        <w:spacing w:line="288" w:lineRule="auto"/>
        <w:ind w:firstLine="368" w:firstLineChars="186"/>
        <w:rPr>
          <w:rFonts w:ascii="宋体" w:hAnsi="宋体" w:eastAsia="宋体" w:cs="Times New Roman"/>
          <w:color w:val="auto"/>
          <w:spacing w:val="-6"/>
          <w:szCs w:val="21"/>
          <w:highlight w:val="none"/>
          <w:u w:val="single"/>
        </w:rPr>
      </w:pPr>
      <w:r>
        <w:rPr>
          <w:rFonts w:hint="eastAsia" w:ascii="宋体" w:hAnsi="宋体" w:eastAsia="宋体" w:cs="Times New Roman"/>
          <w:color w:val="auto"/>
          <w:spacing w:val="-6"/>
          <w:szCs w:val="21"/>
          <w:highlight w:val="none"/>
          <w:u w:val="single"/>
        </w:rPr>
        <w:t>▲提供授权代表社保缴纳证明（</w:t>
      </w:r>
      <w:r>
        <w:rPr>
          <w:rFonts w:hint="eastAsia" w:ascii="宋体" w:hAnsi="宋体" w:eastAsia="宋体" w:cs="Times New Roman"/>
          <w:color w:val="auto"/>
          <w:spacing w:val="-6"/>
          <w:szCs w:val="21"/>
          <w:highlight w:val="none"/>
          <w:u w:val="single"/>
          <w:lang w:eastAsia="zh-CN"/>
        </w:rPr>
        <w:t>2024年6月（含）</w:t>
      </w:r>
      <w:r>
        <w:rPr>
          <w:rFonts w:hint="eastAsia" w:ascii="宋体" w:hAnsi="宋体" w:eastAsia="宋体" w:cs="Times New Roman"/>
          <w:color w:val="auto"/>
          <w:spacing w:val="-6"/>
          <w:szCs w:val="21"/>
          <w:highlight w:val="none"/>
          <w:u w:val="single"/>
        </w:rPr>
        <w:t>以后任意一月）。</w:t>
      </w:r>
    </w:p>
    <w:p w14:paraId="2CA921BD">
      <w:pPr>
        <w:adjustRightInd w:val="0"/>
        <w:snapToGrid w:val="0"/>
        <w:spacing w:line="288" w:lineRule="auto"/>
        <w:rPr>
          <w:rFonts w:ascii="宋体" w:hAnsi="宋体" w:eastAsia="宋体" w:cs="Times New Roman"/>
          <w:color w:val="auto"/>
          <w:spacing w:val="-6"/>
          <w:szCs w:val="21"/>
          <w:highlight w:val="none"/>
        </w:rPr>
      </w:pPr>
    </w:p>
    <w:p w14:paraId="212B183B">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1EECF870">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041873E0">
      <w:pPr>
        <w:adjustRightInd w:val="0"/>
        <w:snapToGrid w:val="0"/>
        <w:spacing w:line="288" w:lineRule="auto"/>
        <w:rPr>
          <w:rFonts w:ascii="宋体" w:hAnsi="宋体" w:eastAsia="宋体" w:cs="Times New Roman"/>
          <w:color w:val="auto"/>
          <w:szCs w:val="21"/>
          <w:highlight w:val="none"/>
        </w:rPr>
      </w:pPr>
    </w:p>
    <w:p w14:paraId="44C668F4">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766BF992">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1、投标人委派不在本单位缴纳社保的人员作为授权代表的，应当在投标文件中，说明具体原因、授权代表缴纳社保的单位，并附列该授权代表缴纳社保清单。</w:t>
      </w:r>
    </w:p>
    <w:p w14:paraId="717330A0">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2、投标人是联合体的，联合体各成员均应在“授权委托书”上盖章（电子签名</w:t>
      </w:r>
      <w:r>
        <w:rPr>
          <w:rFonts w:ascii="宋体" w:hAnsi="宋体" w:eastAsia="宋体" w:cs="Times New Roman"/>
          <w:color w:val="auto"/>
          <w:szCs w:val="21"/>
          <w:highlight w:val="none"/>
        </w:rPr>
        <w:t>/公章）</w:t>
      </w:r>
      <w:r>
        <w:rPr>
          <w:rFonts w:hint="eastAsia" w:ascii="宋体" w:hAnsi="宋体" w:eastAsia="宋体" w:cs="Times New Roman"/>
          <w:color w:val="auto"/>
          <w:szCs w:val="21"/>
          <w:highlight w:val="none"/>
        </w:rPr>
        <w:t>。</w:t>
      </w:r>
    </w:p>
    <w:p w14:paraId="20299781">
      <w:pPr>
        <w:adjustRightInd w:val="0"/>
        <w:snapToGrid w:val="0"/>
        <w:spacing w:line="288" w:lineRule="auto"/>
        <w:rPr>
          <w:rFonts w:ascii="宋体" w:hAnsi="宋体" w:eastAsia="宋体" w:cs="Times New Roman"/>
          <w:color w:val="auto"/>
          <w:szCs w:val="21"/>
          <w:highlight w:val="none"/>
        </w:rPr>
      </w:pPr>
    </w:p>
    <w:p w14:paraId="6BA9361D">
      <w:pPr>
        <w:adjustRightInd w:val="0"/>
        <w:snapToGrid w:val="0"/>
        <w:spacing w:line="288" w:lineRule="auto"/>
        <w:rPr>
          <w:rFonts w:ascii="宋体" w:hAnsi="宋体" w:eastAsia="宋体" w:cs="Times New Roman"/>
          <w:color w:val="auto"/>
          <w:szCs w:val="21"/>
          <w:highlight w:val="none"/>
        </w:rPr>
      </w:pPr>
    </w:p>
    <w:p w14:paraId="73F9B5B7">
      <w:pPr>
        <w:adjustRightInd w:val="0"/>
        <w:snapToGrid w:val="0"/>
        <w:spacing w:line="288" w:lineRule="auto"/>
        <w:jc w:val="center"/>
        <w:outlineLvl w:val="2"/>
        <w:rPr>
          <w:rFonts w:ascii="宋体" w:hAnsi="宋体" w:eastAsia="宋体" w:cs="Times New Roman"/>
          <w:b/>
          <w:bCs/>
          <w:color w:val="auto"/>
          <w:spacing w:val="-6"/>
          <w:szCs w:val="21"/>
          <w:highlight w:val="none"/>
        </w:rPr>
      </w:pPr>
      <w:r>
        <w:rPr>
          <w:rFonts w:hint="eastAsia" w:ascii="宋体" w:hAnsi="宋体" w:eastAsia="宋体" w:cs="Times New Roman"/>
          <w:b/>
          <w:bCs/>
          <w:color w:val="auto"/>
          <w:szCs w:val="21"/>
          <w:highlight w:val="none"/>
        </w:rPr>
        <w:t>（2）法定代表人（单位负责人、自然人本人）</w:t>
      </w:r>
      <w:r>
        <w:rPr>
          <w:rFonts w:hint="eastAsia" w:ascii="宋体" w:hAnsi="宋体" w:eastAsia="宋体" w:cs="Times New Roman"/>
          <w:b/>
          <w:bCs/>
          <w:color w:val="auto"/>
          <w:spacing w:val="-6"/>
          <w:szCs w:val="21"/>
          <w:highlight w:val="none"/>
        </w:rPr>
        <w:t>身份证明</w:t>
      </w:r>
    </w:p>
    <w:p w14:paraId="4440FFF1">
      <w:pPr>
        <w:adjustRightInd w:val="0"/>
        <w:snapToGrid w:val="0"/>
        <w:spacing w:line="288" w:lineRule="auto"/>
        <w:ind w:firstLine="495" w:firstLineChars="23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（适用于：法定代表人（单位负责人、自然人本人）</w:t>
      </w:r>
      <w:r>
        <w:rPr>
          <w:rFonts w:hint="eastAsia" w:ascii="宋体" w:hAnsi="宋体" w:eastAsia="宋体" w:cs="Times New Roman"/>
          <w:color w:val="auto"/>
          <w:spacing w:val="-6"/>
          <w:szCs w:val="21"/>
          <w:highlight w:val="none"/>
        </w:rPr>
        <w:t>代表投标人参加投标</w:t>
      </w:r>
      <w:r>
        <w:rPr>
          <w:rFonts w:hint="eastAsia" w:ascii="宋体" w:hAnsi="宋体" w:eastAsia="宋体" w:cs="Times New Roman"/>
          <w:color w:val="auto"/>
          <w:szCs w:val="21"/>
          <w:highlight w:val="none"/>
        </w:rPr>
        <w:t>）</w:t>
      </w:r>
    </w:p>
    <w:p w14:paraId="3AD58462">
      <w:pPr>
        <w:adjustRightInd w:val="0"/>
        <w:snapToGrid w:val="0"/>
        <w:spacing w:line="288" w:lineRule="auto"/>
        <w:jc w:val="left"/>
        <w:rPr>
          <w:rFonts w:ascii="宋体" w:hAnsi="宋体" w:eastAsia="宋体" w:cs="Times New Roman"/>
          <w:color w:val="auto"/>
          <w:szCs w:val="21"/>
          <w:highlight w:val="none"/>
        </w:rPr>
      </w:pPr>
      <w:r>
        <w:rPr>
          <w:rFonts w:hint="eastAsia" w:ascii="宋体" w:hAnsi="宋体" w:eastAsia="宋体" w:cs="宋体"/>
          <w:bCs/>
          <w:color w:val="auto"/>
          <w:szCs w:val="21"/>
          <w:highlight w:val="none"/>
        </w:rPr>
        <w:t>身份证件复印件</w:t>
      </w:r>
    </w:p>
    <w:tbl>
      <w:tblPr>
        <w:tblStyle w:val="1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0B2D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04734D12">
            <w:pPr>
              <w:adjustRightInd w:val="0"/>
              <w:snapToGrid w:val="0"/>
              <w:spacing w:line="288"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正面：</w:t>
            </w:r>
          </w:p>
        </w:tc>
        <w:tc>
          <w:tcPr>
            <w:tcW w:w="4951" w:type="dxa"/>
          </w:tcPr>
          <w:p w14:paraId="016C7773">
            <w:pPr>
              <w:adjustRightInd w:val="0"/>
              <w:snapToGrid w:val="0"/>
              <w:spacing w:line="288"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反面：</w:t>
            </w:r>
          </w:p>
        </w:tc>
      </w:tr>
    </w:tbl>
    <w:p w14:paraId="0981FD15">
      <w:pPr>
        <w:adjustRightInd w:val="0"/>
        <w:snapToGrid w:val="0"/>
        <w:spacing w:line="288" w:lineRule="auto"/>
        <w:rPr>
          <w:rFonts w:ascii="Times New Roman" w:hAnsi="Times New Roman" w:eastAsia="宋体" w:cs="Times New Roman"/>
          <w:color w:val="auto"/>
          <w:szCs w:val="21"/>
          <w:highlight w:val="none"/>
        </w:rPr>
      </w:pPr>
    </w:p>
    <w:p w14:paraId="338AA219">
      <w:pPr>
        <w:widowControl/>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5B0F8B0D">
      <w:pPr>
        <w:adjustRightInd w:val="0"/>
        <w:snapToGrid w:val="0"/>
        <w:spacing w:line="288" w:lineRule="auto"/>
        <w:jc w:val="left"/>
        <w:outlineLvl w:val="2"/>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附：授权代表社保缴纳证明（</w:t>
      </w:r>
      <w:r>
        <w:rPr>
          <w:rFonts w:hint="eastAsia" w:ascii="宋体" w:hAnsi="宋体" w:eastAsia="宋体" w:cs="Times New Roman"/>
          <w:b/>
          <w:bCs/>
          <w:color w:val="auto"/>
          <w:szCs w:val="21"/>
          <w:highlight w:val="none"/>
          <w:lang w:eastAsia="zh-CN"/>
        </w:rPr>
        <w:t>2024年6月（含）</w:t>
      </w:r>
      <w:r>
        <w:rPr>
          <w:rFonts w:hint="eastAsia" w:ascii="宋体" w:hAnsi="宋体" w:eastAsia="宋体" w:cs="Times New Roman"/>
          <w:b/>
          <w:bCs/>
          <w:color w:val="auto"/>
          <w:szCs w:val="21"/>
          <w:highlight w:val="none"/>
        </w:rPr>
        <w:t>以后任意一月）</w:t>
      </w:r>
    </w:p>
    <w:p w14:paraId="4DD93B36">
      <w:pPr>
        <w:rPr>
          <w:rFonts w:ascii="Times New Roman" w:hAnsi="Times New Roman" w:eastAsia="宋体" w:cs="Times New Roman"/>
          <w:color w:val="auto"/>
          <w:szCs w:val="21"/>
          <w:highlight w:val="none"/>
        </w:rPr>
      </w:pPr>
    </w:p>
    <w:p w14:paraId="4009B0A4">
      <w:pPr>
        <w:adjustRightInd w:val="0"/>
        <w:snapToGrid w:val="0"/>
        <w:spacing w:line="288" w:lineRule="auto"/>
        <w:jc w:val="center"/>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54B4DFD7">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w:t>
      </w:r>
      <w:r>
        <w:rPr>
          <w:rFonts w:hint="eastAsia" w:ascii="宋体" w:hAnsi="宋体" w:eastAsia="宋体" w:cs="宋体"/>
          <w:b/>
          <w:color w:val="auto"/>
          <w:spacing w:val="-6"/>
          <w:szCs w:val="21"/>
          <w:highlight w:val="none"/>
        </w:rPr>
        <w:t>）投标人同类合同一览表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4D5A0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C8CA6B8">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65908827">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514F5C3E">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02972EC6">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398D45E2">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合同金额</w:t>
            </w:r>
          </w:p>
          <w:p w14:paraId="7CD044DE">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3E41A428">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2126E286">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25D7B084">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采购人联系人</w:t>
            </w:r>
          </w:p>
          <w:p w14:paraId="4DDC546D">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联系方式</w:t>
            </w:r>
          </w:p>
        </w:tc>
      </w:tr>
      <w:tr w14:paraId="7E80C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CAF35FF">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A019DBE">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5E28CD24">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C7412C1">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54BE2022">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3BF03F6">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B5672C4">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236BEFB3">
            <w:pPr>
              <w:adjustRightInd w:val="0"/>
              <w:snapToGrid w:val="0"/>
              <w:spacing w:line="288" w:lineRule="auto"/>
              <w:rPr>
                <w:rFonts w:ascii="宋体" w:hAnsi="宋体" w:eastAsia="宋体" w:cs="宋体"/>
                <w:b/>
                <w:bCs/>
                <w:color w:val="auto"/>
                <w:szCs w:val="21"/>
                <w:highlight w:val="none"/>
              </w:rPr>
            </w:pPr>
          </w:p>
        </w:tc>
      </w:tr>
      <w:tr w14:paraId="78787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2C2A425">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516955E2">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5FE0D9CA">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13651D4">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3E86E753">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CB88BE5">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640F2EBE">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509BBA0A">
            <w:pPr>
              <w:adjustRightInd w:val="0"/>
              <w:snapToGrid w:val="0"/>
              <w:spacing w:line="288" w:lineRule="auto"/>
              <w:rPr>
                <w:rFonts w:ascii="宋体" w:hAnsi="宋体" w:eastAsia="宋体" w:cs="宋体"/>
                <w:b/>
                <w:bCs/>
                <w:color w:val="auto"/>
                <w:szCs w:val="21"/>
                <w:highlight w:val="none"/>
              </w:rPr>
            </w:pPr>
          </w:p>
        </w:tc>
      </w:tr>
      <w:tr w14:paraId="3BF24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6D669E5">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0FA6088">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21F8006">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704CC9F">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7D59AE5C">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6BD45495">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53DE635">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11DE44C5">
            <w:pPr>
              <w:adjustRightInd w:val="0"/>
              <w:snapToGrid w:val="0"/>
              <w:spacing w:line="288" w:lineRule="auto"/>
              <w:rPr>
                <w:rFonts w:ascii="宋体" w:hAnsi="宋体" w:eastAsia="宋体" w:cs="宋体"/>
                <w:b/>
                <w:bCs/>
                <w:color w:val="auto"/>
                <w:szCs w:val="21"/>
                <w:highlight w:val="none"/>
              </w:rPr>
            </w:pPr>
          </w:p>
        </w:tc>
      </w:tr>
      <w:tr w14:paraId="5D18D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F176EFD">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3FAB475">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486BCF1D">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E53D3A2">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7FB1C917">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1F991D5">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72E60818">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3C696030">
            <w:pPr>
              <w:adjustRightInd w:val="0"/>
              <w:snapToGrid w:val="0"/>
              <w:spacing w:line="288" w:lineRule="auto"/>
              <w:rPr>
                <w:rFonts w:ascii="宋体" w:hAnsi="宋体" w:eastAsia="宋体" w:cs="宋体"/>
                <w:b/>
                <w:bCs/>
                <w:color w:val="auto"/>
                <w:szCs w:val="21"/>
                <w:highlight w:val="none"/>
              </w:rPr>
            </w:pPr>
          </w:p>
        </w:tc>
      </w:tr>
      <w:tr w14:paraId="5F66E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B8E601D">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6DA9960F">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4EDB7704">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64D8FD2B">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0CB0B1C1">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141F711">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360F33D0">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14:paraId="54693426">
            <w:pPr>
              <w:adjustRightInd w:val="0"/>
              <w:snapToGrid w:val="0"/>
              <w:spacing w:line="288" w:lineRule="auto"/>
              <w:rPr>
                <w:rFonts w:ascii="宋体" w:hAnsi="宋体" w:eastAsia="宋体" w:cs="宋体"/>
                <w:b/>
                <w:bCs/>
                <w:color w:val="auto"/>
                <w:szCs w:val="21"/>
                <w:highlight w:val="none"/>
              </w:rPr>
            </w:pPr>
          </w:p>
        </w:tc>
      </w:tr>
    </w:tbl>
    <w:p w14:paraId="2215B1D8">
      <w:pPr>
        <w:adjustRightInd w:val="0"/>
        <w:snapToGrid w:val="0"/>
        <w:spacing w:line="288" w:lineRule="auto"/>
        <w:rPr>
          <w:rFonts w:ascii="宋体" w:hAnsi="宋体" w:eastAsia="宋体" w:cs="Times New Roman"/>
          <w:color w:val="auto"/>
          <w:szCs w:val="21"/>
          <w:highlight w:val="none"/>
        </w:rPr>
      </w:pPr>
    </w:p>
    <w:p w14:paraId="673C4A11">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w:t>
      </w:r>
    </w:p>
    <w:p w14:paraId="521275AF">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投标人须提供上述业绩合同扫描件；</w:t>
      </w:r>
    </w:p>
    <w:p w14:paraId="448F73EC">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所有合同扫描件应清晰，应能体现合同签订时间、双方签名盖章等内容；</w:t>
      </w:r>
    </w:p>
    <w:p w14:paraId="03AD8A30">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投标人应在不涉及商业秘密的前提下尽可能提供详细的合同扫描件内容。</w:t>
      </w:r>
    </w:p>
    <w:p w14:paraId="7E96D7F7">
      <w:pPr>
        <w:adjustRightInd w:val="0"/>
        <w:snapToGrid w:val="0"/>
        <w:spacing w:line="288" w:lineRule="auto"/>
        <w:rPr>
          <w:rFonts w:ascii="宋体" w:hAnsi="宋体" w:eastAsia="宋体" w:cs="Times New Roman"/>
          <w:color w:val="auto"/>
          <w:spacing w:val="-6"/>
          <w:szCs w:val="21"/>
          <w:highlight w:val="none"/>
        </w:rPr>
      </w:pPr>
    </w:p>
    <w:p w14:paraId="60479893">
      <w:pPr>
        <w:adjustRightInd w:val="0"/>
        <w:snapToGrid w:val="0"/>
        <w:spacing w:line="288" w:lineRule="auto"/>
        <w:rPr>
          <w:rFonts w:ascii="宋体" w:hAnsi="宋体" w:eastAsia="宋体" w:cs="Times New Roman"/>
          <w:color w:val="auto"/>
          <w:spacing w:val="-6"/>
          <w:szCs w:val="21"/>
          <w:highlight w:val="none"/>
        </w:rPr>
      </w:pPr>
    </w:p>
    <w:p w14:paraId="0A37E5C6">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3D712471">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30B643BC">
      <w:pPr>
        <w:adjustRightInd w:val="0"/>
        <w:snapToGrid w:val="0"/>
        <w:spacing w:line="288" w:lineRule="auto"/>
        <w:jc w:val="center"/>
        <w:outlineLvl w:val="9"/>
        <w:rPr>
          <w:rFonts w:ascii="宋体" w:hAnsi="宋体" w:eastAsia="宋体" w:cs="Times New Roman"/>
          <w:b/>
          <w:color w:val="auto"/>
          <w:szCs w:val="21"/>
          <w:highlight w:val="none"/>
        </w:rPr>
      </w:pPr>
      <w:r>
        <w:rPr>
          <w:rFonts w:hint="eastAsia" w:ascii="宋体" w:hAnsi="宋体" w:eastAsia="宋体" w:cs="Times New Roman"/>
          <w:color w:val="auto"/>
          <w:spacing w:val="-6"/>
          <w:szCs w:val="21"/>
          <w:highlight w:val="none"/>
        </w:rPr>
        <w:br w:type="page"/>
      </w:r>
    </w:p>
    <w:p w14:paraId="47868DE5">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）采购需求偏离表</w:t>
      </w:r>
    </w:p>
    <w:p w14:paraId="1461CD84">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采 购 人：</w:t>
      </w:r>
      <w:r>
        <w:rPr>
          <w:rFonts w:hint="eastAsia" w:ascii="宋体" w:hAnsi="宋体" w:eastAsia="宋体" w:cs="Times New Roman"/>
          <w:bCs/>
          <w:color w:val="auto"/>
          <w:spacing w:val="-6"/>
          <w:szCs w:val="21"/>
          <w:highlight w:val="none"/>
          <w:lang w:eastAsia="zh-CN"/>
        </w:rPr>
        <w:t>浙江工商大学</w:t>
      </w:r>
    </w:p>
    <w:p w14:paraId="5164BE04">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项目名称：</w:t>
      </w:r>
      <w:r>
        <w:rPr>
          <w:rFonts w:hint="eastAsia" w:ascii="宋体" w:hAnsi="宋体" w:eastAsia="宋体" w:cs="Times New Roman"/>
          <w:bCs/>
          <w:color w:val="auto"/>
          <w:spacing w:val="-6"/>
          <w:szCs w:val="21"/>
          <w:highlight w:val="none"/>
          <w:lang w:eastAsia="zh-CN"/>
        </w:rPr>
        <w:t>浙江工商大学未来营养健康与共同富裕计算设备更新-共同富裕计算设备（第一批）</w:t>
      </w:r>
    </w:p>
    <w:p w14:paraId="6EDA09F5">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项目编号：</w:t>
      </w:r>
      <w:r>
        <w:rPr>
          <w:rFonts w:hint="eastAsia" w:ascii="宋体" w:hAnsi="宋体" w:eastAsia="宋体" w:cs="Times New Roman"/>
          <w:bCs/>
          <w:color w:val="auto"/>
          <w:spacing w:val="-6"/>
          <w:szCs w:val="21"/>
          <w:highlight w:val="none"/>
          <w:lang w:eastAsia="zh-CN"/>
        </w:rPr>
        <w:t>QSZB-Z(H)-C24374(GK)L</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03D7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240E9B50">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1D3E140E">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3D9330C1">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1E1E5089">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是否偏离（提供说明）</w:t>
            </w:r>
          </w:p>
        </w:tc>
      </w:tr>
      <w:tr w14:paraId="442D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0319F9BC">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采购资金的支付方式、时间、条件</w:t>
            </w:r>
          </w:p>
        </w:tc>
      </w:tr>
      <w:tr w14:paraId="16BA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1F85D2F">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5ED3525D">
            <w:pPr>
              <w:adjustRightInd w:val="0"/>
              <w:snapToGrid w:val="0"/>
              <w:spacing w:line="288" w:lineRule="auto"/>
              <w:rPr>
                <w:rFonts w:ascii="宋体" w:hAnsi="宋体" w:eastAsia="宋体" w:cs="宋体"/>
                <w:color w:val="auto"/>
                <w:szCs w:val="21"/>
                <w:highlight w:val="none"/>
              </w:rPr>
            </w:pPr>
          </w:p>
        </w:tc>
        <w:tc>
          <w:tcPr>
            <w:tcW w:w="2574" w:type="dxa"/>
            <w:vAlign w:val="center"/>
          </w:tcPr>
          <w:p w14:paraId="73D4950C">
            <w:pPr>
              <w:adjustRightInd w:val="0"/>
              <w:snapToGrid w:val="0"/>
              <w:spacing w:line="288" w:lineRule="auto"/>
              <w:rPr>
                <w:rFonts w:ascii="宋体" w:hAnsi="宋体" w:eastAsia="宋体" w:cs="宋体"/>
                <w:color w:val="auto"/>
                <w:szCs w:val="21"/>
                <w:highlight w:val="none"/>
              </w:rPr>
            </w:pPr>
          </w:p>
        </w:tc>
        <w:tc>
          <w:tcPr>
            <w:tcW w:w="2124" w:type="dxa"/>
            <w:vAlign w:val="center"/>
          </w:tcPr>
          <w:p w14:paraId="7FC1E3C0">
            <w:pPr>
              <w:adjustRightInd w:val="0"/>
              <w:snapToGrid w:val="0"/>
              <w:spacing w:line="288" w:lineRule="auto"/>
              <w:rPr>
                <w:rFonts w:ascii="宋体" w:hAnsi="宋体" w:eastAsia="宋体" w:cs="宋体"/>
                <w:color w:val="auto"/>
                <w:szCs w:val="21"/>
                <w:highlight w:val="none"/>
              </w:rPr>
            </w:pPr>
          </w:p>
        </w:tc>
      </w:tr>
      <w:tr w14:paraId="70FB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AF998F8">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16BB07C9">
            <w:pPr>
              <w:adjustRightInd w:val="0"/>
              <w:snapToGrid w:val="0"/>
              <w:spacing w:line="288" w:lineRule="auto"/>
              <w:rPr>
                <w:rFonts w:ascii="宋体" w:hAnsi="宋体" w:eastAsia="宋体" w:cs="宋体"/>
                <w:color w:val="auto"/>
                <w:szCs w:val="21"/>
                <w:highlight w:val="none"/>
              </w:rPr>
            </w:pPr>
          </w:p>
        </w:tc>
        <w:tc>
          <w:tcPr>
            <w:tcW w:w="2574" w:type="dxa"/>
            <w:vAlign w:val="center"/>
          </w:tcPr>
          <w:p w14:paraId="217F68FB">
            <w:pPr>
              <w:adjustRightInd w:val="0"/>
              <w:snapToGrid w:val="0"/>
              <w:spacing w:line="288" w:lineRule="auto"/>
              <w:rPr>
                <w:rFonts w:ascii="宋体" w:hAnsi="宋体" w:eastAsia="宋体" w:cs="宋体"/>
                <w:color w:val="auto"/>
                <w:szCs w:val="21"/>
                <w:highlight w:val="none"/>
              </w:rPr>
            </w:pPr>
          </w:p>
        </w:tc>
        <w:tc>
          <w:tcPr>
            <w:tcW w:w="2124" w:type="dxa"/>
            <w:vAlign w:val="center"/>
          </w:tcPr>
          <w:p w14:paraId="16B0C1FC">
            <w:pPr>
              <w:adjustRightInd w:val="0"/>
              <w:snapToGrid w:val="0"/>
              <w:spacing w:line="288" w:lineRule="auto"/>
              <w:rPr>
                <w:rFonts w:ascii="宋体" w:hAnsi="宋体" w:eastAsia="宋体" w:cs="宋体"/>
                <w:color w:val="auto"/>
                <w:szCs w:val="21"/>
                <w:highlight w:val="none"/>
              </w:rPr>
            </w:pPr>
          </w:p>
        </w:tc>
      </w:tr>
      <w:tr w14:paraId="63AB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DA71AA8">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189B7185">
            <w:pPr>
              <w:adjustRightInd w:val="0"/>
              <w:snapToGrid w:val="0"/>
              <w:spacing w:line="288" w:lineRule="auto"/>
              <w:rPr>
                <w:rFonts w:ascii="宋体" w:hAnsi="宋体" w:eastAsia="宋体" w:cs="宋体"/>
                <w:color w:val="auto"/>
                <w:szCs w:val="21"/>
                <w:highlight w:val="none"/>
              </w:rPr>
            </w:pPr>
          </w:p>
        </w:tc>
        <w:tc>
          <w:tcPr>
            <w:tcW w:w="2574" w:type="dxa"/>
            <w:vAlign w:val="center"/>
          </w:tcPr>
          <w:p w14:paraId="6A776275">
            <w:pPr>
              <w:adjustRightInd w:val="0"/>
              <w:snapToGrid w:val="0"/>
              <w:spacing w:line="288" w:lineRule="auto"/>
              <w:rPr>
                <w:rFonts w:ascii="宋体" w:hAnsi="宋体" w:eastAsia="宋体" w:cs="宋体"/>
                <w:color w:val="auto"/>
                <w:szCs w:val="21"/>
                <w:highlight w:val="none"/>
              </w:rPr>
            </w:pPr>
          </w:p>
        </w:tc>
        <w:tc>
          <w:tcPr>
            <w:tcW w:w="2124" w:type="dxa"/>
            <w:vAlign w:val="center"/>
          </w:tcPr>
          <w:p w14:paraId="14890CF0">
            <w:pPr>
              <w:adjustRightInd w:val="0"/>
              <w:snapToGrid w:val="0"/>
              <w:spacing w:line="288" w:lineRule="auto"/>
              <w:rPr>
                <w:rFonts w:ascii="宋体" w:hAnsi="宋体" w:eastAsia="宋体" w:cs="宋体"/>
                <w:color w:val="auto"/>
                <w:szCs w:val="21"/>
                <w:highlight w:val="none"/>
              </w:rPr>
            </w:pPr>
          </w:p>
        </w:tc>
      </w:tr>
      <w:tr w14:paraId="6168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2511F33E">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服务要求</w:t>
            </w:r>
          </w:p>
        </w:tc>
      </w:tr>
      <w:tr w14:paraId="124C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49860E5">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61621E9A">
            <w:pP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2697501F">
            <w:pP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602631F1">
            <w:pPr>
              <w:adjustRightInd w:val="0"/>
              <w:snapToGrid w:val="0"/>
              <w:spacing w:line="288" w:lineRule="auto"/>
              <w:jc w:val="left"/>
              <w:rPr>
                <w:rFonts w:ascii="宋体" w:hAnsi="宋体" w:eastAsia="宋体" w:cs="宋体"/>
                <w:color w:val="auto"/>
                <w:szCs w:val="21"/>
                <w:highlight w:val="none"/>
              </w:rPr>
            </w:pPr>
          </w:p>
        </w:tc>
      </w:tr>
      <w:tr w14:paraId="45D8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B9AB2DA">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543D177B">
            <w:pP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7AE3AA87">
            <w:pP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5705096F">
            <w:pPr>
              <w:adjustRightInd w:val="0"/>
              <w:snapToGrid w:val="0"/>
              <w:spacing w:line="288" w:lineRule="auto"/>
              <w:jc w:val="left"/>
              <w:rPr>
                <w:rFonts w:ascii="宋体" w:hAnsi="宋体" w:eastAsia="宋体" w:cs="宋体"/>
                <w:color w:val="auto"/>
                <w:szCs w:val="21"/>
                <w:highlight w:val="none"/>
              </w:rPr>
            </w:pPr>
          </w:p>
        </w:tc>
      </w:tr>
      <w:tr w14:paraId="3C6B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EB283FC">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7789D143">
            <w:pP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7E91D02B">
            <w:pP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0FE8E4F6">
            <w:pPr>
              <w:adjustRightInd w:val="0"/>
              <w:snapToGrid w:val="0"/>
              <w:spacing w:line="288" w:lineRule="auto"/>
              <w:jc w:val="left"/>
              <w:rPr>
                <w:rFonts w:ascii="宋体" w:hAnsi="宋体" w:eastAsia="宋体" w:cs="宋体"/>
                <w:color w:val="auto"/>
                <w:szCs w:val="21"/>
                <w:highlight w:val="none"/>
              </w:rPr>
            </w:pPr>
          </w:p>
        </w:tc>
      </w:tr>
      <w:tr w14:paraId="2AF8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7C642D2E">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技术要求</w:t>
            </w:r>
          </w:p>
        </w:tc>
      </w:tr>
      <w:tr w14:paraId="76F2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959AB1B">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0789FA12">
            <w:pPr>
              <w:adjustRightInd w:val="0"/>
              <w:snapToGrid w:val="0"/>
              <w:spacing w:line="288" w:lineRule="auto"/>
              <w:rPr>
                <w:rFonts w:ascii="宋体" w:hAnsi="宋体" w:eastAsia="宋体" w:cs="宋体"/>
                <w:color w:val="auto"/>
                <w:szCs w:val="21"/>
                <w:highlight w:val="none"/>
              </w:rPr>
            </w:pPr>
          </w:p>
        </w:tc>
        <w:tc>
          <w:tcPr>
            <w:tcW w:w="2574" w:type="dxa"/>
            <w:vAlign w:val="center"/>
          </w:tcPr>
          <w:p w14:paraId="26A603D1">
            <w:pPr>
              <w:adjustRightInd w:val="0"/>
              <w:snapToGrid w:val="0"/>
              <w:spacing w:line="288" w:lineRule="auto"/>
              <w:rPr>
                <w:rFonts w:ascii="宋体" w:hAnsi="宋体" w:eastAsia="宋体" w:cs="宋体"/>
                <w:color w:val="auto"/>
                <w:szCs w:val="21"/>
                <w:highlight w:val="none"/>
              </w:rPr>
            </w:pPr>
          </w:p>
        </w:tc>
        <w:tc>
          <w:tcPr>
            <w:tcW w:w="2124" w:type="dxa"/>
            <w:vAlign w:val="center"/>
          </w:tcPr>
          <w:p w14:paraId="62BA4A12">
            <w:pPr>
              <w:adjustRightInd w:val="0"/>
              <w:snapToGrid w:val="0"/>
              <w:spacing w:line="288" w:lineRule="auto"/>
              <w:rPr>
                <w:rFonts w:ascii="宋体" w:hAnsi="宋体" w:eastAsia="宋体" w:cs="宋体"/>
                <w:color w:val="auto"/>
                <w:szCs w:val="21"/>
                <w:highlight w:val="none"/>
              </w:rPr>
            </w:pPr>
          </w:p>
        </w:tc>
      </w:tr>
      <w:tr w14:paraId="22C6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6F2AFB1">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3D0ADC3E">
            <w:pPr>
              <w:adjustRightInd w:val="0"/>
              <w:snapToGrid w:val="0"/>
              <w:spacing w:line="288" w:lineRule="auto"/>
              <w:rPr>
                <w:rFonts w:ascii="宋体" w:hAnsi="宋体" w:eastAsia="宋体" w:cs="宋体"/>
                <w:color w:val="auto"/>
                <w:szCs w:val="21"/>
                <w:highlight w:val="none"/>
              </w:rPr>
            </w:pPr>
          </w:p>
        </w:tc>
        <w:tc>
          <w:tcPr>
            <w:tcW w:w="2574" w:type="dxa"/>
            <w:vAlign w:val="center"/>
          </w:tcPr>
          <w:p w14:paraId="60A575D9">
            <w:pPr>
              <w:adjustRightInd w:val="0"/>
              <w:snapToGrid w:val="0"/>
              <w:spacing w:line="288" w:lineRule="auto"/>
              <w:rPr>
                <w:rFonts w:ascii="宋体" w:hAnsi="宋体" w:eastAsia="宋体" w:cs="宋体"/>
                <w:color w:val="auto"/>
                <w:szCs w:val="21"/>
                <w:highlight w:val="none"/>
              </w:rPr>
            </w:pPr>
          </w:p>
        </w:tc>
        <w:tc>
          <w:tcPr>
            <w:tcW w:w="2124" w:type="dxa"/>
            <w:vAlign w:val="center"/>
          </w:tcPr>
          <w:p w14:paraId="7D20A6A0">
            <w:pPr>
              <w:adjustRightInd w:val="0"/>
              <w:snapToGrid w:val="0"/>
              <w:spacing w:line="288" w:lineRule="auto"/>
              <w:rPr>
                <w:rFonts w:ascii="宋体" w:hAnsi="宋体" w:eastAsia="宋体" w:cs="宋体"/>
                <w:color w:val="auto"/>
                <w:szCs w:val="21"/>
                <w:highlight w:val="none"/>
              </w:rPr>
            </w:pPr>
          </w:p>
        </w:tc>
      </w:tr>
      <w:tr w14:paraId="2B56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88D88C2">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425B769A">
            <w:pPr>
              <w:adjustRightInd w:val="0"/>
              <w:snapToGrid w:val="0"/>
              <w:spacing w:line="288" w:lineRule="auto"/>
              <w:rPr>
                <w:rFonts w:ascii="宋体" w:hAnsi="宋体" w:eastAsia="宋体" w:cs="宋体"/>
                <w:color w:val="auto"/>
                <w:szCs w:val="21"/>
                <w:highlight w:val="none"/>
              </w:rPr>
            </w:pPr>
          </w:p>
        </w:tc>
        <w:tc>
          <w:tcPr>
            <w:tcW w:w="2574" w:type="dxa"/>
            <w:vAlign w:val="center"/>
          </w:tcPr>
          <w:p w14:paraId="1E1A491D">
            <w:pPr>
              <w:adjustRightInd w:val="0"/>
              <w:snapToGrid w:val="0"/>
              <w:spacing w:line="288" w:lineRule="auto"/>
              <w:rPr>
                <w:rFonts w:ascii="宋体" w:hAnsi="宋体" w:eastAsia="宋体" w:cs="宋体"/>
                <w:color w:val="auto"/>
                <w:szCs w:val="21"/>
                <w:highlight w:val="none"/>
              </w:rPr>
            </w:pPr>
          </w:p>
        </w:tc>
        <w:tc>
          <w:tcPr>
            <w:tcW w:w="2124" w:type="dxa"/>
            <w:vAlign w:val="center"/>
          </w:tcPr>
          <w:p w14:paraId="1E8806DB">
            <w:pPr>
              <w:adjustRightInd w:val="0"/>
              <w:snapToGrid w:val="0"/>
              <w:spacing w:line="288" w:lineRule="auto"/>
              <w:rPr>
                <w:rFonts w:ascii="宋体" w:hAnsi="宋体" w:eastAsia="宋体" w:cs="宋体"/>
                <w:color w:val="auto"/>
                <w:szCs w:val="21"/>
                <w:highlight w:val="none"/>
              </w:rPr>
            </w:pPr>
          </w:p>
        </w:tc>
      </w:tr>
    </w:tbl>
    <w:p w14:paraId="74BC8C49">
      <w:pPr>
        <w:adjustRightInd w:val="0"/>
        <w:snapToGrid w:val="0"/>
        <w:spacing w:line="288" w:lineRule="auto"/>
        <w:rPr>
          <w:rFonts w:ascii="宋体" w:hAnsi="宋体" w:eastAsia="宋体" w:cs="Times New Roman"/>
          <w:b/>
          <w:bCs/>
          <w:color w:val="auto"/>
          <w:spacing w:val="-6"/>
          <w:szCs w:val="21"/>
          <w:highlight w:val="none"/>
        </w:rPr>
      </w:pPr>
    </w:p>
    <w:p w14:paraId="0C77E1CA">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6700A043">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1</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逐项按照招标文件要求填写响应规格；</w:t>
      </w:r>
    </w:p>
    <w:p w14:paraId="0587740E">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偏离说明是指对招标文件要求存在不同之处的解释说明。偏离系指：正偏离（高于采购需求）、负偏离（低于采购需求）、无偏离（满足采购需求）；</w:t>
      </w:r>
    </w:p>
    <w:p w14:paraId="4DE816B9">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bCs/>
          <w:color w:val="auto"/>
          <w:spacing w:val="-6"/>
          <w:szCs w:val="21"/>
          <w:highlight w:val="none"/>
        </w:rPr>
        <w:t>3</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如不填写或未如实填写</w:t>
      </w:r>
      <w:r>
        <w:rPr>
          <w:rFonts w:hint="eastAsia" w:ascii="宋体" w:hAnsi="宋体" w:eastAsia="宋体" w:cs="Times New Roman"/>
          <w:b/>
          <w:color w:val="auto"/>
          <w:spacing w:val="-6"/>
          <w:szCs w:val="21"/>
          <w:highlight w:val="none"/>
        </w:rPr>
        <w:t>，自行承担投标风险。</w:t>
      </w:r>
    </w:p>
    <w:p w14:paraId="758DA552">
      <w:pPr>
        <w:adjustRightInd w:val="0"/>
        <w:snapToGrid w:val="0"/>
        <w:spacing w:line="288" w:lineRule="auto"/>
        <w:rPr>
          <w:rFonts w:ascii="宋体" w:hAnsi="宋体" w:eastAsia="宋体" w:cs="Times New Roman"/>
          <w:color w:val="auto"/>
          <w:spacing w:val="-6"/>
          <w:szCs w:val="21"/>
          <w:highlight w:val="none"/>
        </w:rPr>
      </w:pPr>
    </w:p>
    <w:p w14:paraId="648C4B7A">
      <w:pPr>
        <w:adjustRightInd w:val="0"/>
        <w:snapToGrid w:val="0"/>
        <w:spacing w:line="288" w:lineRule="auto"/>
        <w:rPr>
          <w:rFonts w:ascii="宋体" w:hAnsi="宋体" w:eastAsia="宋体" w:cs="Times New Roman"/>
          <w:color w:val="auto"/>
          <w:spacing w:val="-6"/>
          <w:szCs w:val="21"/>
          <w:highlight w:val="none"/>
        </w:rPr>
      </w:pPr>
    </w:p>
    <w:p w14:paraId="29DA16CC">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3D63D987">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B73E61F">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Times New Roman"/>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5</w:t>
      </w:r>
      <w:r>
        <w:rPr>
          <w:rFonts w:hint="eastAsia"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lang w:val="en-US" w:eastAsia="zh-CN"/>
        </w:rPr>
        <w:t>标的</w:t>
      </w:r>
      <w:r>
        <w:rPr>
          <w:rFonts w:hint="eastAsia" w:ascii="宋体" w:hAnsi="宋体" w:eastAsia="宋体" w:cs="宋体"/>
          <w:b/>
          <w:color w:val="auto"/>
          <w:spacing w:val="-6"/>
          <w:szCs w:val="21"/>
          <w:highlight w:val="none"/>
        </w:rPr>
        <w:t>配置清单</w:t>
      </w:r>
      <w:r>
        <w:rPr>
          <w:rFonts w:hint="eastAsia" w:ascii="宋体" w:hAnsi="宋体" w:eastAsia="宋体" w:cs="宋体"/>
          <w:color w:val="auto"/>
          <w:spacing w:val="-6"/>
          <w:szCs w:val="21"/>
          <w:highlight w:val="none"/>
        </w:rPr>
        <w:t>（不含报价）</w:t>
      </w:r>
    </w:p>
    <w:tbl>
      <w:tblPr>
        <w:tblStyle w:val="23"/>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73E6F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40C147">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B68F4FA">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0093DDB">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p w14:paraId="5457464B">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或具体服务</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CC43D7B">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2C3E279">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7CC2895">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1A576B1D">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★产地</w:t>
            </w:r>
          </w:p>
        </w:tc>
        <w:tc>
          <w:tcPr>
            <w:tcW w:w="1591" w:type="dxa"/>
            <w:tcBorders>
              <w:top w:val="single" w:color="auto" w:sz="4" w:space="0"/>
              <w:left w:val="single" w:color="auto" w:sz="4" w:space="0"/>
              <w:bottom w:val="single" w:color="auto" w:sz="4" w:space="0"/>
              <w:right w:val="single" w:color="auto" w:sz="4" w:space="0"/>
            </w:tcBorders>
            <w:vAlign w:val="center"/>
          </w:tcPr>
          <w:p w14:paraId="2D6DD20F">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6D12CBCE">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（可另附页）</w:t>
            </w:r>
          </w:p>
        </w:tc>
      </w:tr>
      <w:tr w14:paraId="0A571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36C7A6">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0B86D9E">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FD244AC">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1C139E1">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09CE8BC">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7EC884E">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E565EAD">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39018BAB">
            <w:pPr>
              <w:adjustRightInd w:val="0"/>
              <w:snapToGrid w:val="0"/>
              <w:spacing w:line="360" w:lineRule="auto"/>
              <w:jc w:val="center"/>
              <w:rPr>
                <w:rFonts w:hint="eastAsia" w:ascii="宋体" w:hAnsi="宋体" w:eastAsia="宋体" w:cs="宋体"/>
                <w:b/>
                <w:bCs/>
                <w:color w:val="auto"/>
                <w:sz w:val="21"/>
                <w:szCs w:val="21"/>
                <w:highlight w:val="none"/>
              </w:rPr>
            </w:pPr>
          </w:p>
        </w:tc>
      </w:tr>
      <w:tr w14:paraId="672E2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4E2DF8">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787BFBE">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75A0EE8">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47F1B49">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CB81E53">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0193C0B">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B31AAD3">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156EB97">
            <w:pPr>
              <w:adjustRightInd w:val="0"/>
              <w:snapToGrid w:val="0"/>
              <w:spacing w:line="360" w:lineRule="auto"/>
              <w:jc w:val="center"/>
              <w:rPr>
                <w:rFonts w:hint="eastAsia" w:ascii="宋体" w:hAnsi="宋体" w:eastAsia="宋体" w:cs="宋体"/>
                <w:b/>
                <w:bCs/>
                <w:color w:val="auto"/>
                <w:sz w:val="21"/>
                <w:szCs w:val="21"/>
                <w:highlight w:val="none"/>
              </w:rPr>
            </w:pPr>
          </w:p>
        </w:tc>
      </w:tr>
      <w:tr w14:paraId="7EB6D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AC76D9">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43EBA71">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ED8E2B3">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1D67D28">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45E0BAB1">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265A497">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62208BA1">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7B93C016">
            <w:pPr>
              <w:adjustRightInd w:val="0"/>
              <w:snapToGrid w:val="0"/>
              <w:spacing w:line="360" w:lineRule="auto"/>
              <w:jc w:val="center"/>
              <w:rPr>
                <w:rFonts w:hint="eastAsia" w:ascii="宋体" w:hAnsi="宋体" w:eastAsia="宋体" w:cs="宋体"/>
                <w:b/>
                <w:bCs/>
                <w:color w:val="auto"/>
                <w:sz w:val="21"/>
                <w:szCs w:val="21"/>
                <w:highlight w:val="none"/>
              </w:rPr>
            </w:pPr>
          </w:p>
        </w:tc>
      </w:tr>
      <w:tr w14:paraId="1CF25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A2F5103">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★以下（联合体</w:t>
            </w:r>
            <w:r>
              <w:rPr>
                <w:rFonts w:hint="eastAsia" w:ascii="宋体" w:hAnsi="宋体" w:eastAsia="宋体" w:cs="宋体"/>
                <w:b/>
                <w:bCs/>
                <w:color w:val="auto"/>
                <w:sz w:val="21"/>
                <w:szCs w:val="21"/>
                <w:highlight w:val="none"/>
                <w:lang w:val="en-US" w:eastAsia="zh-CN"/>
              </w:rPr>
              <w:t>其他</w:t>
            </w:r>
            <w:r>
              <w:rPr>
                <w:rFonts w:hint="eastAsia" w:ascii="宋体" w:hAnsi="宋体" w:eastAsia="宋体" w:cs="宋体"/>
                <w:b/>
                <w:bCs/>
                <w:color w:val="auto"/>
                <w:sz w:val="21"/>
                <w:szCs w:val="21"/>
                <w:highlight w:val="none"/>
              </w:rPr>
              <w:t>成员）承担的部分：</w:t>
            </w:r>
          </w:p>
        </w:tc>
      </w:tr>
      <w:tr w14:paraId="5DFEA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AC38C4">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E51D793">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63449BCF">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5EF87FD">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F5F7939">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28AC8CD">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17CA2A4">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9E61F79">
            <w:pPr>
              <w:adjustRightInd w:val="0"/>
              <w:snapToGrid w:val="0"/>
              <w:spacing w:line="360" w:lineRule="auto"/>
              <w:jc w:val="center"/>
              <w:rPr>
                <w:rFonts w:hint="eastAsia" w:ascii="宋体" w:hAnsi="宋体" w:eastAsia="宋体" w:cs="宋体"/>
                <w:b/>
                <w:bCs/>
                <w:color w:val="auto"/>
                <w:sz w:val="21"/>
                <w:szCs w:val="21"/>
                <w:highlight w:val="none"/>
              </w:rPr>
            </w:pPr>
          </w:p>
        </w:tc>
      </w:tr>
      <w:tr w14:paraId="692E5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D21B328">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★以下（分包单位）承担的部分：</w:t>
            </w:r>
          </w:p>
        </w:tc>
      </w:tr>
      <w:tr w14:paraId="77D1A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B7E59E">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AE4FA92">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86C6D4F">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77224C5">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2881857C">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F085ABC">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7A1CB4B">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2219FEBA">
            <w:pPr>
              <w:adjustRightInd w:val="0"/>
              <w:snapToGrid w:val="0"/>
              <w:spacing w:line="360" w:lineRule="auto"/>
              <w:jc w:val="center"/>
              <w:rPr>
                <w:rFonts w:hint="eastAsia" w:ascii="宋体" w:hAnsi="宋体" w:eastAsia="宋体" w:cs="宋体"/>
                <w:b/>
                <w:bCs/>
                <w:color w:val="auto"/>
                <w:sz w:val="21"/>
                <w:szCs w:val="21"/>
                <w:highlight w:val="none"/>
              </w:rPr>
            </w:pPr>
          </w:p>
        </w:tc>
      </w:tr>
    </w:tbl>
    <w:p w14:paraId="620AEB82">
      <w:pPr>
        <w:adjustRightInd w:val="0"/>
        <w:snapToGrid w:val="0"/>
        <w:spacing w:line="288" w:lineRule="auto"/>
        <w:rPr>
          <w:rFonts w:ascii="宋体" w:hAnsi="宋体" w:eastAsia="宋体" w:cs="宋体"/>
          <w:color w:val="auto"/>
          <w:spacing w:val="-6"/>
          <w:szCs w:val="21"/>
          <w:highlight w:val="none"/>
        </w:rPr>
      </w:pPr>
    </w:p>
    <w:p w14:paraId="0AC09C55">
      <w:pPr>
        <w:adjustRightInd w:val="0"/>
        <w:snapToGrid w:val="0"/>
        <w:spacing w:line="360"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注：</w:t>
      </w:r>
    </w:p>
    <w:p w14:paraId="54D3D16A">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1.供应商应按照招标文件明确的标的清单填写此表；</w:t>
      </w:r>
    </w:p>
    <w:p w14:paraId="3FEE4730">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★2.服务项目不涉及提供货物的，规格型号、品牌、制造商、产地的可不填写；</w:t>
      </w:r>
    </w:p>
    <w:p w14:paraId="43AFC419">
      <w:pPr>
        <w:adjustRightInd w:val="0"/>
        <w:snapToGrid w:val="0"/>
        <w:spacing w:line="288" w:lineRule="auto"/>
        <w:rPr>
          <w:rFonts w:ascii="宋体" w:hAnsi="宋体" w:eastAsia="宋体" w:cs="宋体"/>
          <w:color w:val="auto"/>
          <w:spacing w:val="-6"/>
          <w:szCs w:val="21"/>
          <w:highlight w:val="none"/>
        </w:rPr>
      </w:pPr>
      <w:r>
        <w:rPr>
          <w:rFonts w:hint="eastAsia" w:ascii="宋体" w:hAnsi="宋体" w:eastAsia="宋体" w:cs="宋体"/>
          <w:bCs/>
          <w:color w:val="auto"/>
          <w:spacing w:val="-6"/>
          <w:szCs w:val="21"/>
          <w:highlight w:val="none"/>
        </w:rPr>
        <w:t>★3.联合体其他成员承担的部分、分包单位承担的部分，应在表中列明。</w:t>
      </w:r>
    </w:p>
    <w:p w14:paraId="285BD28A">
      <w:pPr>
        <w:adjustRightInd w:val="0"/>
        <w:snapToGrid w:val="0"/>
        <w:spacing w:line="288" w:lineRule="auto"/>
        <w:rPr>
          <w:rFonts w:hint="eastAsia" w:ascii="宋体" w:hAnsi="宋体" w:eastAsia="宋体" w:cs="Times New Roman"/>
          <w:b/>
          <w:bCs/>
          <w:color w:val="auto"/>
          <w:spacing w:val="-6"/>
          <w:szCs w:val="21"/>
          <w:highlight w:val="none"/>
        </w:rPr>
      </w:pPr>
    </w:p>
    <w:p w14:paraId="4019593B">
      <w:pPr>
        <w:adjustRightInd w:val="0"/>
        <w:snapToGrid w:val="0"/>
        <w:spacing w:line="288" w:lineRule="auto"/>
        <w:rPr>
          <w:rFonts w:hint="eastAsia" w:ascii="宋体" w:hAnsi="宋体" w:eastAsia="宋体" w:cs="Times New Roman"/>
          <w:b/>
          <w:bCs/>
          <w:color w:val="auto"/>
          <w:spacing w:val="-6"/>
          <w:szCs w:val="21"/>
          <w:highlight w:val="none"/>
        </w:rPr>
      </w:pPr>
    </w:p>
    <w:p w14:paraId="6027D0A8">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59776EE9">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A8C0123">
      <w:pPr>
        <w:autoSpaceDE w:val="0"/>
        <w:autoSpaceDN w:val="0"/>
        <w:adjustRightInd w:val="0"/>
        <w:snapToGrid w:val="0"/>
        <w:spacing w:line="288" w:lineRule="auto"/>
        <w:jc w:val="left"/>
        <w:rPr>
          <w:rFonts w:ascii="宋体" w:hAnsi="宋体" w:eastAsia="宋体" w:cs="宋体"/>
          <w:color w:val="auto"/>
          <w:spacing w:val="-6"/>
          <w:kern w:val="0"/>
          <w:szCs w:val="21"/>
          <w:highlight w:val="none"/>
        </w:rPr>
      </w:pPr>
    </w:p>
    <w:p w14:paraId="4244FB24">
      <w:pPr>
        <w:adjustRightInd w:val="0"/>
        <w:snapToGrid w:val="0"/>
        <w:spacing w:line="288" w:lineRule="auto"/>
        <w:rPr>
          <w:rFonts w:ascii="宋体" w:hAnsi="宋体" w:eastAsia="宋体" w:cs="宋体"/>
          <w:color w:val="auto"/>
          <w:szCs w:val="21"/>
          <w:highlight w:val="none"/>
        </w:rPr>
      </w:pPr>
    </w:p>
    <w:p w14:paraId="3CF17650">
      <w:pPr>
        <w:adjustRightInd w:val="0"/>
        <w:snapToGrid w:val="0"/>
        <w:spacing w:line="288" w:lineRule="auto"/>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附：产品技术支持材料</w:t>
      </w:r>
    </w:p>
    <w:p w14:paraId="01CD473D">
      <w:pPr>
        <w:adjustRightInd w:val="0"/>
        <w:snapToGrid w:val="0"/>
        <w:spacing w:line="288" w:lineRule="auto"/>
        <w:jc w:val="center"/>
        <w:outlineLvl w:val="9"/>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2A844F7B">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6</w:t>
      </w:r>
      <w:r>
        <w:rPr>
          <w:rFonts w:hint="eastAsia" w:ascii="宋体" w:hAnsi="宋体" w:eastAsia="宋体" w:cs="宋体"/>
          <w:b/>
          <w:color w:val="auto"/>
          <w:spacing w:val="-6"/>
          <w:szCs w:val="21"/>
          <w:highlight w:val="none"/>
        </w:rPr>
        <w:t>）技术方案</w:t>
      </w:r>
    </w:p>
    <w:p w14:paraId="30E9F9A7">
      <w:pPr>
        <w:adjustRightInd w:val="0"/>
        <w:snapToGrid w:val="0"/>
        <w:spacing w:line="288" w:lineRule="auto"/>
        <w:rPr>
          <w:rFonts w:hint="eastAsia" w:ascii="宋体" w:hAnsi="宋体" w:eastAsia="宋体" w:cs="宋体"/>
          <w:b/>
          <w:color w:val="auto"/>
          <w:spacing w:val="-6"/>
          <w:szCs w:val="21"/>
          <w:highlight w:val="none"/>
        </w:rPr>
      </w:pPr>
    </w:p>
    <w:p w14:paraId="1B1B3896">
      <w:pPr>
        <w:adjustRightInd w:val="0"/>
        <w:snapToGrid w:val="0"/>
        <w:spacing w:line="288" w:lineRule="auto"/>
        <w:rPr>
          <w:rFonts w:hint="eastAsia" w:ascii="宋体" w:hAnsi="宋体" w:eastAsia="宋体" w:cs="宋体"/>
          <w:b/>
          <w:color w:val="auto"/>
          <w:spacing w:val="-6"/>
          <w:szCs w:val="21"/>
          <w:highlight w:val="none"/>
        </w:rPr>
      </w:pPr>
    </w:p>
    <w:p w14:paraId="7E569FD1">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7</w:t>
      </w:r>
      <w:r>
        <w:rPr>
          <w:rFonts w:hint="eastAsia" w:ascii="宋体" w:hAnsi="宋体" w:eastAsia="宋体" w:cs="宋体"/>
          <w:b/>
          <w:color w:val="auto"/>
          <w:spacing w:val="-6"/>
          <w:szCs w:val="21"/>
          <w:highlight w:val="none"/>
        </w:rPr>
        <w:t>）节能环保产品证明材料</w:t>
      </w:r>
    </w:p>
    <w:p w14:paraId="5C3E0026">
      <w:pPr>
        <w:adjustRightInd w:val="0"/>
        <w:snapToGrid w:val="0"/>
        <w:spacing w:line="288" w:lineRule="auto"/>
        <w:ind w:left="420" w:left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1）有效的政府强制采购节能产品的节能产品认证证书【请逐项列明产品的品牌型号及对应的节能产品认证证书】</w:t>
      </w:r>
    </w:p>
    <w:p w14:paraId="519888F2">
      <w:pPr>
        <w:adjustRightInd w:val="0"/>
        <w:snapToGrid w:val="0"/>
        <w:spacing w:line="288" w:lineRule="auto"/>
        <w:ind w:left="420" w:leftChars="200"/>
        <w:rPr>
          <w:rFonts w:hint="eastAsia" w:ascii="宋体" w:hAnsi="宋体" w:eastAsia="宋体" w:cs="Times New Roman"/>
          <w:b/>
          <w:color w:val="auto"/>
          <w:szCs w:val="21"/>
          <w:highlight w:val="none"/>
        </w:rPr>
      </w:pPr>
    </w:p>
    <w:p w14:paraId="63CA8F44">
      <w:pPr>
        <w:adjustRightInd w:val="0"/>
        <w:snapToGrid w:val="0"/>
        <w:spacing w:line="288" w:lineRule="auto"/>
        <w:ind w:left="420" w:leftChars="200"/>
        <w:rPr>
          <w:rFonts w:hint="eastAsia" w:ascii="宋体" w:hAnsi="宋体" w:eastAsia="宋体" w:cs="Times New Roman"/>
          <w:b/>
          <w:color w:val="auto"/>
          <w:szCs w:val="21"/>
          <w:highlight w:val="none"/>
        </w:rPr>
      </w:pPr>
    </w:p>
    <w:p w14:paraId="6CE71E5C">
      <w:pPr>
        <w:adjustRightInd w:val="0"/>
        <w:snapToGrid w:val="0"/>
        <w:spacing w:line="288" w:lineRule="auto"/>
        <w:ind w:left="420" w:left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2）有效的节能产品认证证书（</w:t>
      </w:r>
      <w:r>
        <w:rPr>
          <w:rFonts w:hint="eastAsia" w:ascii="宋体" w:hAnsi="宋体" w:eastAsia="宋体" w:cs="宋体"/>
          <w:b/>
          <w:bCs/>
          <w:color w:val="auto"/>
          <w:szCs w:val="21"/>
          <w:highlight w:val="none"/>
        </w:rPr>
        <w:t>政府强制采购的节能产品的除外</w:t>
      </w:r>
      <w:r>
        <w:rPr>
          <w:rFonts w:hint="eastAsia" w:ascii="宋体" w:hAnsi="宋体" w:eastAsia="宋体" w:cs="Times New Roman"/>
          <w:b/>
          <w:color w:val="auto"/>
          <w:szCs w:val="21"/>
          <w:highlight w:val="none"/>
        </w:rPr>
        <w:t>）</w:t>
      </w:r>
    </w:p>
    <w:p w14:paraId="79849685">
      <w:pPr>
        <w:adjustRightInd w:val="0"/>
        <w:snapToGrid w:val="0"/>
        <w:spacing w:line="288" w:lineRule="auto"/>
        <w:ind w:left="420" w:leftChars="200"/>
        <w:rPr>
          <w:rFonts w:hint="eastAsia" w:ascii="宋体" w:hAnsi="宋体" w:eastAsia="宋体" w:cs="Times New Roman"/>
          <w:b/>
          <w:color w:val="auto"/>
          <w:szCs w:val="21"/>
          <w:highlight w:val="none"/>
        </w:rPr>
      </w:pPr>
    </w:p>
    <w:p w14:paraId="6E8F6A1E">
      <w:pPr>
        <w:adjustRightInd w:val="0"/>
        <w:snapToGrid w:val="0"/>
        <w:spacing w:line="288" w:lineRule="auto"/>
        <w:ind w:left="420" w:leftChars="200"/>
        <w:rPr>
          <w:rFonts w:hint="eastAsia" w:ascii="宋体" w:hAnsi="宋体" w:eastAsia="宋体" w:cs="Times New Roman"/>
          <w:b/>
          <w:color w:val="auto"/>
          <w:szCs w:val="21"/>
          <w:highlight w:val="none"/>
        </w:rPr>
      </w:pPr>
    </w:p>
    <w:p w14:paraId="0EE70034">
      <w:pPr>
        <w:adjustRightInd w:val="0"/>
        <w:snapToGrid w:val="0"/>
        <w:spacing w:line="288" w:lineRule="auto"/>
        <w:ind w:left="420" w:leftChars="200"/>
        <w:rPr>
          <w:rFonts w:hint="eastAsia" w:ascii="宋体" w:hAnsi="宋体" w:eastAsia="宋体" w:cs="Times New Roman"/>
          <w:b/>
          <w:color w:val="auto"/>
          <w:szCs w:val="21"/>
          <w:highlight w:val="none"/>
        </w:rPr>
      </w:pPr>
    </w:p>
    <w:p w14:paraId="4EFF95BE">
      <w:pPr>
        <w:adjustRightInd w:val="0"/>
        <w:snapToGrid w:val="0"/>
        <w:spacing w:line="288" w:lineRule="auto"/>
        <w:ind w:left="420" w:left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3）有效的环境标志产品认证证书</w:t>
      </w:r>
    </w:p>
    <w:p w14:paraId="3E208579">
      <w:pPr>
        <w:adjustRightInd w:val="0"/>
        <w:snapToGrid w:val="0"/>
        <w:spacing w:line="288" w:lineRule="auto"/>
        <w:rPr>
          <w:rFonts w:hint="eastAsia" w:ascii="宋体" w:hAnsi="宋体" w:eastAsia="宋体" w:cs="Times New Roman"/>
          <w:b/>
          <w:color w:val="auto"/>
          <w:szCs w:val="21"/>
          <w:highlight w:val="none"/>
        </w:rPr>
      </w:pPr>
    </w:p>
    <w:p w14:paraId="00AD3892">
      <w:pPr>
        <w:adjustRightInd w:val="0"/>
        <w:snapToGrid w:val="0"/>
        <w:spacing w:line="288" w:lineRule="auto"/>
        <w:rPr>
          <w:rFonts w:hint="eastAsia" w:ascii="宋体" w:hAnsi="宋体" w:eastAsia="宋体" w:cs="Times New Roman"/>
          <w:b/>
          <w:color w:val="auto"/>
          <w:szCs w:val="21"/>
          <w:highlight w:val="none"/>
        </w:rPr>
      </w:pPr>
    </w:p>
    <w:p w14:paraId="105FE2B4">
      <w:pPr>
        <w:adjustRightInd w:val="0"/>
        <w:snapToGrid w:val="0"/>
        <w:spacing w:line="288" w:lineRule="auto"/>
        <w:rPr>
          <w:rFonts w:hint="eastAsia" w:ascii="宋体" w:hAnsi="宋体" w:eastAsia="宋体" w:cs="Times New Roman"/>
          <w:b/>
          <w:color w:val="auto"/>
          <w:szCs w:val="21"/>
          <w:highlight w:val="none"/>
        </w:rPr>
      </w:pPr>
    </w:p>
    <w:p w14:paraId="4988C691">
      <w:pPr>
        <w:adjustRightInd w:val="0"/>
        <w:snapToGrid w:val="0"/>
        <w:spacing w:line="288" w:lineRule="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说明：投标产品属于品目清单范围且提供国家确定的认证机构出具的有效的节能产品、环境标志产品认证证书（扫描件）。</w:t>
      </w:r>
    </w:p>
    <w:p w14:paraId="1F369057">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0B4C2BBB">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t>▲采购人拟采购的产品属于政府强制采购的节能产品品目清单范围的，投标人未按招标文件要求提供国家确定的认证机构出具的、有效的节能产品认证证书的，投标无效。</w:t>
      </w:r>
    </w:p>
    <w:p w14:paraId="04365B69">
      <w:pPr>
        <w:adjustRightInd w:val="0"/>
        <w:snapToGrid w:val="0"/>
        <w:spacing w:line="288" w:lineRule="auto"/>
        <w:rPr>
          <w:rFonts w:hint="eastAsia" w:ascii="宋体" w:hAnsi="宋体" w:eastAsia="宋体" w:cs="Times New Roman"/>
          <w:b/>
          <w:color w:val="auto"/>
          <w:szCs w:val="21"/>
          <w:highlight w:val="none"/>
        </w:rPr>
      </w:pPr>
    </w:p>
    <w:p w14:paraId="345D80A5">
      <w:pPr>
        <w:rPr>
          <w:rFonts w:hint="eastAsia" w:ascii="黑体" w:hAnsi="黑体" w:eastAsia="黑体" w:cs="黑体"/>
          <w:color w:val="auto"/>
          <w:szCs w:val="21"/>
          <w:highlight w:val="none"/>
        </w:rPr>
      </w:pPr>
      <w:r>
        <w:rPr>
          <w:rFonts w:hint="eastAsia" w:ascii="黑体" w:hAnsi="黑体" w:eastAsia="黑体" w:cs="黑体"/>
          <w:color w:val="auto"/>
          <w:szCs w:val="21"/>
          <w:highlight w:val="none"/>
        </w:rPr>
        <w:br w:type="page"/>
      </w:r>
    </w:p>
    <w:p w14:paraId="021D07F2">
      <w:pPr>
        <w:keepNext/>
        <w:widowControl/>
        <w:rPr>
          <w:rFonts w:hint="eastAsia" w:ascii="黑体" w:hAnsi="黑体" w:eastAsia="黑体" w:cs="黑体"/>
          <w:color w:val="auto"/>
          <w:szCs w:val="21"/>
          <w:highlight w:val="none"/>
        </w:rPr>
      </w:pPr>
      <w:r>
        <w:rPr>
          <w:rFonts w:hint="eastAsia" w:ascii="黑体" w:hAnsi="黑体" w:eastAsia="黑体" w:cs="黑体"/>
          <w:color w:val="auto"/>
          <w:szCs w:val="21"/>
          <w:highlight w:val="none"/>
        </w:rPr>
        <w:t>附件：节能产品政府采购品目清单</w:t>
      </w:r>
    </w:p>
    <w:tbl>
      <w:tblPr>
        <w:tblStyle w:val="23"/>
        <w:tblW w:w="4999" w:type="pct"/>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autofit"/>
        <w:tblCellMar>
          <w:top w:w="0" w:type="dxa"/>
          <w:left w:w="108" w:type="dxa"/>
          <w:bottom w:w="0" w:type="dxa"/>
          <w:right w:w="108" w:type="dxa"/>
        </w:tblCellMar>
      </w:tblPr>
      <w:tblGrid>
        <w:gridCol w:w="666"/>
        <w:gridCol w:w="1872"/>
        <w:gridCol w:w="2138"/>
        <w:gridCol w:w="1753"/>
        <w:gridCol w:w="3197"/>
      </w:tblGrid>
      <w:tr w14:paraId="163478F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PrEx>
        <w:trPr>
          <w:trHeight w:val="567" w:hRule="atLeast"/>
          <w:tblHeader/>
          <w:jc w:val="center"/>
        </w:trPr>
        <w:tc>
          <w:tcPr>
            <w:tcW w:w="346"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2EC685C3">
            <w:pPr>
              <w:jc w:val="cente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品目序号</w:t>
            </w:r>
          </w:p>
        </w:tc>
        <w:tc>
          <w:tcPr>
            <w:tcW w:w="2992"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11066230">
            <w:pPr>
              <w:jc w:val="cente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名称</w:t>
            </w:r>
          </w:p>
        </w:tc>
        <w:tc>
          <w:tcPr>
            <w:tcW w:w="1660"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3CF17579">
            <w:pPr>
              <w:jc w:val="cente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依据的标准</w:t>
            </w:r>
          </w:p>
        </w:tc>
      </w:tr>
      <w:tr w14:paraId="63CB50B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611D660">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55A0CA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A020101计算机设备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AA3116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★A02010104台式计算机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CDF1D2B">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6ECD6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141CF03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9E399CE">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B901ED7">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FC2859">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★A02010105便携式计算</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EA4BD1D">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F7F92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3246F6C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37E1D8">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BDFE4F9">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60059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★A02010107平板式微型计算机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C24EBC">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E5371F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3F8719E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7751989">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2</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2618B4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A020106输入输出设备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3296CA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A02010601打印设备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73A032F">
            <w:pPr>
              <w:jc w:val="left"/>
              <w:rPr>
                <w:rFonts w:hint="eastAsia" w:ascii="黑体" w:hAnsi="黑体" w:eastAsia="黑体" w:cs="黑体"/>
                <w:color w:val="auto"/>
                <w:w w:val="90"/>
                <w:szCs w:val="21"/>
                <w:highlight w:val="none"/>
              </w:rPr>
            </w:pPr>
            <w:r>
              <w:rPr>
                <w:rFonts w:hint="eastAsia" w:ascii="黑体" w:hAnsi="黑体" w:eastAsia="黑体" w:cs="黑体"/>
                <w:bCs/>
                <w:color w:val="auto"/>
                <w:w w:val="90"/>
                <w:szCs w:val="21"/>
                <w:highlight w:val="none"/>
              </w:rPr>
              <w:t>A0201060101喷墨打印机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98E49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66953D6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CF975AE">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2467FB">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4B5E4DF">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11A0CF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★A0201060102激光打印机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F6F296D">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3F07EDB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6237C6">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1024AC0">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FA547B">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87DD6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★A0201060104针式打印机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444D0B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67103E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36B11D">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3356B26">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5C3A7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A02010604显示设备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43BC0C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★A0201060401液晶显示器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5F38B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《计算机显示器能效限定值及能效等级》（GB 21520）</w:t>
            </w:r>
          </w:p>
        </w:tc>
      </w:tr>
      <w:tr w14:paraId="6087F90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46AC71">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352670F">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487599">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A02010609图形图像输入设备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D475E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A0201060901扫描仪</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BBFA8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参照《复印机、打印机和传真机能效限定值及能效等级》（GB 21521中打印速度为 15 页/分的针式打印机相关要求</w:t>
            </w:r>
          </w:p>
        </w:tc>
      </w:tr>
      <w:tr w14:paraId="7197A98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B6A0492">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3E2C4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A020202投影仪</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34A3F0">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F81FE5C">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07F6E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《投影机能效限定值及能效等级（GB 32028）</w:t>
            </w:r>
          </w:p>
        </w:tc>
      </w:tr>
      <w:tr w14:paraId="1D4BAD1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505173">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E5190B4">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A020204352多功能一体机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2920C1">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6DA845F">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151EC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17DF850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3B0BB0">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5</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33C46B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A020519泵</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71A3F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A02051901离心泵</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4ACDBA7">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737F19">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《清水离心泵能效限定值及节能评价值》（GB 19762）</w:t>
            </w:r>
          </w:p>
        </w:tc>
      </w:tr>
      <w:tr w14:paraId="108DF11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4FE1D33">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6</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3B3235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A020523制冷空调设备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A5EA29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★A02052301制冷压缩机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B9004E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F18AC1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《冷水机组能效限定值及能效等级》（GB 19577），《低环境温度空气源热泵（冷水）机组能效限定值及能效等级》（GB 37480）</w:t>
            </w:r>
          </w:p>
        </w:tc>
      </w:tr>
      <w:tr w14:paraId="50B039A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0664B22">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F5D1A09">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BCBE70">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E28923">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水源热泵机组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B3AAE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《水（地）源热泵机组能效限定值及能效等级》（GB 30721）</w:t>
            </w:r>
          </w:p>
        </w:tc>
      </w:tr>
      <w:tr w14:paraId="5AAB8C0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A1B948">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E4DB64E">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579C30">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A0FACB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溴化锂吸收式冷水机组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661A2B3">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《溴化锂吸收式冷水机组能效限定值及能效等级》（GB 29540）</w:t>
            </w:r>
          </w:p>
        </w:tc>
      </w:tr>
      <w:tr w14:paraId="48865B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2281B67">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7AFE1A2">
            <w:pPr>
              <w:jc w:val="left"/>
              <w:rPr>
                <w:rFonts w:hint="eastAsia"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16FEBE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★A02052305空调机组</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BADF6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519595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《多联式空调（热泵）机组能效限定值及能源效率等级》（GB 21454）</w:t>
            </w:r>
          </w:p>
        </w:tc>
      </w:tr>
      <w:tr w14:paraId="02CFD62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5E898F">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D01C5F">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DD5828">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8BC2E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C0357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《单元式空气调节机能效限定值及能效等级》（GB 19576）《风管送风式空调机组能效限定值及能效等级》（GB 37479）</w:t>
            </w:r>
          </w:p>
        </w:tc>
      </w:tr>
      <w:tr w14:paraId="7F48FCB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A5720F4">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B9836D6">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97CACCD">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★A02052309专用制冷、空调设备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EFDEE1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机房空调</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A3DC5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《单元式空气调节机能效限定值及能效等级》（GB 19576）</w:t>
            </w:r>
          </w:p>
        </w:tc>
      </w:tr>
      <w:tr w14:paraId="67B5E33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134BF9">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566D7E">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FB3530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A02052399其他制冷空调设备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D857F6D">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冷却塔</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576357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《机械通风冷却塔 第 1 部分：中小型开式冷却塔》（GB/T 7190.1）</w:t>
            </w:r>
          </w:p>
          <w:p w14:paraId="52ECF66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《机械通风冷却塔 第 2 部分：大型开式冷却塔》（GB/T 7190.2）</w:t>
            </w:r>
          </w:p>
        </w:tc>
      </w:tr>
      <w:tr w14:paraId="029879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D9F930">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39823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A020601电机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45B21B">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CE70C7">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C95A4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《中小型三相异步电动机能效限定值及能效等级》（GB 18613）</w:t>
            </w:r>
          </w:p>
        </w:tc>
      </w:tr>
      <w:tr w14:paraId="3C48A82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70A661">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2ABA31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A020602变压器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D9BAD1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配电变压器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84D7852">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F0DB79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《三相配电变压器能效限定值及能效等级》（GB 20052）</w:t>
            </w:r>
          </w:p>
        </w:tc>
      </w:tr>
      <w:tr w14:paraId="256F30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A676530">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9</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A1C2C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★A020609镇流器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7BAD63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管型荧光灯镇流器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B8C82F">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CE4828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《管形荧光灯镇流器能效限定值及能效等级》（GB 17896）</w:t>
            </w:r>
          </w:p>
        </w:tc>
      </w:tr>
      <w:tr w14:paraId="0DA90E7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5AA73CD">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10</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7293FF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 生活用电器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888F73">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A0206180101电冰箱</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5F3EDA4">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9F095A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《家用电冰箱耗电量限定值及能效等级》（GB</w:t>
            </w:r>
            <w:r>
              <w:rPr>
                <w:rFonts w:hint="eastAsia" w:ascii="黑体" w:hAnsi="黑体" w:eastAsia="黑体" w:cs="黑体"/>
                <w:color w:val="auto"/>
                <w:w w:val="90"/>
                <w:szCs w:val="21"/>
                <w:highlight w:val="none"/>
              </w:rPr>
              <w:tab/>
            </w:r>
            <w:r>
              <w:rPr>
                <w:rFonts w:hint="eastAsia" w:ascii="黑体" w:hAnsi="黑体" w:eastAsia="黑体" w:cs="黑体"/>
                <w:color w:val="auto"/>
                <w:w w:val="90"/>
                <w:szCs w:val="21"/>
                <w:highlight w:val="none"/>
              </w:rPr>
              <w:t>12021.2）</w:t>
            </w:r>
          </w:p>
        </w:tc>
      </w:tr>
      <w:tr w14:paraId="5840B8C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99BCD6F">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924E0A2">
            <w:pPr>
              <w:jc w:val="left"/>
              <w:rPr>
                <w:rFonts w:hint="eastAsia"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6CA815D">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★A0206180203空调机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D1B6C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房间空气调节器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55EFDE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《转速可控型房间空气调节器能效限定值及能效等级》（GB 21455-2013），待2019年修订发布后，按《房间空气调节器能效限定值及能效等级》（GB21455-2019）实施。</w:t>
            </w:r>
          </w:p>
        </w:tc>
      </w:tr>
      <w:tr w14:paraId="7F59A61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5FC9290">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58F7EF9">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06D612">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4F528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多联式空调（热泵）机组（制冷量≤ 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1E8ED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《多联式空调（热泵）机组能效限定值及能源效率等级》（GB 21454）</w:t>
            </w:r>
          </w:p>
        </w:tc>
      </w:tr>
      <w:tr w14:paraId="019212C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D469D99">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918C230">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5DE697B">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815673">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单元式空气调节机(制冷量≤14000W)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CDE272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《单元式空气调节机能效限定值及能源效率等级》（GB 19576）《风管送风式空调机组能效限定值及能效等级》（GB 37479）</w:t>
            </w:r>
          </w:p>
        </w:tc>
      </w:tr>
      <w:tr w14:paraId="7A472AF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BE690C4">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74C8573">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A84E5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A0206180301洗衣机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CD236FA">
            <w:pPr>
              <w:jc w:val="left"/>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93C05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《电动洗衣机能效水效限定值及等级》（GB 12021.4）</w:t>
            </w:r>
          </w:p>
        </w:tc>
      </w:tr>
      <w:tr w14:paraId="08024D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491423">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964FAA">
            <w:pPr>
              <w:jc w:val="left"/>
              <w:rPr>
                <w:rFonts w:hint="eastAsia"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67B1B8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A02061808热水器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DAE92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30178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《储水式电热水器能效限定值及能效等级》（GB 21519）</w:t>
            </w:r>
          </w:p>
        </w:tc>
      </w:tr>
      <w:tr w14:paraId="04FA4C6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B56F88E">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8A578C">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04D6849">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A6648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燃气热水器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E6A743D">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《家用燃气快速热水器和燃气采暖热水炉能效限定值及能效等级（GB 20665）</w:t>
            </w:r>
          </w:p>
        </w:tc>
      </w:tr>
      <w:tr w14:paraId="7627749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52228D">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043CDD">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89FA242">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F208BC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热泵热水器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E9E336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《热泵热水机（器）能效限定值及能效等级》（GB 29541）</w:t>
            </w:r>
          </w:p>
        </w:tc>
      </w:tr>
      <w:tr w14:paraId="6C82C8A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B00A09">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67DE4FF">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C6C96C">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32A3CA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太阳能热水系统</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66B03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《家用太阳能热水系统能效限定值及能效等级》（GB 26969）</w:t>
            </w:r>
          </w:p>
        </w:tc>
      </w:tr>
      <w:tr w14:paraId="5FABD11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058A1FB">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34B090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A020619 照明设备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0A537B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★普通照明用双端荧光灯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D5744D8">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7F8D26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《普通照明用双端荧光灯能效限定值及能效等级》（GB 19043）</w:t>
            </w:r>
          </w:p>
        </w:tc>
      </w:tr>
      <w:tr w14:paraId="1D98397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D824BBB">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A02AFC">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D9DEE8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LED道路/隧道照明产品</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D45083">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221968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《道路和隧道照明用LED灯具能效限定值及能效等级》（GB 37478）</w:t>
            </w:r>
          </w:p>
        </w:tc>
      </w:tr>
      <w:tr w14:paraId="5AC7880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3E2740E">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18B42C2">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68CE81D">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LED筒灯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B17FFE">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881CD9">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《室内照明用LED产品能效限定值及能效等级》（GB 30255）</w:t>
            </w:r>
          </w:p>
        </w:tc>
      </w:tr>
      <w:tr w14:paraId="71810DA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3BB1EAF">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94EFC0">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BE59D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普通照明用非定向自镇流LED灯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8A4734">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8DA8083">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《室内照明用LED产品能效限定值及能效等级》（GB 30255）</w:t>
            </w:r>
          </w:p>
        </w:tc>
      </w:tr>
      <w:tr w14:paraId="454708E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EF4FD5A">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12</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A86F7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★A020910电视设备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C9E9C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A02091001普通电视设备（电视机）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4192E55">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136CF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《平板电视能效限定值及能效等级》（GB 24850）</w:t>
            </w:r>
          </w:p>
        </w:tc>
      </w:tr>
      <w:tr w14:paraId="1186B57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2D7E54">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54326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★A020911视频设备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E1DB99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A02091107视频监控设备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657D1F">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监视器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7DC8A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以射频信号为主要信号输入的监视器应符合《平板电视能效限定值及能效等级》（GB 24850），以数字信号为主要信号输入的监视器应符合《计算机显示器能效限定值及能效等级》（GB 21520）</w:t>
            </w:r>
          </w:p>
        </w:tc>
      </w:tr>
      <w:tr w14:paraId="252C89D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EB4135">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317EF3">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A031210饮食炊事机械</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0DFEAF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商用燃气灶具</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452860">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D2A91EA">
            <w:pPr>
              <w:jc w:val="left"/>
              <w:rPr>
                <w:rFonts w:hint="eastAsia" w:ascii="黑体" w:hAnsi="黑体" w:eastAsia="黑体" w:cs="黑体"/>
                <w:color w:val="auto"/>
                <w:w w:val="90"/>
                <w:szCs w:val="21"/>
                <w:highlight w:val="none"/>
              </w:rPr>
            </w:pPr>
          </w:p>
        </w:tc>
      </w:tr>
      <w:tr w14:paraId="05CD98D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8B0A9B0">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15</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C6AA1B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★A060805便器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CA24E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坐便器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2F743EE">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F5E543">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《坐便器水效限定值及水效等级</w:t>
            </w:r>
          </w:p>
          <w:p w14:paraId="5E69397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（GB 25502）</w:t>
            </w:r>
          </w:p>
        </w:tc>
      </w:tr>
      <w:tr w14:paraId="5FCFCB4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B6E36F1">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E3EA188">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3C79A0D">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蹲便器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B6DAEAD">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D3076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《蹲便器用水效率限定值及用水效率等级》（GB 30717）</w:t>
            </w:r>
          </w:p>
        </w:tc>
      </w:tr>
      <w:tr w14:paraId="1024502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B5C92B">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F34BD0">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1B0588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小便器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42324D">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90915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《小便器用水效率限定值及用水效率等级》（GB 28377）</w:t>
            </w:r>
          </w:p>
        </w:tc>
      </w:tr>
      <w:tr w14:paraId="546FBED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23E60C">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16</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3D3A3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★A060806水嘴</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FEE4FDB">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47A472B">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0928D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《水嘴用水效率限定值及用水效率等级》（GB 25501）</w:t>
            </w:r>
          </w:p>
        </w:tc>
      </w:tr>
      <w:tr w14:paraId="699DED3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F9A4BC">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D319D9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A060807便器冲洗阀</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773C71">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567054">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1FFF9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《便器冲洗阀用水效率限定值及用水效率等级》（GB 28379）</w:t>
            </w:r>
          </w:p>
        </w:tc>
      </w:tr>
      <w:tr w14:paraId="304CBA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AA3611A">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D10CC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A060810淋浴器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6E3B1BE">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8268724">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91B1DA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《淋浴器用水效率限定值及用水效率等级》（GB 28378）</w:t>
            </w:r>
          </w:p>
        </w:tc>
      </w:tr>
    </w:tbl>
    <w:p w14:paraId="0A9AA002">
      <w:pP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注：</w:t>
      </w:r>
    </w:p>
    <w:p w14:paraId="68F91D5A">
      <w:pP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1、节能产品认证应依据相关国家标准的最新版本，依据国家标准中二级能效（水效）指标。</w:t>
      </w:r>
    </w:p>
    <w:p w14:paraId="37E8017A">
      <w:pP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2、上述产品中认证标准发生变更的，依据原认证标准获得的、仍在有效期内的认证证书可使用至2019年6月1日。</w:t>
      </w:r>
    </w:p>
    <w:p w14:paraId="5A8D81DB">
      <w:pP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3、以“★”标注的为政府强制采购产品。</w:t>
      </w:r>
    </w:p>
    <w:p w14:paraId="01BB94EA">
      <w:pPr>
        <w:adjustRightInd w:val="0"/>
        <w:snapToGrid w:val="0"/>
        <w:rPr>
          <w:rFonts w:hint="eastAsia" w:ascii="黑体" w:hAnsi="黑体" w:eastAsia="黑体" w:cs="黑体"/>
          <w:b/>
          <w:color w:val="auto"/>
          <w:szCs w:val="21"/>
          <w:highlight w:val="none"/>
        </w:rPr>
      </w:pPr>
    </w:p>
    <w:p w14:paraId="144C8D22">
      <w:pP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br w:type="page"/>
      </w:r>
    </w:p>
    <w:p w14:paraId="57CF06B4">
      <w:pPr>
        <w:keepNext/>
        <w:widowControl/>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附件：环境标志产品政府采购品目清单</w:t>
      </w:r>
    </w:p>
    <w:tbl>
      <w:tblPr>
        <w:tblStyle w:val="23"/>
        <w:tblW w:w="5000" w:type="pct"/>
        <w:tblInd w:w="0" w:type="dxa"/>
        <w:tblLayout w:type="autofit"/>
        <w:tblCellMar>
          <w:top w:w="0" w:type="dxa"/>
          <w:left w:w="108" w:type="dxa"/>
          <w:bottom w:w="0" w:type="dxa"/>
          <w:right w:w="108" w:type="dxa"/>
        </w:tblCellMar>
      </w:tblPr>
      <w:tblGrid>
        <w:gridCol w:w="770"/>
        <w:gridCol w:w="1181"/>
        <w:gridCol w:w="2444"/>
        <w:gridCol w:w="1934"/>
        <w:gridCol w:w="3299"/>
      </w:tblGrid>
      <w:tr w14:paraId="1A01C241">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3C40FE75">
            <w:pPr>
              <w:widowControl/>
              <w:jc w:val="left"/>
              <w:rPr>
                <w:rFonts w:hint="eastAsia" w:ascii="黑体" w:hAnsi="黑体" w:eastAsia="黑体" w:cs="黑体"/>
                <w:b/>
                <w:bCs/>
                <w:color w:val="auto"/>
                <w:kern w:val="0"/>
                <w:szCs w:val="21"/>
                <w:highlight w:val="none"/>
              </w:rPr>
            </w:pPr>
            <w:bookmarkStart w:id="61" w:name="_Hlk171952688"/>
            <w:r>
              <w:rPr>
                <w:rFonts w:hint="eastAsia" w:ascii="黑体" w:hAnsi="黑体" w:eastAsia="黑体" w:cs="黑体"/>
                <w:b/>
                <w:bCs/>
                <w:color w:val="auto"/>
                <w:kern w:val="0"/>
                <w:szCs w:val="21"/>
                <w:highlight w:val="none"/>
              </w:rPr>
              <w:t>品目</w:t>
            </w:r>
            <w:r>
              <w:rPr>
                <w:rFonts w:hint="eastAsia" w:ascii="黑体" w:hAnsi="黑体" w:eastAsia="黑体" w:cs="黑体"/>
                <w:b/>
                <w:bCs/>
                <w:color w:val="auto"/>
                <w:kern w:val="0"/>
                <w:szCs w:val="21"/>
                <w:highlight w:val="none"/>
              </w:rPr>
              <w:br w:type="textWrapping"/>
            </w:r>
            <w:r>
              <w:rPr>
                <w:rFonts w:hint="eastAsia" w:ascii="黑体" w:hAnsi="黑体" w:eastAsia="黑体" w:cs="黑体"/>
                <w:b/>
                <w:bCs/>
                <w:color w:val="auto"/>
                <w:kern w:val="0"/>
                <w:szCs w:val="21"/>
                <w:highlight w:val="none"/>
              </w:rPr>
              <w:t>序号</w:t>
            </w:r>
          </w:p>
        </w:tc>
        <w:tc>
          <w:tcPr>
            <w:tcW w:w="2885"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246EAAE4">
            <w:pPr>
              <w:widowControl/>
              <w:jc w:val="center"/>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名称</w:t>
            </w:r>
          </w:p>
        </w:tc>
        <w:tc>
          <w:tcPr>
            <w:tcW w:w="1713"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449EC53E">
            <w:pPr>
              <w:widowControl/>
              <w:jc w:val="center"/>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依据的标准</w:t>
            </w:r>
          </w:p>
        </w:tc>
      </w:tr>
      <w:tr w14:paraId="209B68E5">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085EC3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CC3C11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 计算机设备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CD3514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A02010103 服务器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E27E1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90C1C0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HJ2507 网络服务器</w:t>
            </w:r>
          </w:p>
        </w:tc>
      </w:tr>
      <w:tr w14:paraId="4590AD7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513EFD0">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8E3B123">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20F7CD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A02010104 台式计算机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735C20A">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461C35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2371125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5A75AE">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B6185CD">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756F16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A02010105 便携式计算机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D77AD6B">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344DA2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7B749C23">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DA1C41">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17AB25F">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B19A84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A02010107 平板式微型计算机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25A57E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EEA3EB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005CB02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96EA9E">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FB38BA3">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600B6B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A02010108 网络计算机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46D9346">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AB7985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7A7A6FE7">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EDF955F">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725459">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71AC5B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A02010109 计算机工作站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91F6F65">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0149D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09902CC7">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23F6F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CC639EB">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BA8E48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A02010199 其他计算机设备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95502E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D5D90F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4B29EC7E">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B12934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2A9D5F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 输入输出设备</w:t>
            </w: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882ABF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 打印设备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80BFBE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A0201060101 喷墨打印机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ECB5FE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1C2DB811">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26268A1">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454AD93">
            <w:pPr>
              <w:widowControl/>
              <w:jc w:val="left"/>
              <w:rPr>
                <w:rFonts w:hint="eastAsia"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F93A603">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E54911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A0201060102 激光打印机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D4FDF1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4B2D6C97">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FB27B0">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E2E57AA">
            <w:pPr>
              <w:widowControl/>
              <w:jc w:val="left"/>
              <w:rPr>
                <w:rFonts w:hint="eastAsia"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E5EE99">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9FF354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A0201060103 热式打印机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EAAD80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5261AD62">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ABA89C">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C7034A6">
            <w:pPr>
              <w:widowControl/>
              <w:jc w:val="left"/>
              <w:rPr>
                <w:rFonts w:hint="eastAsia"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7A0A530">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8EDF6F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A0201060104 针式打印机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C27EAA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354A1F3F">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84562BE">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8E9DA34">
            <w:pPr>
              <w:widowControl/>
              <w:jc w:val="left"/>
              <w:rPr>
                <w:rFonts w:hint="eastAsia" w:ascii="黑体" w:hAnsi="黑体" w:eastAsia="黑体" w:cs="黑体"/>
                <w:color w:val="auto"/>
                <w:kern w:val="0"/>
                <w:szCs w:val="21"/>
                <w:highlight w:val="none"/>
              </w:rPr>
            </w:pP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E64EC2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A02010604 显示设备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0C4B09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A0201060401 液晶显示器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B8816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5BFAEFB6">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79D75E5">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EC0D35E">
            <w:pPr>
              <w:widowControl/>
              <w:jc w:val="left"/>
              <w:rPr>
                <w:rFonts w:hint="eastAsia"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799CAE">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27CAFD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A0201060499 其他显示器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472322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623C12E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CB0889">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C134D6E">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B8E50B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A02010609 图形图像输入设备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DBC9CC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A0201060901 扫描仪</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7D785F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HJ2517 扫描仪</w:t>
            </w:r>
          </w:p>
        </w:tc>
      </w:tr>
      <w:tr w14:paraId="574C0AE0">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ACFEA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8B2405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A020202 投影仪</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95BCE47">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205773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6BBA23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HJ2516 投影仪</w:t>
            </w:r>
          </w:p>
        </w:tc>
      </w:tr>
      <w:tr w14:paraId="7DC4C932">
        <w:tblPrEx>
          <w:tblCellMar>
            <w:top w:w="0" w:type="dxa"/>
            <w:left w:w="108" w:type="dxa"/>
            <w:bottom w:w="0" w:type="dxa"/>
            <w:right w:w="108" w:type="dxa"/>
          </w:tblCellMar>
        </w:tblPrEx>
        <w:trPr>
          <w:trHeight w:val="322"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B4A11D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9C00A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A020201 复印机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2D12D48">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DC2E23E">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6E627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HJ424 数字式复印（包括多功能）设备</w:t>
            </w:r>
          </w:p>
        </w:tc>
      </w:tr>
      <w:tr w14:paraId="38AE064A">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1676C1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7A9870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A020204 多功能一体机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DAE73AF">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898D8EA">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AC668C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HJ424 数字式复印（包括多功能）设备</w:t>
            </w:r>
          </w:p>
        </w:tc>
      </w:tr>
      <w:tr w14:paraId="689A70E9">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7340B9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2AE71D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A020210 文印设备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952C70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A02021001 速印机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7A979A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BAD0B6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HJ472 数字式一体化速印机</w:t>
            </w:r>
          </w:p>
        </w:tc>
      </w:tr>
      <w:tr w14:paraId="316DBDC4">
        <w:tblPrEx>
          <w:tblCellMar>
            <w:top w:w="0" w:type="dxa"/>
            <w:left w:w="108" w:type="dxa"/>
            <w:bottom w:w="0" w:type="dxa"/>
            <w:right w:w="108" w:type="dxa"/>
          </w:tblCellMar>
        </w:tblPrEx>
        <w:trPr>
          <w:trHeight w:val="67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7EA916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CD918C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A020301 载货汽车（含自卸汽车）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F993808">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407504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7A0085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4B1FD9C3">
        <w:tblPrEx>
          <w:tblCellMar>
            <w:top w:w="0" w:type="dxa"/>
            <w:left w:w="108" w:type="dxa"/>
            <w:bottom w:w="0" w:type="dxa"/>
            <w:right w:w="108" w:type="dxa"/>
          </w:tblCellMar>
        </w:tblPrEx>
        <w:trPr>
          <w:trHeight w:val="401"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A15C3D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00725C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A020305 乘用车</w:t>
            </w:r>
            <w:r>
              <w:rPr>
                <w:rFonts w:hint="eastAsia" w:ascii="黑体" w:hAnsi="黑体" w:eastAsia="黑体" w:cs="黑体"/>
                <w:color w:val="auto"/>
                <w:kern w:val="0"/>
                <w:szCs w:val="21"/>
                <w:highlight w:val="none"/>
              </w:rPr>
              <w:br w:type="textWrapping"/>
            </w:r>
            <w:r>
              <w:rPr>
                <w:rFonts w:hint="eastAsia" w:ascii="黑体" w:hAnsi="黑体" w:eastAsia="黑体" w:cs="黑体"/>
                <w:color w:val="auto"/>
                <w:kern w:val="0"/>
                <w:szCs w:val="21"/>
                <w:highlight w:val="none"/>
              </w:rPr>
              <w:t>（轿车）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D41749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A02030501 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321FC1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9D13D0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6E348A01">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F1F6F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9C3581">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3BD4C3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A02030599 其他乘用车（轿车）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0209B5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DF5150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796DD39A">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09F27E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4CA6CD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A020306 客车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4BD1B5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A02030601 小型客车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5CE9FC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2D4D14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078081D5">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55BC55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CAE60F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A020307 专用车辆</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8CAACB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A02030799 其他专用汽车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25098CF">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9031D1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62A920E7">
        <w:tblPrEx>
          <w:tblCellMar>
            <w:top w:w="0" w:type="dxa"/>
            <w:left w:w="108" w:type="dxa"/>
            <w:bottom w:w="0" w:type="dxa"/>
            <w:right w:w="108" w:type="dxa"/>
          </w:tblCellMar>
        </w:tblPrEx>
        <w:trPr>
          <w:trHeight w:val="32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80186F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DA2BF1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 制冷空调设备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789B2A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A02052301 制冷压缩机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8971CE3">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3C0C1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HJ2531 工商用制冷设备</w:t>
            </w:r>
          </w:p>
        </w:tc>
      </w:tr>
      <w:tr w14:paraId="1C834DF6">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D60277F">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CD7E3FE">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524B3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A02052305 空调机组</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D1D0CF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876D9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HJ2531 工商用制冷设备</w:t>
            </w:r>
          </w:p>
        </w:tc>
      </w:tr>
      <w:tr w14:paraId="13E35D6D">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4529AA0">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02D82D">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82BE72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A02052309 专用制冷、空调设备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74E99FB">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76067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HJ2531 工商用制冷设备</w:t>
            </w:r>
          </w:p>
        </w:tc>
      </w:tr>
      <w:tr w14:paraId="38CD0797">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483CFA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FC2F8B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 生活用电器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5CC484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A02061802 空气调节电器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8FE277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A0206180203 空调机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93D896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HJ2535 房间空气调节器</w:t>
            </w:r>
          </w:p>
        </w:tc>
      </w:tr>
      <w:tr w14:paraId="09823EF3">
        <w:tblPrEx>
          <w:tblCellMar>
            <w:top w:w="0" w:type="dxa"/>
            <w:left w:w="108" w:type="dxa"/>
            <w:bottom w:w="0" w:type="dxa"/>
            <w:right w:w="108" w:type="dxa"/>
          </w:tblCellMar>
        </w:tblPrEx>
        <w:trPr>
          <w:trHeight w:val="415"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A8F729">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1EA86C">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83030D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A02061808 热水器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BCEA0B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0F95D6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HJ/T362 太阳能集热器</w:t>
            </w:r>
          </w:p>
        </w:tc>
      </w:tr>
      <w:tr w14:paraId="70D59C86">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4B598A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5AE87E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A020619 照 明设备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3A1649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A02061908 室内照明灯具</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19CD85C">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92523A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HJ2518 照明光源</w:t>
            </w:r>
          </w:p>
        </w:tc>
      </w:tr>
      <w:tr w14:paraId="476195A9">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DE2BF3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ECF32B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A020810 传真及数据数字通信设备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DD89E9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A02081001 传真通信设备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A49157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0C8834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3ED0360B">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5B73DD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15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1CBA1C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A020910 电视设备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C0AAFE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A02091001 普通电视设备（电视机）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10C065E">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55D13D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HJ2506 彩色电视广播接收机</w:t>
            </w:r>
          </w:p>
        </w:tc>
      </w:tr>
      <w:tr w14:paraId="5510858A">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4B60A4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6B52E2B">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FB9026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A02091003 特殊功能应用电视设备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79F3BD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2C8311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HJ2506 彩色电视广播接收机</w:t>
            </w:r>
          </w:p>
        </w:tc>
      </w:tr>
      <w:tr w14:paraId="2E886429">
        <w:tblPrEx>
          <w:tblCellMar>
            <w:top w:w="0" w:type="dxa"/>
            <w:left w:w="108" w:type="dxa"/>
            <w:bottom w:w="0" w:type="dxa"/>
            <w:right w:w="108" w:type="dxa"/>
          </w:tblCellMar>
        </w:tblPrEx>
        <w:trPr>
          <w:trHeight w:val="410"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5DFE9D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A1A740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A0601 床类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3E2473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A060101 钢木床类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AD33A43">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6EED0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48A28A3">
        <w:tblPrEx>
          <w:tblCellMar>
            <w:top w:w="0" w:type="dxa"/>
            <w:left w:w="108" w:type="dxa"/>
            <w:bottom w:w="0" w:type="dxa"/>
            <w:right w:w="108" w:type="dxa"/>
          </w:tblCellMar>
        </w:tblPrEx>
        <w:trPr>
          <w:trHeight w:val="389"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775655">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A37C1C4">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11293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A060104 木制床类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567C30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8B0DFE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F09FBE8">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345C3E3">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78D108">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3F7D32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A060199 其他床类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56C88AA">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FC3A12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8C5561A">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D11C99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E6FD60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A0602 台、桌类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3720C5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A060201 钢木台、桌类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950BBAE">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93CB3A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6DBB6AD3">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84F91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54B26F">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14E265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A060205 木制台、桌类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E20AAAC">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4059A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339657A8">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FE0BB9">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14A7C7">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D75428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A060299 其他台、桌类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6860896">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F0450A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18E0B610">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9AD84B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0C98BF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A0603 椅凳类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F0C607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A060301 金属骨架为主的椅凳类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8DEBE15">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2EF7A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35375E7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FB55435">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6C71A2">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D5041C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A060302 木骨架为主的椅凳类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AF80E5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949F48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02EF8BAC">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3029F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C6B2AF">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3C1C82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A060399 其他椅凳类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C276AB1">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F34AD7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58827AB">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CDE60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7FD87C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A0604 沙发类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44E14B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A060499 其他沙发类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27C7D66">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CE3AD9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486CEA11">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366977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1CDDA5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A0605 柜类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13D3BD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A060501 木质柜类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52DFFA5">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0B55AE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056E705D">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55C7714">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510499">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2A1C4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A060503 金属质柜类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C8AA5B4">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E03DE2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741B92C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8D94C5D">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538EE9">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79E55A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A060599 其他柜类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04A210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E0AB6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1E4B3604">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0DB0E1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EB8B04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A0606 架类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E4F231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A060601 木质架类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019234">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052A9D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499BC80A">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63E9CE">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20D6014">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62B836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A060602 金属质架类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E5C0F35">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CC0557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17F96D63">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856139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93AF15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A0607 屏风类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549236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A060701 木质屏风类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1E09C0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0CEC8C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34DCEA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E62271">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C42639">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0FB40B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A060702 金属质屏风类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1EE3E17">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BD0C62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5AA8B2ED">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AFDE7B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9AFF5E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A060804 水池</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E7A952F">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FBA114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036A01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HJ/T296 卫生陶瓷</w:t>
            </w:r>
          </w:p>
        </w:tc>
      </w:tr>
      <w:tr w14:paraId="48ACCAF0">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4E511C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2E6E2E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A060805 便器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E9C27FD">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7B6EDDA">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FCF8EF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HJ/T296 卫生陶瓷</w:t>
            </w:r>
          </w:p>
        </w:tc>
      </w:tr>
      <w:tr w14:paraId="5DEE2599">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7F222E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F32610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A060806 水嘴</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C0D9E1">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3735724">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AE2E81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HJ/T411 水嘴</w:t>
            </w:r>
          </w:p>
        </w:tc>
      </w:tr>
      <w:tr w14:paraId="62DE3D26">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42552B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6E34B8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A0609 组合家具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8D4C54C">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5A1ACE1">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721D6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DD879C2">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2DCC10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9E53A4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A0610 家用家具零配件</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9F97364">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CC734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B6F749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7B3BA14A">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4C3C43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54C644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A0699 其他家具用具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EAFC4E6">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8215B8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2C06DA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1290EF7B">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9A79D3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E4791F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A070101 棉、化纤纺织及印染原料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AB766AE">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8EAF2A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86C01E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HJ2546 纺织产品</w:t>
            </w:r>
          </w:p>
        </w:tc>
      </w:tr>
      <w:tr w14:paraId="65AF968D">
        <w:tblPrEx>
          <w:tblCellMar>
            <w:top w:w="0" w:type="dxa"/>
            <w:left w:w="108" w:type="dxa"/>
            <w:bottom w:w="0" w:type="dxa"/>
            <w:right w:w="108" w:type="dxa"/>
          </w:tblCellMar>
        </w:tblPrEx>
        <w:trPr>
          <w:trHeight w:val="95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D3FF3E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97C19C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A090101 复 印纸（包括再生复印纸）</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8F546ED">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4AEB9F4">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E20A6E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HJ410 文化用纸</w:t>
            </w:r>
          </w:p>
        </w:tc>
      </w:tr>
      <w:tr w14:paraId="5B6416E2">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C2F86A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64C7513">
            <w:pPr>
              <w:widowControl/>
              <w:jc w:val="left"/>
              <w:rPr>
                <w:rFonts w:hint="eastAsia"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A090201 </w:t>
            </w:r>
            <w:r>
              <w:rPr>
                <w:rFonts w:hint="eastAsia" w:ascii="黑体" w:hAnsi="黑体" w:eastAsia="黑体" w:cs="黑体"/>
                <w:color w:val="auto"/>
                <w:kern w:val="0"/>
                <w:szCs w:val="21"/>
                <w:highlight w:val="none"/>
              </w:rPr>
              <w:t>鼓粉盒</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包括再生鼓粉盒</w:t>
            </w:r>
            <w:r>
              <w:rPr>
                <w:rFonts w:hint="eastAsia" w:ascii="黑体" w:hAnsi="黑体" w:eastAsia="黑体" w:cs="黑体"/>
                <w:color w:val="auto"/>
                <w:kern w:val="0"/>
                <w:szCs w:val="21"/>
                <w:highlight w:val="none"/>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E3448A6">
            <w:pPr>
              <w:widowControl/>
              <w:jc w:val="left"/>
              <w:rPr>
                <w:rFonts w:hint="eastAsia" w:ascii="黑体" w:hAnsi="黑体" w:eastAsia="黑体" w:cs="黑体"/>
                <w:color w:val="auto"/>
                <w:kern w:val="0"/>
                <w:szCs w:val="21"/>
                <w:highlight w:val="none"/>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6D3CD9D">
            <w:pPr>
              <w:widowControl/>
              <w:jc w:val="left"/>
              <w:rPr>
                <w:rFonts w:hint="eastAsia" w:ascii="黑体" w:hAnsi="黑体" w:eastAsia="黑体" w:cs="黑体"/>
                <w:color w:val="auto"/>
                <w:kern w:val="0"/>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683DA8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HJ/T413 再生鼓粉盒</w:t>
            </w:r>
          </w:p>
        </w:tc>
      </w:tr>
      <w:tr w14:paraId="568D20F5">
        <w:tblPrEx>
          <w:tblCellMar>
            <w:top w:w="0" w:type="dxa"/>
            <w:left w:w="108" w:type="dxa"/>
            <w:bottom w:w="0" w:type="dxa"/>
            <w:right w:w="108" w:type="dxa"/>
          </w:tblCellMar>
        </w:tblPrEx>
        <w:trPr>
          <w:trHeight w:val="466"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9CEB6C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A464EC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 人造板</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649E0E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A10020301 胶合板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B45838B">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D4109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46A3DD98">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F36485E">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0833788">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4F6402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A10020302 纤维板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6074F7E">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18140E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72D6A830">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78FDD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AEF0FB">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D5F98C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A10020303 刨花板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7753B6C">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775875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3F98E13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FFF3CA3">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C61526">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3264E2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A10020304 细木工板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F906DF4">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2D7104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7C0AEFF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705D2D3">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75D78B">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4DAE91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A10020399 其他人造板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D2D8315">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60A813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727A8E74">
        <w:tblPrEx>
          <w:tblCellMar>
            <w:top w:w="0" w:type="dxa"/>
            <w:left w:w="108" w:type="dxa"/>
            <w:bottom w:w="0" w:type="dxa"/>
            <w:right w:w="108" w:type="dxa"/>
          </w:tblCellMar>
        </w:tblPrEx>
        <w:trPr>
          <w:trHeight w:val="57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AA5D02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62EF26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A100204 二次加工材,相关板材</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21761B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A10020404 人造板表面装饰板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60D929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1BC5E4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人造板及其制品/HJ2540 木塑制品</w:t>
            </w:r>
          </w:p>
        </w:tc>
      </w:tr>
      <w:tr w14:paraId="11DCE702">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B7FA3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706F668">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127D93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A10020404 人造板表面装饰板（地板）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0C5AA64">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A267ED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人造板及其制品/HJ2540 木塑制品</w:t>
            </w:r>
          </w:p>
        </w:tc>
      </w:tr>
      <w:tr w14:paraId="05DD9E01">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296F69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47EE7E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A100301 水泥熟料及水泥</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3937C1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A10030102 水泥</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C0C126F">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62C203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HJ2519 水泥</w:t>
            </w:r>
          </w:p>
        </w:tc>
      </w:tr>
      <w:tr w14:paraId="64D7763E">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20337A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07B9AD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A100303 水泥混凝土制品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0F1519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A10030301 商品混凝土</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4D44CB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F8F3B0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HJ/T412 预拌混凝土</w:t>
            </w:r>
          </w:p>
        </w:tc>
      </w:tr>
      <w:tr w14:paraId="3F3FF5D3">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8E0237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9BE024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A100304 纤维增强水泥制品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96AE49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A10030402 纤维增强硅酸钙板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4CF690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3FD80B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5C2DE82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C67779">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E20BF0">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DF0CBC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A10030403 无石棉纤维水泥制品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9C59595">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C08799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10D48900">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831016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B0EC9D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A100305 轻质建筑材料及制品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161402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A10030501 石膏板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AE5E65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0C3565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1E5C84BF">
        <w:tblPrEx>
          <w:tblCellMar>
            <w:top w:w="0" w:type="dxa"/>
            <w:left w:w="108" w:type="dxa"/>
            <w:bottom w:w="0" w:type="dxa"/>
            <w:right w:w="108" w:type="dxa"/>
          </w:tblCellMar>
        </w:tblPrEx>
        <w:trPr>
          <w:trHeight w:val="40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98716F">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447E27">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9A854F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A10030503 轻质隔墙条板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9CF72E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678AB9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7A664F28">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E5D5DA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EDE36A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 建筑 陶瓷制品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DE3182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A10030701 瓷质砖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C22838F">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31DD44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5C32101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F7B2C8">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92893B">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EA78FD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A10030704 炻质砖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D456101">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9A7248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276602F9">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7A0E8AD">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0AFAE8">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74869C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A10030705 陶质砖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00DD1E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D3B4F8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76A99766">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F8CCEA5">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E04EA8">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3365E2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A10030799 其他建筑陶瓷制品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7C6867C">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622231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143BA9A6">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322270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39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04024DD">
            <w:pPr>
              <w:widowControl/>
              <w:jc w:val="left"/>
              <w:rPr>
                <w:rFonts w:hint="eastAsia"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A100309 </w:t>
            </w:r>
            <w:r>
              <w:rPr>
                <w:rFonts w:hint="eastAsia" w:ascii="黑体" w:hAnsi="黑体" w:eastAsia="黑体" w:cs="黑体"/>
                <w:color w:val="auto"/>
                <w:kern w:val="0"/>
                <w:szCs w:val="21"/>
                <w:highlight w:val="none"/>
              </w:rPr>
              <w:t>建筑</w:t>
            </w:r>
            <w:r>
              <w:rPr>
                <w:rFonts w:hint="eastAsia" w:ascii="黑体" w:hAnsi="黑体" w:eastAsia="黑体" w:cs="黑体"/>
                <w:color w:val="auto"/>
                <w:kern w:val="0"/>
                <w:szCs w:val="21"/>
                <w:highlight w:val="none"/>
                <w:lang w:val="pt-BR"/>
              </w:rPr>
              <w:t xml:space="preserve"> </w:t>
            </w:r>
            <w:r>
              <w:rPr>
                <w:rFonts w:hint="eastAsia" w:ascii="黑体" w:hAnsi="黑体" w:eastAsia="黑体" w:cs="黑体"/>
                <w:color w:val="auto"/>
                <w:kern w:val="0"/>
                <w:szCs w:val="21"/>
                <w:highlight w:val="none"/>
              </w:rPr>
              <w:t>防水卷材及制品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7D30CA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A10030901 沥青和改性沥青防水卷材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6991864">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A49973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HJ455 防水卷材</w:t>
            </w:r>
          </w:p>
        </w:tc>
      </w:tr>
      <w:tr w14:paraId="27C0D7C8">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E7F868">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3182FA">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37A787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A10030903 自粘防水卷材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C6BC67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DAAAD2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HJ455 防水卷材</w:t>
            </w:r>
          </w:p>
        </w:tc>
      </w:tr>
      <w:tr w14:paraId="14D1C9FC">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22D2BF">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EFBC0FA">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B271DA0">
            <w:pPr>
              <w:widowControl/>
              <w:jc w:val="left"/>
              <w:rPr>
                <w:rFonts w:hint="eastAsia"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A10030906 </w:t>
            </w:r>
            <w:r>
              <w:rPr>
                <w:rFonts w:hint="eastAsia" w:ascii="黑体" w:hAnsi="黑体" w:eastAsia="黑体" w:cs="黑体"/>
                <w:color w:val="auto"/>
                <w:kern w:val="0"/>
                <w:szCs w:val="21"/>
                <w:highlight w:val="none"/>
              </w:rPr>
              <w:t>高分子防水卷</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片</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6A83EB2">
            <w:pPr>
              <w:widowControl/>
              <w:jc w:val="left"/>
              <w:rPr>
                <w:rFonts w:hint="eastAsia" w:ascii="黑体" w:hAnsi="黑体" w:eastAsia="黑体" w:cs="黑体"/>
                <w:color w:val="auto"/>
                <w:kern w:val="0"/>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F79F5A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HJ455 防水卷材</w:t>
            </w:r>
          </w:p>
        </w:tc>
      </w:tr>
      <w:tr w14:paraId="04A1FD72">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F3E728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9BBB44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A100310 隔热、隔音人造矿物材料及其制品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0FFD37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A10031001 矿物绝热和吸声材料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608DF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03321B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3D37BAED">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84B13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E8F6AAA">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EFBD3E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A10031002 矿物材料制品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FC033A">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814B38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2E7C1973">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E0AE62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32B0CC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A100601 功能性建筑涂料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596F0A2">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A9A60BA">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F7D8C4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675DF479">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9E9227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42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FDB6F2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A100399 其他非金属矿物制品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04492D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A10039901 其他非金属建筑材料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1C25A96">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819F87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HJ456 刚性防水材料</w:t>
            </w:r>
          </w:p>
        </w:tc>
      </w:tr>
      <w:tr w14:paraId="1532F69B">
        <w:tblPrEx>
          <w:tblCellMar>
            <w:top w:w="0" w:type="dxa"/>
            <w:left w:w="108" w:type="dxa"/>
            <w:bottom w:w="0" w:type="dxa"/>
            <w:right w:w="108" w:type="dxa"/>
          </w:tblCellMar>
        </w:tblPrEx>
        <w:trPr>
          <w:trHeight w:val="63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A78C0D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58ACDC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 墙面涂料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90409D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A10060202 合成树脂乳液内墙涂料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AF9E40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FACD9F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1A50A4C1">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F2B6748">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26203B">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4AF409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A10060203 合成树脂乳液外墙涂料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24CB8F1">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45FCD3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746BB8B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2CD37A3">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DC328B">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B8BDF8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A10060299 其他墙面涂料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00B208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5EA9BE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15198BAE">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39B4A5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77F7BB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A100604 防水涂料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0B9F75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A10060499 其他防水涂料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952B8F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58EDF4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14CB3E6D">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0104B9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C31586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A100699 其他建筑涂料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C18E16C">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8CD80F">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349799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0A757ADB">
        <w:tblPrEx>
          <w:tblCellMar>
            <w:top w:w="0" w:type="dxa"/>
            <w:left w:w="108" w:type="dxa"/>
            <w:bottom w:w="0" w:type="dxa"/>
            <w:right w:w="108" w:type="dxa"/>
          </w:tblCellMar>
        </w:tblPrEx>
        <w:trPr>
          <w:trHeight w:val="451"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4268C8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5E9E1F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A100701 门、门槛</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88ED982">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B3B3813">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9E327A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 237 塑料门窗/HJ459 木质门和钢质门</w:t>
            </w:r>
          </w:p>
        </w:tc>
      </w:tr>
      <w:tr w14:paraId="4F982D77">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7F6CBB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1F2397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A100702 窗</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4939273">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C66282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61F735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HJ/T237 塑料门窗</w:t>
            </w:r>
          </w:p>
        </w:tc>
      </w:tr>
      <w:tr w14:paraId="6E3E5966">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C1500C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CCC98C1">
            <w:pPr>
              <w:widowControl/>
              <w:jc w:val="left"/>
              <w:rPr>
                <w:rFonts w:hint="eastAsia"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A170108 </w:t>
            </w:r>
            <w:r>
              <w:rPr>
                <w:rFonts w:hint="eastAsia" w:ascii="黑体" w:hAnsi="黑体" w:eastAsia="黑体" w:cs="黑体"/>
                <w:color w:val="auto"/>
                <w:kern w:val="0"/>
                <w:szCs w:val="21"/>
                <w:highlight w:val="none"/>
              </w:rPr>
              <w:t>涂料</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建筑涂料除外</w:t>
            </w:r>
            <w:r>
              <w:rPr>
                <w:rFonts w:hint="eastAsia" w:ascii="黑体" w:hAnsi="黑体" w:eastAsia="黑体" w:cs="黑体"/>
                <w:color w:val="auto"/>
                <w:kern w:val="0"/>
                <w:szCs w:val="21"/>
                <w:highlight w:val="none"/>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00D0D9E">
            <w:pPr>
              <w:widowControl/>
              <w:jc w:val="left"/>
              <w:rPr>
                <w:rFonts w:hint="eastAsia" w:ascii="黑体" w:hAnsi="黑体" w:eastAsia="黑体" w:cs="黑体"/>
                <w:color w:val="auto"/>
                <w:kern w:val="0"/>
                <w:szCs w:val="21"/>
                <w:highlight w:val="none"/>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FD01049">
            <w:pPr>
              <w:widowControl/>
              <w:jc w:val="left"/>
              <w:rPr>
                <w:rFonts w:hint="eastAsia" w:ascii="黑体" w:hAnsi="黑体" w:eastAsia="黑体" w:cs="黑体"/>
                <w:color w:val="auto"/>
                <w:kern w:val="0"/>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C0D889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3A3D16EA">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8F8836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0D70A0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A170112 密封用填料及类似品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4A853B4">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8A0243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29932C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HJ2541 胶粘剂</w:t>
            </w:r>
          </w:p>
        </w:tc>
      </w:tr>
      <w:tr w14:paraId="7AA9E755">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4A4F21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50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6E72E9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A180201 塑料制品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DF374CD">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FD4D8C6">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38D315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HJ/T226 建筑用塑料管材/HJ/T231 再生塑料制品</w:t>
            </w:r>
          </w:p>
        </w:tc>
      </w:tr>
      <w:tr w14:paraId="473E9D58">
        <w:tblPrEx>
          <w:tblCellMar>
            <w:top w:w="0" w:type="dxa"/>
            <w:left w:w="108" w:type="dxa"/>
            <w:bottom w:w="0" w:type="dxa"/>
            <w:right w:w="108" w:type="dxa"/>
          </w:tblCellMar>
        </w:tblPrEx>
        <w:trPr>
          <w:trHeight w:val="375" w:hRule="atLeast"/>
          <w:tblHeader/>
        </w:trPr>
        <w:tc>
          <w:tcPr>
            <w:tcW w:w="3286" w:type="pct"/>
            <w:gridSpan w:val="4"/>
            <w:tcBorders>
              <w:top w:val="single" w:color="70AD47" w:sz="4" w:space="0"/>
              <w:left w:val="single" w:color="70AD47" w:sz="4" w:space="0"/>
              <w:bottom w:val="single" w:color="70AD47" w:sz="4" w:space="0"/>
              <w:right w:val="single" w:color="70AD47" w:sz="4" w:space="0"/>
            </w:tcBorders>
            <w:shd w:val="clear" w:color="auto" w:fill="FFFFFF"/>
          </w:tcPr>
          <w:p w14:paraId="631CB232">
            <w:pPr>
              <w:adjustRightInd w:val="0"/>
              <w:snapToGrid w:val="0"/>
              <w:ind w:firstLine="396" w:firstLineChars="200"/>
              <w:jc w:val="left"/>
              <w:rPr>
                <w:rFonts w:hint="eastAsia" w:ascii="黑体" w:hAnsi="黑体" w:eastAsia="黑体" w:cs="黑体"/>
                <w:color w:val="auto"/>
                <w:spacing w:val="-6"/>
                <w:szCs w:val="21"/>
                <w:highlight w:val="none"/>
              </w:rPr>
            </w:pPr>
            <w:r>
              <w:rPr>
                <w:rFonts w:hint="eastAsia" w:ascii="黑体" w:hAnsi="黑体" w:eastAsia="黑体" w:cs="黑体"/>
                <w:color w:val="auto"/>
                <w:spacing w:val="-6"/>
                <w:szCs w:val="21"/>
                <w:highlight w:val="none"/>
              </w:rPr>
              <w:t>注：环境标志产品认证应依据相关标准的最新版本</w:t>
            </w:r>
          </w:p>
        </w:tc>
        <w:tc>
          <w:tcPr>
            <w:tcW w:w="1713" w:type="pct"/>
            <w:tcBorders>
              <w:top w:val="single" w:color="70AD47" w:sz="4" w:space="0"/>
              <w:left w:val="single" w:color="70AD47" w:sz="4" w:space="0"/>
              <w:bottom w:val="single" w:color="70AD47" w:sz="4" w:space="0"/>
              <w:right w:val="single" w:color="70AD47" w:sz="4" w:space="0"/>
            </w:tcBorders>
            <w:shd w:val="clear" w:color="auto" w:fill="FFFFFF"/>
            <w:noWrap/>
            <w:vAlign w:val="bottom"/>
          </w:tcPr>
          <w:p w14:paraId="5EED0DFD">
            <w:pPr>
              <w:adjustRightInd w:val="0"/>
              <w:snapToGrid w:val="0"/>
              <w:ind w:firstLine="396" w:firstLineChars="200"/>
              <w:jc w:val="left"/>
              <w:rPr>
                <w:rFonts w:hint="eastAsia" w:ascii="黑体" w:hAnsi="黑体" w:eastAsia="黑体" w:cs="黑体"/>
                <w:color w:val="auto"/>
                <w:spacing w:val="-6"/>
                <w:szCs w:val="21"/>
                <w:highlight w:val="none"/>
              </w:rPr>
            </w:pPr>
          </w:p>
        </w:tc>
      </w:tr>
      <w:bookmarkEnd w:id="61"/>
    </w:tbl>
    <w:p w14:paraId="48270B2A">
      <w:pPr>
        <w:rPr>
          <w:rFonts w:hint="eastAsia" w:ascii="宋体" w:hAnsi="宋体" w:eastAsia="宋体" w:cs="Times New Roman"/>
          <w:b/>
          <w:color w:val="auto"/>
          <w:szCs w:val="21"/>
          <w:highlight w:val="none"/>
        </w:rPr>
      </w:pPr>
      <w:r>
        <w:rPr>
          <w:rFonts w:ascii="宋体" w:hAnsi="宋体" w:eastAsia="宋体" w:cs="Times New Roman"/>
          <w:b/>
          <w:color w:val="auto"/>
          <w:szCs w:val="21"/>
          <w:highlight w:val="none"/>
        </w:rPr>
        <w:br w:type="page"/>
      </w:r>
    </w:p>
    <w:p w14:paraId="1CE42E11">
      <w:pPr>
        <w:adjustRightInd w:val="0"/>
        <w:snapToGrid w:val="0"/>
        <w:spacing w:line="288" w:lineRule="auto"/>
        <w:rPr>
          <w:rFonts w:hint="eastAsia" w:ascii="宋体" w:hAnsi="宋体" w:eastAsia="宋体" w:cs="Times New Roman"/>
          <w:b/>
          <w:color w:val="auto"/>
          <w:szCs w:val="21"/>
          <w:highlight w:val="none"/>
        </w:rPr>
      </w:pPr>
    </w:p>
    <w:p w14:paraId="78C7F38D">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（8）科技创新相关证明材料</w:t>
      </w:r>
    </w:p>
    <w:p w14:paraId="29D75CF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优先推荐专精特新中小企业、创新产品参加政府采购活动。对省级以上主管部门认定的首台套产品，自纳入《省推广应用指导目录》起三年内参加政府采购活动时视同已具备相应销售业绩，业绩分为满分。</w:t>
      </w:r>
    </w:p>
    <w:p w14:paraId="46162335">
      <w:pPr>
        <w:adjustRightInd w:val="0"/>
        <w:snapToGrid w:val="0"/>
        <w:spacing w:line="288" w:lineRule="auto"/>
        <w:rPr>
          <w:rFonts w:hint="eastAsia" w:ascii="宋体" w:hAnsi="宋体" w:eastAsia="宋体" w:cs="宋体"/>
          <w:b/>
          <w:color w:val="auto"/>
          <w:spacing w:val="-6"/>
          <w:szCs w:val="21"/>
          <w:highlight w:val="none"/>
        </w:rPr>
      </w:pPr>
    </w:p>
    <w:p w14:paraId="5A5179ED">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（……）投标人需要说明的其他文件和材料。</w:t>
      </w:r>
    </w:p>
    <w:p w14:paraId="625596C2">
      <w:pPr>
        <w:widowControl/>
        <w:adjustRightInd w:val="0"/>
        <w:snapToGrid w:val="0"/>
        <w:spacing w:line="288" w:lineRule="auto"/>
        <w:jc w:val="left"/>
        <w:rPr>
          <w:rFonts w:ascii="宋体" w:hAnsi="宋体" w:eastAsia="宋体" w:cs="宋体"/>
          <w:b/>
          <w:color w:val="auto"/>
          <w:spacing w:val="-6"/>
          <w:szCs w:val="21"/>
          <w:highlight w:val="none"/>
        </w:rPr>
      </w:pPr>
    </w:p>
    <w:p w14:paraId="5AC26D12">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4CFF6478">
      <w:pPr>
        <w:overflowPunct w:val="0"/>
        <w:adjustRightInd w:val="0"/>
        <w:snapToGrid w:val="0"/>
        <w:spacing w:line="288" w:lineRule="auto"/>
        <w:jc w:val="center"/>
        <w:outlineLvl w:val="1"/>
        <w:rPr>
          <w:rFonts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报价文件</w:t>
      </w:r>
    </w:p>
    <w:p w14:paraId="402F80CD">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192C6F11">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）开标一览表</w:t>
      </w:r>
    </w:p>
    <w:p w14:paraId="60A68CE1">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采 购 人：</w:t>
      </w:r>
      <w:r>
        <w:rPr>
          <w:rFonts w:hint="eastAsia" w:ascii="宋体" w:hAnsi="宋体" w:eastAsia="宋体" w:cs="Times New Roman"/>
          <w:bCs/>
          <w:color w:val="auto"/>
          <w:spacing w:val="-6"/>
          <w:szCs w:val="21"/>
          <w:highlight w:val="none"/>
          <w:lang w:eastAsia="zh-CN"/>
        </w:rPr>
        <w:t>浙江工商大学</w:t>
      </w:r>
    </w:p>
    <w:p w14:paraId="1D023D44">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项目名称：</w:t>
      </w:r>
      <w:r>
        <w:rPr>
          <w:rFonts w:hint="eastAsia" w:ascii="宋体" w:hAnsi="宋体" w:eastAsia="宋体" w:cs="Times New Roman"/>
          <w:bCs/>
          <w:color w:val="auto"/>
          <w:spacing w:val="-6"/>
          <w:szCs w:val="21"/>
          <w:highlight w:val="none"/>
          <w:lang w:eastAsia="zh-CN"/>
        </w:rPr>
        <w:t>浙江工商大学未来营养健康与共同富裕计算设备更新-共同富裕计算设备（第一批）</w:t>
      </w:r>
    </w:p>
    <w:p w14:paraId="4ADB52CD">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项目编号：</w:t>
      </w:r>
      <w:r>
        <w:rPr>
          <w:rFonts w:hint="eastAsia" w:ascii="宋体" w:hAnsi="宋体" w:eastAsia="宋体" w:cs="Times New Roman"/>
          <w:bCs/>
          <w:color w:val="auto"/>
          <w:spacing w:val="-6"/>
          <w:szCs w:val="21"/>
          <w:highlight w:val="none"/>
          <w:lang w:eastAsia="zh-CN"/>
        </w:rPr>
        <w:t>QSZB-Z(H)-C24374(GK)L</w:t>
      </w:r>
    </w:p>
    <w:p w14:paraId="605802D5">
      <w:pPr>
        <w:adjustRightInd w:val="0"/>
        <w:snapToGrid w:val="0"/>
        <w:spacing w:line="288" w:lineRule="auto"/>
        <w:rPr>
          <w:rFonts w:hint="eastAsia" w:ascii="宋体" w:hAnsi="宋体" w:eastAsia="宋体" w:cs="Times New Roman"/>
          <w:bCs/>
          <w:color w:val="auto"/>
          <w:spacing w:val="-6"/>
          <w:szCs w:val="21"/>
          <w:highlight w:val="none"/>
        </w:rPr>
      </w:pPr>
    </w:p>
    <w:tbl>
      <w:tblPr>
        <w:tblStyle w:val="23"/>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682"/>
        <w:gridCol w:w="1591"/>
        <w:gridCol w:w="802"/>
        <w:gridCol w:w="870"/>
        <w:gridCol w:w="544"/>
        <w:gridCol w:w="544"/>
        <w:gridCol w:w="924"/>
        <w:gridCol w:w="1016"/>
        <w:gridCol w:w="1001"/>
      </w:tblGrid>
      <w:tr w14:paraId="18D40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B718331">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CC2B229">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1439B40D">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品牌</w:t>
            </w: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4BD1272">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647949F9">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产地</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C17B5E4">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54A9BCE6">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480" w:type="pct"/>
            <w:tcBorders>
              <w:top w:val="single" w:color="auto" w:sz="4" w:space="0"/>
              <w:left w:val="single" w:color="auto" w:sz="4" w:space="0"/>
              <w:bottom w:val="single" w:color="auto" w:sz="4" w:space="0"/>
              <w:right w:val="single" w:color="auto" w:sz="4" w:space="0"/>
            </w:tcBorders>
            <w:vAlign w:val="center"/>
          </w:tcPr>
          <w:p w14:paraId="0EC0B1ED">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tc>
        <w:tc>
          <w:tcPr>
            <w:tcW w:w="528" w:type="pct"/>
            <w:tcBorders>
              <w:top w:val="single" w:color="auto" w:sz="4" w:space="0"/>
              <w:left w:val="single" w:color="auto" w:sz="4" w:space="0"/>
              <w:bottom w:val="single" w:color="auto" w:sz="4" w:space="0"/>
              <w:right w:val="single" w:color="auto" w:sz="4" w:space="0"/>
            </w:tcBorders>
            <w:vAlign w:val="center"/>
          </w:tcPr>
          <w:p w14:paraId="117699EE">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金额（人民币元）</w:t>
            </w:r>
          </w:p>
        </w:tc>
        <w:tc>
          <w:tcPr>
            <w:tcW w:w="515" w:type="pct"/>
            <w:tcBorders>
              <w:top w:val="single" w:color="auto" w:sz="4" w:space="0"/>
              <w:left w:val="single" w:color="auto" w:sz="4" w:space="0"/>
              <w:bottom w:val="single" w:color="auto" w:sz="4" w:space="0"/>
              <w:right w:val="single" w:color="auto" w:sz="4" w:space="0"/>
            </w:tcBorders>
            <w:vAlign w:val="center"/>
          </w:tcPr>
          <w:p w14:paraId="0DFC0838">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6AC3B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A2EF443">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1</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165D73E0">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lang w:bidi="ar"/>
              </w:rPr>
              <w:t>超模态行为洞察平台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1A33216F">
            <w:pPr>
              <w:adjustRightInd w:val="0"/>
              <w:snapToGrid w:val="0"/>
              <w:spacing w:line="360" w:lineRule="auto"/>
              <w:jc w:val="center"/>
              <w:rPr>
                <w:rFonts w:hint="eastAsia" w:ascii="宋体" w:hAnsi="宋体" w:eastAsia="宋体" w:cs="宋体"/>
                <w:b/>
                <w:bCs/>
                <w:color w:val="auto"/>
                <w:szCs w:val="21"/>
                <w:highlight w:val="none"/>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696569F">
            <w:pPr>
              <w:adjustRightInd w:val="0"/>
              <w:snapToGrid w:val="0"/>
              <w:spacing w:line="360" w:lineRule="auto"/>
              <w:jc w:val="center"/>
              <w:rPr>
                <w:rFonts w:hint="eastAsia" w:ascii="宋体" w:hAnsi="宋体" w:eastAsia="宋体" w:cs="宋体"/>
                <w:b/>
                <w:bCs/>
                <w:color w:val="auto"/>
                <w:szCs w:val="21"/>
                <w:highlight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085ED8D">
            <w:pPr>
              <w:adjustRightInd w:val="0"/>
              <w:snapToGrid w:val="0"/>
              <w:spacing w:line="360" w:lineRule="auto"/>
              <w:jc w:val="center"/>
              <w:rPr>
                <w:rFonts w:hint="eastAsia" w:ascii="宋体" w:hAnsi="宋体" w:eastAsia="宋体" w:cs="宋体"/>
                <w:b/>
                <w:bCs/>
                <w:color w:val="auto"/>
                <w:szCs w:val="21"/>
                <w:highlight w:val="none"/>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CF70141">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AF7FBF2">
            <w:pPr>
              <w:jc w:val="center"/>
              <w:textAlignment w:val="center"/>
              <w:rPr>
                <w:rFonts w:ascii="Times New Roman" w:hAnsi="Times New Roman" w:cs="Times New Roman"/>
                <w:color w:val="auto"/>
                <w:szCs w:val="21"/>
                <w:highlight w:val="none"/>
              </w:rPr>
            </w:pPr>
            <w:r>
              <w:rPr>
                <w:rFonts w:hint="eastAsia"/>
                <w:color w:val="auto"/>
                <w:szCs w:val="21"/>
                <w:highlight w:val="none"/>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76894AF4">
            <w:pPr>
              <w:adjustRightInd w:val="0"/>
              <w:snapToGrid w:val="0"/>
              <w:spacing w:line="360" w:lineRule="auto"/>
              <w:jc w:val="center"/>
              <w:rPr>
                <w:rFonts w:hint="eastAsia" w:ascii="宋体" w:hAnsi="宋体" w:eastAsia="宋体" w:cs="宋体"/>
                <w:b/>
                <w:bCs/>
                <w:color w:val="auto"/>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0C0D5CE4">
            <w:pPr>
              <w:adjustRightInd w:val="0"/>
              <w:snapToGrid w:val="0"/>
              <w:spacing w:line="360" w:lineRule="auto"/>
              <w:jc w:val="center"/>
              <w:rPr>
                <w:rFonts w:hint="eastAsia" w:ascii="宋体" w:hAnsi="宋体" w:eastAsia="宋体" w:cs="宋体"/>
                <w:b/>
                <w:bCs/>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77B1602E">
            <w:pPr>
              <w:adjustRightInd w:val="0"/>
              <w:snapToGrid w:val="0"/>
              <w:spacing w:line="360" w:lineRule="auto"/>
              <w:jc w:val="center"/>
              <w:rPr>
                <w:rFonts w:hint="eastAsia" w:ascii="宋体" w:hAnsi="宋体" w:eastAsia="宋体" w:cs="宋体"/>
                <w:b/>
                <w:bCs/>
                <w:color w:val="auto"/>
                <w:szCs w:val="21"/>
                <w:highlight w:val="none"/>
              </w:rPr>
            </w:pPr>
          </w:p>
        </w:tc>
      </w:tr>
      <w:tr w14:paraId="15E1F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2664256">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2</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580BDA12">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lang w:bidi="ar"/>
              </w:rPr>
              <w:t>便携式行为观察记录分析系统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9B9D60E">
            <w:pPr>
              <w:adjustRightInd w:val="0"/>
              <w:snapToGrid w:val="0"/>
              <w:spacing w:line="360" w:lineRule="auto"/>
              <w:jc w:val="center"/>
              <w:rPr>
                <w:rFonts w:hint="eastAsia" w:ascii="宋体" w:hAnsi="宋体" w:eastAsia="宋体" w:cs="宋体"/>
                <w:b/>
                <w:bCs/>
                <w:color w:val="auto"/>
                <w:szCs w:val="21"/>
                <w:highlight w:val="none"/>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4955B80B">
            <w:pPr>
              <w:adjustRightInd w:val="0"/>
              <w:snapToGrid w:val="0"/>
              <w:spacing w:line="360" w:lineRule="auto"/>
              <w:jc w:val="center"/>
              <w:rPr>
                <w:rFonts w:hint="eastAsia" w:ascii="宋体" w:hAnsi="宋体" w:eastAsia="宋体" w:cs="宋体"/>
                <w:b/>
                <w:bCs/>
                <w:color w:val="auto"/>
                <w:szCs w:val="21"/>
                <w:highlight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882597B">
            <w:pPr>
              <w:adjustRightInd w:val="0"/>
              <w:snapToGrid w:val="0"/>
              <w:spacing w:line="360" w:lineRule="auto"/>
              <w:jc w:val="center"/>
              <w:rPr>
                <w:rFonts w:hint="eastAsia" w:ascii="宋体" w:hAnsi="宋体" w:eastAsia="宋体" w:cs="宋体"/>
                <w:b/>
                <w:bCs/>
                <w:color w:val="auto"/>
                <w:szCs w:val="21"/>
                <w:highlight w:val="none"/>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3BAFBB92">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FBB9B7E">
            <w:pPr>
              <w:jc w:val="center"/>
              <w:textAlignment w:val="center"/>
              <w:rPr>
                <w:rFonts w:ascii="Times New Roman" w:hAnsi="Times New Roman" w:cs="Times New Roman"/>
                <w:color w:val="auto"/>
                <w:szCs w:val="21"/>
                <w:highlight w:val="none"/>
              </w:rPr>
            </w:pPr>
            <w:r>
              <w:rPr>
                <w:rFonts w:hint="eastAsia"/>
                <w:color w:val="auto"/>
                <w:szCs w:val="21"/>
                <w:highlight w:val="none"/>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3B49073E">
            <w:pPr>
              <w:adjustRightInd w:val="0"/>
              <w:snapToGrid w:val="0"/>
              <w:spacing w:line="360" w:lineRule="auto"/>
              <w:jc w:val="center"/>
              <w:rPr>
                <w:rFonts w:hint="eastAsia" w:ascii="宋体" w:hAnsi="宋体" w:eastAsia="宋体" w:cs="宋体"/>
                <w:b/>
                <w:bCs/>
                <w:color w:val="auto"/>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7BA7A086">
            <w:pPr>
              <w:adjustRightInd w:val="0"/>
              <w:snapToGrid w:val="0"/>
              <w:spacing w:line="360" w:lineRule="auto"/>
              <w:jc w:val="center"/>
              <w:rPr>
                <w:rFonts w:hint="eastAsia" w:ascii="宋体" w:hAnsi="宋体" w:eastAsia="宋体" w:cs="宋体"/>
                <w:b/>
                <w:bCs/>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68C62E10">
            <w:pPr>
              <w:adjustRightInd w:val="0"/>
              <w:snapToGrid w:val="0"/>
              <w:spacing w:line="360" w:lineRule="auto"/>
              <w:jc w:val="center"/>
              <w:rPr>
                <w:rFonts w:hint="eastAsia" w:ascii="宋体" w:hAnsi="宋体" w:eastAsia="宋体" w:cs="宋体"/>
                <w:b/>
                <w:bCs/>
                <w:color w:val="auto"/>
                <w:szCs w:val="21"/>
                <w:highlight w:val="none"/>
              </w:rPr>
            </w:pPr>
          </w:p>
        </w:tc>
      </w:tr>
      <w:tr w14:paraId="7C437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A154845">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3</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D825190">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lang w:bidi="ar"/>
              </w:rPr>
              <w:t>视觉动态追踪系统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B7FDAA0">
            <w:pPr>
              <w:adjustRightInd w:val="0"/>
              <w:snapToGrid w:val="0"/>
              <w:spacing w:line="360" w:lineRule="auto"/>
              <w:jc w:val="center"/>
              <w:rPr>
                <w:rFonts w:hint="eastAsia" w:ascii="宋体" w:hAnsi="宋体" w:eastAsia="宋体" w:cs="宋体"/>
                <w:b/>
                <w:bCs/>
                <w:color w:val="auto"/>
                <w:szCs w:val="21"/>
                <w:highlight w:val="none"/>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2F319C0">
            <w:pPr>
              <w:adjustRightInd w:val="0"/>
              <w:snapToGrid w:val="0"/>
              <w:spacing w:line="360" w:lineRule="auto"/>
              <w:jc w:val="center"/>
              <w:rPr>
                <w:rFonts w:hint="eastAsia" w:ascii="宋体" w:hAnsi="宋体" w:eastAsia="宋体" w:cs="宋体"/>
                <w:b/>
                <w:bCs/>
                <w:color w:val="auto"/>
                <w:szCs w:val="21"/>
                <w:highlight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32F8443">
            <w:pPr>
              <w:adjustRightInd w:val="0"/>
              <w:snapToGrid w:val="0"/>
              <w:spacing w:line="360" w:lineRule="auto"/>
              <w:jc w:val="center"/>
              <w:rPr>
                <w:rFonts w:hint="eastAsia" w:ascii="宋体" w:hAnsi="宋体" w:eastAsia="宋体" w:cs="宋体"/>
                <w:b/>
                <w:bCs/>
                <w:color w:val="auto"/>
                <w:szCs w:val="21"/>
                <w:highlight w:val="none"/>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0F1C9F3">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26DD1DF6">
            <w:pPr>
              <w:jc w:val="center"/>
              <w:textAlignment w:val="center"/>
              <w:rPr>
                <w:rFonts w:ascii="Times New Roman" w:hAnsi="Times New Roman" w:cs="Times New Roman"/>
                <w:color w:val="auto"/>
                <w:szCs w:val="21"/>
                <w:highlight w:val="none"/>
              </w:rPr>
            </w:pPr>
            <w:r>
              <w:rPr>
                <w:rFonts w:hint="eastAsia"/>
                <w:color w:val="auto"/>
                <w:szCs w:val="21"/>
                <w:highlight w:val="none"/>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0BD32011">
            <w:pPr>
              <w:adjustRightInd w:val="0"/>
              <w:snapToGrid w:val="0"/>
              <w:spacing w:line="360" w:lineRule="auto"/>
              <w:jc w:val="center"/>
              <w:rPr>
                <w:rFonts w:hint="eastAsia" w:ascii="宋体" w:hAnsi="宋体" w:eastAsia="宋体" w:cs="宋体"/>
                <w:b/>
                <w:bCs/>
                <w:color w:val="auto"/>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3D81DA68">
            <w:pPr>
              <w:adjustRightInd w:val="0"/>
              <w:snapToGrid w:val="0"/>
              <w:spacing w:line="360" w:lineRule="auto"/>
              <w:jc w:val="center"/>
              <w:rPr>
                <w:rFonts w:hint="eastAsia" w:ascii="宋体" w:hAnsi="宋体" w:eastAsia="宋体" w:cs="宋体"/>
                <w:b/>
                <w:bCs/>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39A4A465">
            <w:pPr>
              <w:adjustRightInd w:val="0"/>
              <w:snapToGrid w:val="0"/>
              <w:spacing w:line="360" w:lineRule="auto"/>
              <w:jc w:val="center"/>
              <w:rPr>
                <w:rFonts w:hint="eastAsia" w:ascii="宋体" w:hAnsi="宋体" w:eastAsia="宋体" w:cs="宋体"/>
                <w:b/>
                <w:bCs/>
                <w:color w:val="auto"/>
                <w:szCs w:val="21"/>
                <w:highlight w:val="none"/>
              </w:rPr>
            </w:pPr>
          </w:p>
        </w:tc>
      </w:tr>
      <w:tr w14:paraId="4C1CD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43823AB">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4</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8BD335C">
            <w:pPr>
              <w:adjustRightInd w:val="0"/>
              <w:snapToGrid w:val="0"/>
              <w:jc w:val="center"/>
              <w:rPr>
                <w:rFonts w:hint="eastAsia" w:ascii="黑体" w:hAnsi="黑体" w:eastAsia="黑体" w:cs="黑体"/>
                <w:color w:val="auto"/>
                <w:szCs w:val="21"/>
                <w:highlight w:val="none"/>
                <w:lang w:bidi="ar"/>
              </w:rPr>
            </w:pPr>
            <w:r>
              <w:rPr>
                <w:rFonts w:hint="eastAsia" w:ascii="黑体" w:hAnsi="黑体" w:eastAsia="黑体" w:cs="黑体"/>
                <w:color w:val="auto"/>
                <w:szCs w:val="21"/>
                <w:highlight w:val="none"/>
                <w:lang w:bidi="ar"/>
              </w:rPr>
              <w:t>遥测式生理信号采集分析系统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D681AE6">
            <w:pPr>
              <w:adjustRightInd w:val="0"/>
              <w:snapToGrid w:val="0"/>
              <w:spacing w:line="360" w:lineRule="auto"/>
              <w:jc w:val="center"/>
              <w:rPr>
                <w:rFonts w:hint="eastAsia" w:ascii="宋体" w:hAnsi="宋体" w:eastAsia="宋体" w:cs="宋体"/>
                <w:b/>
                <w:bCs/>
                <w:color w:val="auto"/>
                <w:szCs w:val="21"/>
                <w:highlight w:val="none"/>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DDCD886">
            <w:pPr>
              <w:adjustRightInd w:val="0"/>
              <w:snapToGrid w:val="0"/>
              <w:spacing w:line="360" w:lineRule="auto"/>
              <w:jc w:val="center"/>
              <w:rPr>
                <w:rFonts w:hint="eastAsia" w:ascii="宋体" w:hAnsi="宋体" w:eastAsia="宋体" w:cs="宋体"/>
                <w:b/>
                <w:bCs/>
                <w:color w:val="auto"/>
                <w:szCs w:val="21"/>
                <w:highlight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0C6B66E6">
            <w:pPr>
              <w:adjustRightInd w:val="0"/>
              <w:snapToGrid w:val="0"/>
              <w:spacing w:line="360" w:lineRule="auto"/>
              <w:jc w:val="center"/>
              <w:rPr>
                <w:rFonts w:hint="eastAsia" w:ascii="宋体" w:hAnsi="宋体" w:eastAsia="宋体" w:cs="宋体"/>
                <w:b/>
                <w:bCs/>
                <w:color w:val="auto"/>
                <w:szCs w:val="21"/>
                <w:highlight w:val="none"/>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0F572D58">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E734DC1">
            <w:pPr>
              <w:jc w:val="center"/>
              <w:textAlignment w:val="center"/>
              <w:rPr>
                <w:rFonts w:ascii="Times New Roman" w:hAnsi="Times New Roman" w:cs="Times New Roman"/>
                <w:color w:val="auto"/>
                <w:szCs w:val="21"/>
                <w:highlight w:val="none"/>
              </w:rPr>
            </w:pPr>
            <w:r>
              <w:rPr>
                <w:rFonts w:hint="eastAsia"/>
                <w:color w:val="auto"/>
                <w:szCs w:val="21"/>
                <w:highlight w:val="none"/>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487AB536">
            <w:pPr>
              <w:adjustRightInd w:val="0"/>
              <w:snapToGrid w:val="0"/>
              <w:spacing w:line="360" w:lineRule="auto"/>
              <w:jc w:val="center"/>
              <w:rPr>
                <w:rFonts w:hint="eastAsia" w:ascii="宋体" w:hAnsi="宋体" w:eastAsia="宋体" w:cs="宋体"/>
                <w:b/>
                <w:bCs/>
                <w:color w:val="auto"/>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2686B920">
            <w:pPr>
              <w:adjustRightInd w:val="0"/>
              <w:snapToGrid w:val="0"/>
              <w:spacing w:line="360" w:lineRule="auto"/>
              <w:jc w:val="center"/>
              <w:rPr>
                <w:rFonts w:hint="eastAsia" w:ascii="宋体" w:hAnsi="宋体" w:eastAsia="宋体" w:cs="宋体"/>
                <w:b/>
                <w:bCs/>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1978D8AB">
            <w:pPr>
              <w:adjustRightInd w:val="0"/>
              <w:snapToGrid w:val="0"/>
              <w:spacing w:line="360" w:lineRule="auto"/>
              <w:jc w:val="center"/>
              <w:rPr>
                <w:rFonts w:hint="eastAsia" w:ascii="宋体" w:hAnsi="宋体" w:eastAsia="宋体" w:cs="宋体"/>
                <w:b/>
                <w:bCs/>
                <w:color w:val="auto"/>
                <w:szCs w:val="21"/>
                <w:highlight w:val="none"/>
              </w:rPr>
            </w:pPr>
          </w:p>
        </w:tc>
      </w:tr>
      <w:tr w14:paraId="1523F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A3101EF">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★以下（联合体其他成员）承担的部分：</w:t>
            </w:r>
          </w:p>
        </w:tc>
      </w:tr>
      <w:tr w14:paraId="16FEE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F3059FF">
            <w:pPr>
              <w:adjustRightInd w:val="0"/>
              <w:snapToGrid w:val="0"/>
              <w:spacing w:line="360" w:lineRule="auto"/>
              <w:jc w:val="center"/>
              <w:rPr>
                <w:rFonts w:hint="eastAsia" w:ascii="宋体" w:hAnsi="宋体" w:eastAsia="宋体" w:cs="宋体"/>
                <w:b/>
                <w:bCs/>
                <w:color w:val="auto"/>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1CF9536C">
            <w:pPr>
              <w:adjustRightInd w:val="0"/>
              <w:snapToGrid w:val="0"/>
              <w:spacing w:line="360" w:lineRule="auto"/>
              <w:jc w:val="center"/>
              <w:rPr>
                <w:rFonts w:hint="eastAsia" w:ascii="宋体" w:hAnsi="宋体" w:eastAsia="宋体" w:cs="宋体"/>
                <w:b/>
                <w:bCs/>
                <w:color w:val="auto"/>
                <w:szCs w:val="21"/>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24020A29">
            <w:pPr>
              <w:adjustRightInd w:val="0"/>
              <w:snapToGrid w:val="0"/>
              <w:spacing w:line="360" w:lineRule="auto"/>
              <w:jc w:val="center"/>
              <w:rPr>
                <w:rFonts w:hint="eastAsia" w:ascii="宋体" w:hAnsi="宋体" w:eastAsia="宋体" w:cs="宋体"/>
                <w:b/>
                <w:bCs/>
                <w:color w:val="auto"/>
                <w:szCs w:val="21"/>
                <w:highlight w:val="none"/>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D4C9C02">
            <w:pPr>
              <w:adjustRightInd w:val="0"/>
              <w:snapToGrid w:val="0"/>
              <w:spacing w:line="360" w:lineRule="auto"/>
              <w:jc w:val="center"/>
              <w:rPr>
                <w:rFonts w:hint="eastAsia" w:ascii="宋体" w:hAnsi="宋体" w:eastAsia="宋体" w:cs="宋体"/>
                <w:b/>
                <w:bCs/>
                <w:color w:val="auto"/>
                <w:szCs w:val="21"/>
                <w:highlight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F0A061D">
            <w:pPr>
              <w:adjustRightInd w:val="0"/>
              <w:snapToGrid w:val="0"/>
              <w:spacing w:line="360" w:lineRule="auto"/>
              <w:jc w:val="center"/>
              <w:rPr>
                <w:rFonts w:hint="eastAsia" w:ascii="宋体" w:hAnsi="宋体" w:eastAsia="宋体" w:cs="宋体"/>
                <w:b/>
                <w:bCs/>
                <w:color w:val="auto"/>
                <w:szCs w:val="21"/>
                <w:highlight w:val="none"/>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3E997D72">
            <w:pPr>
              <w:adjustRightInd w:val="0"/>
              <w:snapToGrid w:val="0"/>
              <w:spacing w:line="360" w:lineRule="auto"/>
              <w:jc w:val="center"/>
              <w:rPr>
                <w:rFonts w:hint="eastAsia" w:ascii="宋体" w:hAnsi="宋体" w:eastAsia="宋体" w:cs="宋体"/>
                <w:b/>
                <w:bCs/>
                <w:color w:val="auto"/>
                <w:szCs w:val="21"/>
                <w:highlight w:val="none"/>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16E6272">
            <w:pPr>
              <w:adjustRightInd w:val="0"/>
              <w:snapToGrid w:val="0"/>
              <w:spacing w:line="360" w:lineRule="auto"/>
              <w:jc w:val="center"/>
              <w:rPr>
                <w:rFonts w:hint="eastAsia" w:ascii="宋体" w:hAnsi="宋体" w:eastAsia="宋体" w:cs="宋体"/>
                <w:b/>
                <w:bCs/>
                <w:color w:val="auto"/>
                <w:szCs w:val="21"/>
                <w:highlight w:val="none"/>
              </w:rPr>
            </w:pPr>
          </w:p>
        </w:tc>
        <w:tc>
          <w:tcPr>
            <w:tcW w:w="480" w:type="pct"/>
            <w:tcBorders>
              <w:top w:val="single" w:color="auto" w:sz="4" w:space="0"/>
              <w:left w:val="single" w:color="auto" w:sz="4" w:space="0"/>
              <w:bottom w:val="single" w:color="auto" w:sz="4" w:space="0"/>
              <w:right w:val="single" w:color="auto" w:sz="4" w:space="0"/>
            </w:tcBorders>
            <w:vAlign w:val="center"/>
          </w:tcPr>
          <w:p w14:paraId="22C375B3">
            <w:pPr>
              <w:adjustRightInd w:val="0"/>
              <w:snapToGrid w:val="0"/>
              <w:spacing w:line="360" w:lineRule="auto"/>
              <w:jc w:val="center"/>
              <w:rPr>
                <w:rFonts w:hint="eastAsia" w:ascii="宋体" w:hAnsi="宋体" w:eastAsia="宋体" w:cs="宋体"/>
                <w:b/>
                <w:bCs/>
                <w:color w:val="auto"/>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3F87160A">
            <w:pPr>
              <w:adjustRightInd w:val="0"/>
              <w:snapToGrid w:val="0"/>
              <w:spacing w:line="360" w:lineRule="auto"/>
              <w:jc w:val="center"/>
              <w:rPr>
                <w:rFonts w:hint="eastAsia" w:ascii="宋体" w:hAnsi="宋体" w:eastAsia="宋体" w:cs="宋体"/>
                <w:b/>
                <w:bCs/>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3C655872">
            <w:pPr>
              <w:adjustRightInd w:val="0"/>
              <w:snapToGrid w:val="0"/>
              <w:spacing w:line="360" w:lineRule="auto"/>
              <w:jc w:val="center"/>
              <w:rPr>
                <w:rFonts w:hint="eastAsia" w:ascii="宋体" w:hAnsi="宋体" w:eastAsia="宋体" w:cs="宋体"/>
                <w:b/>
                <w:bCs/>
                <w:color w:val="auto"/>
                <w:szCs w:val="21"/>
                <w:highlight w:val="none"/>
              </w:rPr>
            </w:pPr>
          </w:p>
        </w:tc>
      </w:tr>
      <w:tr w14:paraId="20198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CD4F075">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★以下（分包单位）承担的部分：</w:t>
            </w:r>
          </w:p>
        </w:tc>
      </w:tr>
      <w:tr w14:paraId="149BF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F0D5749">
            <w:pPr>
              <w:adjustRightInd w:val="0"/>
              <w:snapToGrid w:val="0"/>
              <w:spacing w:line="360" w:lineRule="auto"/>
              <w:jc w:val="center"/>
              <w:rPr>
                <w:rFonts w:hint="eastAsia" w:ascii="宋体" w:hAnsi="宋体" w:eastAsia="宋体" w:cs="宋体"/>
                <w:b/>
                <w:bCs/>
                <w:color w:val="auto"/>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0DDA31D0">
            <w:pPr>
              <w:adjustRightInd w:val="0"/>
              <w:snapToGrid w:val="0"/>
              <w:spacing w:line="360" w:lineRule="auto"/>
              <w:jc w:val="center"/>
              <w:rPr>
                <w:rFonts w:hint="eastAsia" w:ascii="宋体" w:hAnsi="宋体" w:eastAsia="宋体" w:cs="宋体"/>
                <w:b/>
                <w:bCs/>
                <w:color w:val="auto"/>
                <w:szCs w:val="21"/>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6B5A513">
            <w:pPr>
              <w:adjustRightInd w:val="0"/>
              <w:snapToGrid w:val="0"/>
              <w:spacing w:line="360" w:lineRule="auto"/>
              <w:jc w:val="center"/>
              <w:rPr>
                <w:rFonts w:hint="eastAsia" w:ascii="宋体" w:hAnsi="宋体" w:eastAsia="宋体" w:cs="宋体"/>
                <w:b/>
                <w:bCs/>
                <w:color w:val="auto"/>
                <w:szCs w:val="21"/>
                <w:highlight w:val="none"/>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18A7956">
            <w:pPr>
              <w:adjustRightInd w:val="0"/>
              <w:snapToGrid w:val="0"/>
              <w:spacing w:line="360" w:lineRule="auto"/>
              <w:jc w:val="center"/>
              <w:rPr>
                <w:rFonts w:hint="eastAsia" w:ascii="宋体" w:hAnsi="宋体" w:eastAsia="宋体" w:cs="宋体"/>
                <w:b/>
                <w:bCs/>
                <w:color w:val="auto"/>
                <w:szCs w:val="21"/>
                <w:highlight w:val="none"/>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385D8AE5">
            <w:pPr>
              <w:adjustRightInd w:val="0"/>
              <w:snapToGrid w:val="0"/>
              <w:spacing w:line="360" w:lineRule="auto"/>
              <w:jc w:val="center"/>
              <w:rPr>
                <w:rFonts w:hint="eastAsia" w:ascii="宋体" w:hAnsi="宋体" w:eastAsia="宋体" w:cs="宋体"/>
                <w:b/>
                <w:bCs/>
                <w:color w:val="auto"/>
                <w:szCs w:val="21"/>
                <w:highlight w:val="none"/>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7A644F0">
            <w:pPr>
              <w:adjustRightInd w:val="0"/>
              <w:snapToGrid w:val="0"/>
              <w:spacing w:line="360" w:lineRule="auto"/>
              <w:jc w:val="center"/>
              <w:rPr>
                <w:rFonts w:hint="eastAsia" w:ascii="宋体" w:hAnsi="宋体" w:eastAsia="宋体" w:cs="宋体"/>
                <w:b/>
                <w:bCs/>
                <w:color w:val="auto"/>
                <w:szCs w:val="21"/>
                <w:highlight w:val="none"/>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0AF9702">
            <w:pPr>
              <w:adjustRightInd w:val="0"/>
              <w:snapToGrid w:val="0"/>
              <w:spacing w:line="360" w:lineRule="auto"/>
              <w:jc w:val="center"/>
              <w:rPr>
                <w:rFonts w:hint="eastAsia" w:ascii="宋体" w:hAnsi="宋体" w:eastAsia="宋体" w:cs="宋体"/>
                <w:b/>
                <w:bCs/>
                <w:color w:val="auto"/>
                <w:szCs w:val="21"/>
                <w:highlight w:val="none"/>
              </w:rPr>
            </w:pPr>
          </w:p>
        </w:tc>
        <w:tc>
          <w:tcPr>
            <w:tcW w:w="480" w:type="pct"/>
            <w:tcBorders>
              <w:top w:val="single" w:color="auto" w:sz="4" w:space="0"/>
              <w:left w:val="single" w:color="auto" w:sz="4" w:space="0"/>
              <w:bottom w:val="single" w:color="auto" w:sz="4" w:space="0"/>
              <w:right w:val="single" w:color="auto" w:sz="4" w:space="0"/>
            </w:tcBorders>
            <w:vAlign w:val="center"/>
          </w:tcPr>
          <w:p w14:paraId="2B411041">
            <w:pPr>
              <w:adjustRightInd w:val="0"/>
              <w:snapToGrid w:val="0"/>
              <w:spacing w:line="360" w:lineRule="auto"/>
              <w:jc w:val="center"/>
              <w:rPr>
                <w:rFonts w:hint="eastAsia" w:ascii="宋体" w:hAnsi="宋体" w:eastAsia="宋体" w:cs="宋体"/>
                <w:b/>
                <w:bCs/>
                <w:color w:val="auto"/>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7A194FFF">
            <w:pPr>
              <w:adjustRightInd w:val="0"/>
              <w:snapToGrid w:val="0"/>
              <w:spacing w:line="360" w:lineRule="auto"/>
              <w:jc w:val="center"/>
              <w:rPr>
                <w:rFonts w:hint="eastAsia" w:ascii="宋体" w:hAnsi="宋体" w:eastAsia="宋体" w:cs="宋体"/>
                <w:b/>
                <w:bCs/>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381EE74B">
            <w:pPr>
              <w:adjustRightInd w:val="0"/>
              <w:snapToGrid w:val="0"/>
              <w:spacing w:line="360" w:lineRule="auto"/>
              <w:jc w:val="center"/>
              <w:rPr>
                <w:rFonts w:hint="eastAsia" w:ascii="宋体" w:hAnsi="宋体" w:eastAsia="宋体" w:cs="宋体"/>
                <w:b/>
                <w:bCs/>
                <w:color w:val="auto"/>
                <w:szCs w:val="21"/>
                <w:highlight w:val="none"/>
              </w:rPr>
            </w:pPr>
          </w:p>
        </w:tc>
      </w:tr>
      <w:tr w14:paraId="32416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DCFB14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投标总价（人民币元）</w:t>
            </w:r>
          </w:p>
          <w:p w14:paraId="63D087CB">
            <w:pPr>
              <w:adjustRightInd w:val="0"/>
              <w:snapToGrid w:val="0"/>
              <w:spacing w:line="288" w:lineRule="auto"/>
              <w:rPr>
                <w:rFonts w:hint="eastAsia" w:ascii="宋体" w:hAnsi="宋体" w:eastAsia="宋体" w:cs="宋体"/>
                <w:b/>
                <w:bCs/>
                <w:color w:val="auto"/>
                <w:szCs w:val="21"/>
                <w:highlight w:val="none"/>
              </w:rPr>
            </w:pPr>
          </w:p>
          <w:p w14:paraId="51F66DE2">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小写：_________________________</w:t>
            </w:r>
          </w:p>
          <w:p w14:paraId="75E24998">
            <w:pPr>
              <w:adjustRightInd w:val="0"/>
              <w:snapToGrid w:val="0"/>
              <w:spacing w:line="288" w:lineRule="auto"/>
              <w:rPr>
                <w:rFonts w:hint="eastAsia" w:ascii="宋体" w:hAnsi="宋体" w:eastAsia="宋体" w:cs="宋体"/>
                <w:b/>
                <w:bCs/>
                <w:color w:val="auto"/>
                <w:szCs w:val="21"/>
                <w:highlight w:val="none"/>
              </w:rPr>
            </w:pPr>
          </w:p>
          <w:p w14:paraId="052E4BE7">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大写：_________________________</w:t>
            </w:r>
          </w:p>
          <w:p w14:paraId="5C227DCF">
            <w:pPr>
              <w:adjustRightInd w:val="0"/>
              <w:snapToGrid w:val="0"/>
              <w:spacing w:line="288" w:lineRule="auto"/>
              <w:rPr>
                <w:rFonts w:hint="eastAsia" w:ascii="宋体" w:hAnsi="宋体" w:eastAsia="宋体" w:cs="宋体"/>
                <w:b/>
                <w:bCs/>
                <w:color w:val="auto"/>
                <w:szCs w:val="21"/>
                <w:highlight w:val="none"/>
              </w:rPr>
            </w:pPr>
          </w:p>
        </w:tc>
      </w:tr>
    </w:tbl>
    <w:p w14:paraId="11B6E84B">
      <w:pPr>
        <w:adjustRightInd w:val="0"/>
        <w:snapToGrid w:val="0"/>
        <w:spacing w:line="288" w:lineRule="auto"/>
        <w:rPr>
          <w:rFonts w:hint="eastAsia" w:ascii="宋体" w:hAnsi="宋体" w:eastAsia="宋体" w:cs="Times New Roman"/>
          <w:color w:val="auto"/>
          <w:spacing w:val="-6"/>
          <w:szCs w:val="21"/>
          <w:highlight w:val="none"/>
        </w:rPr>
      </w:pPr>
    </w:p>
    <w:p w14:paraId="30FA434A">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0BF430A6">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1.开标一览表应按照本招标文件“第三章 投标人须知”关于“投标报价”的规定填写；</w:t>
      </w:r>
    </w:p>
    <w:p w14:paraId="31FAFDB6">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★2.联合体其他成员承担的部分、分包单位承担的部分，应在表中列明。</w:t>
      </w:r>
    </w:p>
    <w:p w14:paraId="657D62DB">
      <w:pPr>
        <w:adjustRightInd w:val="0"/>
        <w:snapToGrid w:val="0"/>
        <w:spacing w:line="288" w:lineRule="auto"/>
        <w:rPr>
          <w:rFonts w:hint="default" w:ascii="宋体" w:hAnsi="宋体" w:eastAsia="宋体" w:cs="宋体"/>
          <w:b/>
          <w:bCs/>
          <w:color w:val="auto"/>
          <w:szCs w:val="21"/>
          <w:highlight w:val="none"/>
          <w:lang w:val="en-US" w:eastAsia="zh-CN"/>
        </w:rPr>
      </w:pPr>
      <w:r>
        <w:rPr>
          <w:rFonts w:ascii="宋体" w:hAnsi="宋体" w:eastAsia="宋体" w:cs="Times New Roman"/>
          <w:b/>
          <w:bCs/>
          <w:color w:val="auto"/>
          <w:spacing w:val="-6"/>
          <w:szCs w:val="21"/>
          <w:highlight w:val="none"/>
        </w:rPr>
        <w:t>▲</w:t>
      </w:r>
      <w:r>
        <w:rPr>
          <w:rFonts w:hint="eastAsia" w:ascii="宋体" w:hAnsi="宋体" w:eastAsia="宋体" w:cs="宋体"/>
          <w:b/>
          <w:bCs/>
          <w:color w:val="auto"/>
          <w:szCs w:val="21"/>
          <w:highlight w:val="none"/>
          <w:lang w:val="en-US" w:eastAsia="zh-CN"/>
        </w:rPr>
        <w:t>3.单价不得超过采购需求中规定的单价最高限价，总价不得超过采购需求中规定预算金额。</w:t>
      </w:r>
    </w:p>
    <w:p w14:paraId="04E40BCF">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.后附组成明细表。</w:t>
      </w:r>
    </w:p>
    <w:p w14:paraId="3BA5ABC3">
      <w:pPr>
        <w:adjustRightInd w:val="0"/>
        <w:snapToGrid w:val="0"/>
        <w:spacing w:line="288" w:lineRule="auto"/>
        <w:rPr>
          <w:rFonts w:hint="eastAsia" w:ascii="宋体" w:hAnsi="宋体" w:eastAsia="宋体" w:cs="Times New Roman"/>
          <w:color w:val="auto"/>
          <w:szCs w:val="21"/>
          <w:highlight w:val="none"/>
        </w:rPr>
      </w:pPr>
    </w:p>
    <w:p w14:paraId="5DBB2E15">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70E3B816">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B1A29BD">
      <w:pPr>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br w:type="page"/>
      </w:r>
    </w:p>
    <w:p w14:paraId="65C01A57">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附1：超模态行为洞察平台组成明细表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7"/>
        <w:gridCol w:w="1363"/>
        <w:gridCol w:w="1286"/>
        <w:gridCol w:w="960"/>
        <w:gridCol w:w="605"/>
        <w:gridCol w:w="605"/>
        <w:gridCol w:w="1039"/>
        <w:gridCol w:w="1149"/>
      </w:tblGrid>
      <w:tr w14:paraId="69857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15BF5DFD">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Times New Roman"/>
                <w:b/>
                <w:bCs/>
                <w:color w:val="auto"/>
                <w:spacing w:val="-6"/>
                <w:szCs w:val="21"/>
                <w:highlight w:val="none"/>
              </w:rPr>
              <w:t>超模态行为洞察平台组成明细表</w:t>
            </w:r>
          </w:p>
        </w:tc>
      </w:tr>
      <w:tr w14:paraId="0D28D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408CF4E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7A9CADF0">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67C9D6D5">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品牌</w:t>
            </w: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454392F4">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4C6971D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产地</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0441C8E3">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AC45646">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538" w:type="pct"/>
            <w:tcBorders>
              <w:top w:val="single" w:color="auto" w:sz="4" w:space="0"/>
              <w:left w:val="single" w:color="auto" w:sz="4" w:space="0"/>
              <w:bottom w:val="single" w:color="auto" w:sz="4" w:space="0"/>
              <w:right w:val="single" w:color="auto" w:sz="4" w:space="0"/>
            </w:tcBorders>
            <w:vAlign w:val="center"/>
          </w:tcPr>
          <w:p w14:paraId="092EA2E9">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tc>
        <w:tc>
          <w:tcPr>
            <w:tcW w:w="598" w:type="pct"/>
            <w:tcBorders>
              <w:top w:val="single" w:color="auto" w:sz="4" w:space="0"/>
              <w:left w:val="single" w:color="auto" w:sz="4" w:space="0"/>
              <w:bottom w:val="single" w:color="auto" w:sz="4" w:space="0"/>
              <w:right w:val="single" w:color="auto" w:sz="4" w:space="0"/>
            </w:tcBorders>
            <w:vAlign w:val="center"/>
          </w:tcPr>
          <w:p w14:paraId="5D2C7246">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金额（人民币元）</w:t>
            </w:r>
          </w:p>
        </w:tc>
      </w:tr>
      <w:tr w14:paraId="267B9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731A7CBD">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（1）</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5A305C63">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超模态行为洞察平台</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0C553A61">
            <w:pPr>
              <w:adjustRightInd w:val="0"/>
              <w:snapToGrid w:val="0"/>
              <w:spacing w:line="360" w:lineRule="auto"/>
              <w:jc w:val="center"/>
              <w:rPr>
                <w:rFonts w:hint="eastAsia" w:ascii="宋体" w:hAnsi="宋体" w:eastAsia="宋体" w:cs="宋体"/>
                <w:b/>
                <w:bCs/>
                <w:color w:val="auto"/>
                <w:szCs w:val="21"/>
                <w:highlight w:val="none"/>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3CAD4ABE">
            <w:pPr>
              <w:adjustRightInd w:val="0"/>
              <w:snapToGrid w:val="0"/>
              <w:spacing w:line="360" w:lineRule="auto"/>
              <w:jc w:val="center"/>
              <w:rPr>
                <w:rFonts w:hint="eastAsia" w:ascii="宋体" w:hAnsi="宋体" w:eastAsia="宋体" w:cs="宋体"/>
                <w:b/>
                <w:bCs/>
                <w:color w:val="auto"/>
                <w:szCs w:val="21"/>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5F193B01">
            <w:pPr>
              <w:adjustRightInd w:val="0"/>
              <w:snapToGrid w:val="0"/>
              <w:spacing w:line="360" w:lineRule="auto"/>
              <w:jc w:val="center"/>
              <w:rPr>
                <w:rFonts w:hint="eastAsia" w:ascii="宋体" w:hAnsi="宋体" w:eastAsia="宋体" w:cs="宋体"/>
                <w:b/>
                <w:bCs/>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5F9895A">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117226E">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p>
        </w:tc>
        <w:tc>
          <w:tcPr>
            <w:tcW w:w="538" w:type="pct"/>
            <w:tcBorders>
              <w:top w:val="single" w:color="auto" w:sz="4" w:space="0"/>
              <w:left w:val="single" w:color="auto" w:sz="4" w:space="0"/>
              <w:bottom w:val="single" w:color="auto" w:sz="4" w:space="0"/>
              <w:right w:val="single" w:color="auto" w:sz="4" w:space="0"/>
            </w:tcBorders>
            <w:vAlign w:val="center"/>
          </w:tcPr>
          <w:p w14:paraId="5F909C8B">
            <w:pPr>
              <w:adjustRightInd w:val="0"/>
              <w:snapToGrid w:val="0"/>
              <w:spacing w:line="360" w:lineRule="auto"/>
              <w:jc w:val="center"/>
              <w:rPr>
                <w:rFonts w:hint="eastAsia" w:ascii="宋体" w:hAnsi="宋体" w:eastAsia="宋体" w:cs="宋体"/>
                <w:b/>
                <w:bCs/>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49D25E62">
            <w:pPr>
              <w:adjustRightInd w:val="0"/>
              <w:snapToGrid w:val="0"/>
              <w:spacing w:line="360" w:lineRule="auto"/>
              <w:jc w:val="center"/>
              <w:rPr>
                <w:rFonts w:hint="eastAsia" w:ascii="宋体" w:hAnsi="宋体" w:eastAsia="宋体" w:cs="宋体"/>
                <w:b/>
                <w:bCs/>
                <w:color w:val="auto"/>
                <w:szCs w:val="21"/>
                <w:highlight w:val="none"/>
              </w:rPr>
            </w:pPr>
          </w:p>
        </w:tc>
      </w:tr>
      <w:tr w14:paraId="73656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6FB34E7E">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（2）</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4CD71A3B">
            <w:pPr>
              <w:adjustRightInd w:val="0"/>
              <w:snapToGrid w:val="0"/>
              <w:jc w:val="center"/>
              <w:rPr>
                <w:rFonts w:hint="eastAsia" w:ascii="黑体" w:hAnsi="黑体" w:eastAsia="黑体" w:cs="黑体"/>
                <w:color w:val="auto"/>
                <w:szCs w:val="21"/>
                <w:highlight w:val="none"/>
              </w:rPr>
            </w:pPr>
            <w:r>
              <w:rPr>
                <w:rStyle w:val="109"/>
                <w:rFonts w:ascii="Times New Roman" w:hAnsi="Times New Roman" w:cs="Times New Roman"/>
                <w:color w:val="auto"/>
                <w:szCs w:val="21"/>
                <w:highlight w:val="none"/>
                <w:lang w:bidi="ar"/>
              </w:rPr>
              <w:t>专用台式工作站</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731616FB">
            <w:pPr>
              <w:adjustRightInd w:val="0"/>
              <w:snapToGrid w:val="0"/>
              <w:spacing w:line="360" w:lineRule="auto"/>
              <w:jc w:val="center"/>
              <w:rPr>
                <w:rFonts w:hint="eastAsia" w:ascii="宋体" w:hAnsi="宋体" w:eastAsia="宋体" w:cs="宋体"/>
                <w:b/>
                <w:bCs/>
                <w:color w:val="auto"/>
                <w:szCs w:val="21"/>
                <w:highlight w:val="none"/>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317C9B50">
            <w:pPr>
              <w:adjustRightInd w:val="0"/>
              <w:snapToGrid w:val="0"/>
              <w:spacing w:line="360" w:lineRule="auto"/>
              <w:jc w:val="center"/>
              <w:rPr>
                <w:rFonts w:hint="eastAsia" w:ascii="宋体" w:hAnsi="宋体" w:eastAsia="宋体" w:cs="宋体"/>
                <w:b/>
                <w:bCs/>
                <w:color w:val="auto"/>
                <w:szCs w:val="21"/>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145F16EB">
            <w:pPr>
              <w:adjustRightInd w:val="0"/>
              <w:snapToGrid w:val="0"/>
              <w:spacing w:line="360" w:lineRule="auto"/>
              <w:jc w:val="center"/>
              <w:rPr>
                <w:rFonts w:hint="eastAsia" w:ascii="宋体" w:hAnsi="宋体" w:eastAsia="宋体" w:cs="宋体"/>
                <w:b/>
                <w:bCs/>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1EFEFA75">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6DB201D">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w:t>
            </w:r>
          </w:p>
        </w:tc>
        <w:tc>
          <w:tcPr>
            <w:tcW w:w="538" w:type="pct"/>
            <w:tcBorders>
              <w:top w:val="single" w:color="auto" w:sz="4" w:space="0"/>
              <w:left w:val="single" w:color="auto" w:sz="4" w:space="0"/>
              <w:bottom w:val="single" w:color="auto" w:sz="4" w:space="0"/>
              <w:right w:val="single" w:color="auto" w:sz="4" w:space="0"/>
            </w:tcBorders>
            <w:vAlign w:val="center"/>
          </w:tcPr>
          <w:p w14:paraId="0F6BC890">
            <w:pPr>
              <w:adjustRightInd w:val="0"/>
              <w:snapToGrid w:val="0"/>
              <w:spacing w:line="360" w:lineRule="auto"/>
              <w:jc w:val="center"/>
              <w:rPr>
                <w:rFonts w:hint="eastAsia" w:ascii="宋体" w:hAnsi="宋体" w:eastAsia="宋体" w:cs="宋体"/>
                <w:b/>
                <w:bCs/>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34F9EF7D">
            <w:pPr>
              <w:adjustRightInd w:val="0"/>
              <w:snapToGrid w:val="0"/>
              <w:spacing w:line="360" w:lineRule="auto"/>
              <w:jc w:val="center"/>
              <w:rPr>
                <w:rFonts w:hint="eastAsia" w:ascii="宋体" w:hAnsi="宋体" w:eastAsia="宋体" w:cs="宋体"/>
                <w:b/>
                <w:bCs/>
                <w:color w:val="auto"/>
                <w:szCs w:val="21"/>
                <w:highlight w:val="none"/>
              </w:rPr>
            </w:pPr>
          </w:p>
        </w:tc>
      </w:tr>
      <w:tr w14:paraId="70C47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14B64CEA">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（3）</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30B179D0">
            <w:pPr>
              <w:adjustRightInd w:val="0"/>
              <w:snapToGrid w:val="0"/>
              <w:jc w:val="center"/>
              <w:rPr>
                <w:rFonts w:hint="eastAsia" w:ascii="黑体" w:hAnsi="黑体" w:eastAsia="黑体" w:cs="黑体"/>
                <w:color w:val="auto"/>
                <w:szCs w:val="21"/>
                <w:highlight w:val="none"/>
              </w:rPr>
            </w:pPr>
            <w:r>
              <w:rPr>
                <w:rFonts w:hint="eastAsia"/>
                <w:b/>
                <w:bCs/>
                <w:color w:val="auto"/>
                <w:szCs w:val="21"/>
                <w:highlight w:val="none"/>
                <w:lang w:bidi="ar"/>
              </w:rPr>
              <w:t>塔式</w:t>
            </w:r>
            <w:r>
              <w:rPr>
                <w:rFonts w:hint="eastAsia"/>
                <w:b/>
                <w:bCs/>
                <w:color w:val="auto"/>
                <w:szCs w:val="21"/>
                <w:highlight w:val="none"/>
                <w:lang w:eastAsia="zh" w:bidi="ar"/>
              </w:rPr>
              <w:t>工作站</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239ADB02">
            <w:pPr>
              <w:adjustRightInd w:val="0"/>
              <w:snapToGrid w:val="0"/>
              <w:spacing w:line="360" w:lineRule="auto"/>
              <w:jc w:val="center"/>
              <w:rPr>
                <w:rFonts w:hint="eastAsia" w:ascii="宋体" w:hAnsi="宋体" w:eastAsia="宋体" w:cs="宋体"/>
                <w:b/>
                <w:bCs/>
                <w:color w:val="auto"/>
                <w:szCs w:val="21"/>
                <w:highlight w:val="none"/>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06D0A948">
            <w:pPr>
              <w:adjustRightInd w:val="0"/>
              <w:snapToGrid w:val="0"/>
              <w:spacing w:line="360" w:lineRule="auto"/>
              <w:jc w:val="center"/>
              <w:rPr>
                <w:rFonts w:hint="eastAsia" w:ascii="宋体" w:hAnsi="宋体" w:eastAsia="宋体" w:cs="宋体"/>
                <w:b/>
                <w:bCs/>
                <w:color w:val="auto"/>
                <w:szCs w:val="21"/>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0DFAE28F">
            <w:pPr>
              <w:adjustRightInd w:val="0"/>
              <w:snapToGrid w:val="0"/>
              <w:spacing w:line="360" w:lineRule="auto"/>
              <w:jc w:val="center"/>
              <w:rPr>
                <w:rFonts w:hint="eastAsia" w:ascii="宋体" w:hAnsi="宋体" w:eastAsia="宋体" w:cs="宋体"/>
                <w:b/>
                <w:bCs/>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CD252A6">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5BB9AE2D">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p>
        </w:tc>
        <w:tc>
          <w:tcPr>
            <w:tcW w:w="538" w:type="pct"/>
            <w:tcBorders>
              <w:top w:val="single" w:color="auto" w:sz="4" w:space="0"/>
              <w:left w:val="single" w:color="auto" w:sz="4" w:space="0"/>
              <w:bottom w:val="single" w:color="auto" w:sz="4" w:space="0"/>
              <w:right w:val="single" w:color="auto" w:sz="4" w:space="0"/>
            </w:tcBorders>
            <w:vAlign w:val="center"/>
          </w:tcPr>
          <w:p w14:paraId="7D5BE88F">
            <w:pPr>
              <w:adjustRightInd w:val="0"/>
              <w:snapToGrid w:val="0"/>
              <w:spacing w:line="360" w:lineRule="auto"/>
              <w:jc w:val="center"/>
              <w:rPr>
                <w:rFonts w:hint="eastAsia" w:ascii="宋体" w:hAnsi="宋体" w:eastAsia="宋体" w:cs="宋体"/>
                <w:b/>
                <w:bCs/>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49F5AB96">
            <w:pPr>
              <w:adjustRightInd w:val="0"/>
              <w:snapToGrid w:val="0"/>
              <w:spacing w:line="360" w:lineRule="auto"/>
              <w:jc w:val="center"/>
              <w:rPr>
                <w:rFonts w:hint="eastAsia" w:ascii="宋体" w:hAnsi="宋体" w:eastAsia="宋体" w:cs="宋体"/>
                <w:b/>
                <w:bCs/>
                <w:color w:val="auto"/>
                <w:szCs w:val="21"/>
                <w:highlight w:val="none"/>
              </w:rPr>
            </w:pPr>
          </w:p>
        </w:tc>
      </w:tr>
      <w:tr w14:paraId="1B560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3C91C9A7">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（4）</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3FF1E9B4">
            <w:pPr>
              <w:adjustRightInd w:val="0"/>
              <w:snapToGrid w:val="0"/>
              <w:jc w:val="center"/>
              <w:rPr>
                <w:rFonts w:hint="eastAsia" w:ascii="黑体" w:hAnsi="黑体" w:eastAsia="黑体" w:cs="黑体"/>
                <w:color w:val="auto"/>
                <w:szCs w:val="21"/>
                <w:highlight w:val="none"/>
                <w:lang w:bidi="ar"/>
              </w:rPr>
            </w:pPr>
            <w:r>
              <w:rPr>
                <w:rStyle w:val="109"/>
                <w:rFonts w:ascii="Times New Roman" w:hAnsi="Times New Roman" w:cs="Times New Roman"/>
                <w:bCs/>
                <w:color w:val="auto"/>
                <w:szCs w:val="21"/>
                <w:highlight w:val="none"/>
              </w:rPr>
              <w:t>USB摄像头</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3E9F76A8">
            <w:pPr>
              <w:adjustRightInd w:val="0"/>
              <w:snapToGrid w:val="0"/>
              <w:spacing w:line="360" w:lineRule="auto"/>
              <w:jc w:val="center"/>
              <w:rPr>
                <w:rFonts w:hint="eastAsia" w:ascii="宋体" w:hAnsi="宋体" w:eastAsia="宋体" w:cs="宋体"/>
                <w:b/>
                <w:bCs/>
                <w:color w:val="auto"/>
                <w:szCs w:val="21"/>
                <w:highlight w:val="none"/>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0697E3D3">
            <w:pPr>
              <w:adjustRightInd w:val="0"/>
              <w:snapToGrid w:val="0"/>
              <w:spacing w:line="360" w:lineRule="auto"/>
              <w:jc w:val="center"/>
              <w:rPr>
                <w:rFonts w:hint="eastAsia" w:ascii="宋体" w:hAnsi="宋体" w:eastAsia="宋体" w:cs="宋体"/>
                <w:b/>
                <w:bCs/>
                <w:color w:val="auto"/>
                <w:szCs w:val="21"/>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0C0BD27F">
            <w:pPr>
              <w:adjustRightInd w:val="0"/>
              <w:snapToGrid w:val="0"/>
              <w:spacing w:line="360" w:lineRule="auto"/>
              <w:jc w:val="center"/>
              <w:rPr>
                <w:rFonts w:hint="eastAsia" w:ascii="宋体" w:hAnsi="宋体" w:eastAsia="宋体" w:cs="宋体"/>
                <w:b/>
                <w:bCs/>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3C97187F">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个</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0B93891F">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w:t>
            </w:r>
          </w:p>
        </w:tc>
        <w:tc>
          <w:tcPr>
            <w:tcW w:w="538" w:type="pct"/>
            <w:tcBorders>
              <w:top w:val="single" w:color="auto" w:sz="4" w:space="0"/>
              <w:left w:val="single" w:color="auto" w:sz="4" w:space="0"/>
              <w:bottom w:val="single" w:color="auto" w:sz="4" w:space="0"/>
              <w:right w:val="single" w:color="auto" w:sz="4" w:space="0"/>
            </w:tcBorders>
            <w:vAlign w:val="center"/>
          </w:tcPr>
          <w:p w14:paraId="36001A97">
            <w:pPr>
              <w:adjustRightInd w:val="0"/>
              <w:snapToGrid w:val="0"/>
              <w:spacing w:line="360" w:lineRule="auto"/>
              <w:jc w:val="center"/>
              <w:rPr>
                <w:rFonts w:hint="eastAsia" w:ascii="宋体" w:hAnsi="宋体" w:eastAsia="宋体" w:cs="宋体"/>
                <w:b/>
                <w:bCs/>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3D08F2C4">
            <w:pPr>
              <w:adjustRightInd w:val="0"/>
              <w:snapToGrid w:val="0"/>
              <w:spacing w:line="360" w:lineRule="auto"/>
              <w:jc w:val="center"/>
              <w:rPr>
                <w:rFonts w:hint="eastAsia" w:ascii="宋体" w:hAnsi="宋体" w:eastAsia="宋体" w:cs="宋体"/>
                <w:b/>
                <w:bCs/>
                <w:color w:val="auto"/>
                <w:szCs w:val="21"/>
                <w:highlight w:val="none"/>
              </w:rPr>
            </w:pPr>
          </w:p>
        </w:tc>
      </w:tr>
      <w:tr w14:paraId="4E6A1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4FAB4FC6">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（5）</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7A204B7F">
            <w:pPr>
              <w:adjustRightInd w:val="0"/>
              <w:snapToGrid w:val="0"/>
              <w:jc w:val="center"/>
              <w:rPr>
                <w:rFonts w:ascii="Times New Roman" w:hAnsi="Times New Roman" w:cs="Times New Roman"/>
                <w:b/>
                <w:bCs/>
                <w:color w:val="auto"/>
                <w:szCs w:val="21"/>
                <w:highlight w:val="none"/>
              </w:rPr>
            </w:pPr>
            <w:r>
              <w:rPr>
                <w:rFonts w:ascii="Times New Roman" w:hAnsi="Times New Roman" w:cs="Times New Roman"/>
                <w:b/>
                <w:color w:val="auto"/>
                <w:szCs w:val="21"/>
                <w:highlight w:val="none"/>
              </w:rPr>
              <w:t>网络交换机</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43FD4EE8">
            <w:pPr>
              <w:adjustRightInd w:val="0"/>
              <w:snapToGrid w:val="0"/>
              <w:spacing w:line="360" w:lineRule="auto"/>
              <w:jc w:val="center"/>
              <w:rPr>
                <w:rFonts w:hint="eastAsia" w:ascii="宋体" w:hAnsi="宋体" w:eastAsia="宋体" w:cs="宋体"/>
                <w:b/>
                <w:bCs/>
                <w:color w:val="auto"/>
                <w:szCs w:val="21"/>
                <w:highlight w:val="none"/>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67C8F937">
            <w:pPr>
              <w:adjustRightInd w:val="0"/>
              <w:snapToGrid w:val="0"/>
              <w:spacing w:line="360" w:lineRule="auto"/>
              <w:jc w:val="center"/>
              <w:rPr>
                <w:rFonts w:hint="eastAsia" w:ascii="宋体" w:hAnsi="宋体" w:eastAsia="宋体" w:cs="宋体"/>
                <w:b/>
                <w:bCs/>
                <w:color w:val="auto"/>
                <w:szCs w:val="21"/>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240D9224">
            <w:pPr>
              <w:adjustRightInd w:val="0"/>
              <w:snapToGrid w:val="0"/>
              <w:spacing w:line="360" w:lineRule="auto"/>
              <w:jc w:val="center"/>
              <w:rPr>
                <w:rFonts w:hint="eastAsia" w:ascii="宋体" w:hAnsi="宋体" w:eastAsia="宋体" w:cs="宋体"/>
                <w:b/>
                <w:bCs/>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37AC3CC8">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65A485FE">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p>
        </w:tc>
        <w:tc>
          <w:tcPr>
            <w:tcW w:w="538" w:type="pct"/>
            <w:tcBorders>
              <w:top w:val="single" w:color="auto" w:sz="4" w:space="0"/>
              <w:left w:val="single" w:color="auto" w:sz="4" w:space="0"/>
              <w:bottom w:val="single" w:color="auto" w:sz="4" w:space="0"/>
              <w:right w:val="single" w:color="auto" w:sz="4" w:space="0"/>
            </w:tcBorders>
            <w:vAlign w:val="center"/>
          </w:tcPr>
          <w:p w14:paraId="73B54A18">
            <w:pPr>
              <w:adjustRightInd w:val="0"/>
              <w:snapToGrid w:val="0"/>
              <w:spacing w:line="360" w:lineRule="auto"/>
              <w:jc w:val="center"/>
              <w:rPr>
                <w:rFonts w:hint="eastAsia" w:ascii="宋体" w:hAnsi="宋体" w:eastAsia="宋体" w:cs="宋体"/>
                <w:b/>
                <w:bCs/>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0CE87F58">
            <w:pPr>
              <w:adjustRightInd w:val="0"/>
              <w:snapToGrid w:val="0"/>
              <w:spacing w:line="360" w:lineRule="auto"/>
              <w:jc w:val="center"/>
              <w:rPr>
                <w:rFonts w:hint="eastAsia" w:ascii="宋体" w:hAnsi="宋体" w:eastAsia="宋体" w:cs="宋体"/>
                <w:b/>
                <w:bCs/>
                <w:color w:val="auto"/>
                <w:szCs w:val="21"/>
                <w:highlight w:val="none"/>
              </w:rPr>
            </w:pPr>
          </w:p>
        </w:tc>
      </w:tr>
      <w:tr w14:paraId="34BFE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7717376">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小计（小计金额应等于开标一览表中“超模态行为洞察平台”的金额）</w:t>
            </w:r>
          </w:p>
        </w:tc>
        <w:tc>
          <w:tcPr>
            <w:tcW w:w="598" w:type="pct"/>
            <w:tcBorders>
              <w:top w:val="single" w:color="auto" w:sz="4" w:space="0"/>
              <w:left w:val="single" w:color="auto" w:sz="4" w:space="0"/>
              <w:bottom w:val="single" w:color="auto" w:sz="4" w:space="0"/>
              <w:right w:val="single" w:color="auto" w:sz="4" w:space="0"/>
            </w:tcBorders>
            <w:vAlign w:val="center"/>
          </w:tcPr>
          <w:p w14:paraId="366751F4">
            <w:pPr>
              <w:adjustRightInd w:val="0"/>
              <w:snapToGrid w:val="0"/>
              <w:spacing w:line="360" w:lineRule="auto"/>
              <w:jc w:val="center"/>
              <w:rPr>
                <w:rFonts w:hint="eastAsia" w:ascii="宋体" w:hAnsi="宋体" w:eastAsia="宋体" w:cs="宋体"/>
                <w:b/>
                <w:bCs/>
                <w:color w:val="auto"/>
                <w:szCs w:val="21"/>
                <w:highlight w:val="none"/>
              </w:rPr>
            </w:pPr>
          </w:p>
        </w:tc>
      </w:tr>
    </w:tbl>
    <w:p w14:paraId="40162BB5">
      <w:pPr>
        <w:adjustRightInd w:val="0"/>
        <w:snapToGrid w:val="0"/>
        <w:spacing w:line="288" w:lineRule="auto"/>
        <w:rPr>
          <w:rFonts w:hint="eastAsia" w:ascii="宋体" w:hAnsi="宋体" w:eastAsia="宋体" w:cs="Times New Roman"/>
          <w:b/>
          <w:bCs/>
          <w:color w:val="auto"/>
          <w:spacing w:val="-6"/>
          <w:szCs w:val="21"/>
          <w:highlight w:val="none"/>
        </w:rPr>
      </w:pPr>
    </w:p>
    <w:p w14:paraId="2D979838">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附2：便携式行为观察记录分析系统组成明细表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9"/>
        <w:gridCol w:w="1365"/>
        <w:gridCol w:w="1289"/>
        <w:gridCol w:w="962"/>
        <w:gridCol w:w="605"/>
        <w:gridCol w:w="605"/>
        <w:gridCol w:w="1032"/>
        <w:gridCol w:w="1147"/>
      </w:tblGrid>
      <w:tr w14:paraId="378B8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2BB7718A">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Times New Roman"/>
                <w:b/>
                <w:bCs/>
                <w:color w:val="auto"/>
                <w:spacing w:val="-6"/>
                <w:szCs w:val="21"/>
                <w:highlight w:val="none"/>
              </w:rPr>
              <w:t>便携式行为观察记录分析系统组成明细表</w:t>
            </w:r>
          </w:p>
        </w:tc>
      </w:tr>
      <w:tr w14:paraId="76859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E24658D">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5558D5F2">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4C148B57">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品牌</w:t>
            </w: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4B326E0F">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68B50D0A">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产地</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04C21F70">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263CC742">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534" w:type="pct"/>
            <w:tcBorders>
              <w:top w:val="single" w:color="auto" w:sz="4" w:space="0"/>
              <w:left w:val="single" w:color="auto" w:sz="4" w:space="0"/>
              <w:bottom w:val="single" w:color="auto" w:sz="4" w:space="0"/>
              <w:right w:val="single" w:color="auto" w:sz="4" w:space="0"/>
            </w:tcBorders>
            <w:vAlign w:val="center"/>
          </w:tcPr>
          <w:p w14:paraId="04B4F1F7">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tc>
        <w:tc>
          <w:tcPr>
            <w:tcW w:w="597" w:type="pct"/>
            <w:tcBorders>
              <w:top w:val="single" w:color="auto" w:sz="4" w:space="0"/>
              <w:left w:val="single" w:color="auto" w:sz="4" w:space="0"/>
              <w:bottom w:val="single" w:color="auto" w:sz="4" w:space="0"/>
              <w:right w:val="single" w:color="auto" w:sz="4" w:space="0"/>
            </w:tcBorders>
            <w:vAlign w:val="center"/>
          </w:tcPr>
          <w:p w14:paraId="2CB3530B">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金额（人民币元）</w:t>
            </w:r>
          </w:p>
        </w:tc>
      </w:tr>
      <w:tr w14:paraId="68402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EF121D6">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（1）</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03AC00DD">
            <w:pPr>
              <w:adjustRightInd w:val="0"/>
              <w:snapToGrid w:val="0"/>
              <w:jc w:val="center"/>
              <w:rPr>
                <w:rFonts w:hint="eastAsia" w:ascii="黑体" w:hAnsi="黑体" w:eastAsia="黑体" w:cs="黑体"/>
                <w:color w:val="auto"/>
                <w:szCs w:val="21"/>
                <w:highlight w:val="none"/>
              </w:rPr>
            </w:pPr>
            <w:r>
              <w:rPr>
                <w:rFonts w:hint="eastAsia" w:ascii="宋体" w:hAnsi="宋体" w:eastAsia="宋体" w:cs="Times New Roman"/>
                <w:b/>
                <w:bCs/>
                <w:color w:val="auto"/>
                <w:spacing w:val="-6"/>
                <w:szCs w:val="21"/>
                <w:highlight w:val="none"/>
              </w:rPr>
              <w:t>便携式行为观察记录分析系统</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78A9C3F9">
            <w:pPr>
              <w:adjustRightInd w:val="0"/>
              <w:snapToGrid w:val="0"/>
              <w:spacing w:line="360" w:lineRule="auto"/>
              <w:jc w:val="center"/>
              <w:rPr>
                <w:rFonts w:hint="eastAsia" w:ascii="宋体" w:hAnsi="宋体" w:eastAsia="宋体" w:cs="宋体"/>
                <w:b/>
                <w:bCs/>
                <w:color w:val="auto"/>
                <w:szCs w:val="21"/>
                <w:highlight w:val="none"/>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23D00F4F">
            <w:pPr>
              <w:adjustRightInd w:val="0"/>
              <w:snapToGrid w:val="0"/>
              <w:spacing w:line="360" w:lineRule="auto"/>
              <w:jc w:val="center"/>
              <w:rPr>
                <w:rFonts w:hint="eastAsia" w:ascii="宋体" w:hAnsi="宋体" w:eastAsia="宋体" w:cs="宋体"/>
                <w:b/>
                <w:bCs/>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7FE81A3E">
            <w:pPr>
              <w:adjustRightInd w:val="0"/>
              <w:snapToGrid w:val="0"/>
              <w:spacing w:line="360" w:lineRule="auto"/>
              <w:jc w:val="center"/>
              <w:rPr>
                <w:rFonts w:hint="eastAsia" w:ascii="宋体" w:hAnsi="宋体" w:eastAsia="宋体" w:cs="宋体"/>
                <w:b/>
                <w:bCs/>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0643C6D8">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71300BEE">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p>
        </w:tc>
        <w:tc>
          <w:tcPr>
            <w:tcW w:w="534" w:type="pct"/>
            <w:tcBorders>
              <w:top w:val="single" w:color="auto" w:sz="4" w:space="0"/>
              <w:left w:val="single" w:color="auto" w:sz="4" w:space="0"/>
              <w:bottom w:val="single" w:color="auto" w:sz="4" w:space="0"/>
              <w:right w:val="single" w:color="auto" w:sz="4" w:space="0"/>
            </w:tcBorders>
            <w:vAlign w:val="center"/>
          </w:tcPr>
          <w:p w14:paraId="5B46A3E4">
            <w:pPr>
              <w:adjustRightInd w:val="0"/>
              <w:snapToGrid w:val="0"/>
              <w:spacing w:line="360" w:lineRule="auto"/>
              <w:jc w:val="center"/>
              <w:rPr>
                <w:rFonts w:hint="eastAsia" w:ascii="宋体" w:hAnsi="宋体" w:eastAsia="宋体" w:cs="宋体"/>
                <w:b/>
                <w:bCs/>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400A5A8A">
            <w:pPr>
              <w:adjustRightInd w:val="0"/>
              <w:snapToGrid w:val="0"/>
              <w:spacing w:line="360" w:lineRule="auto"/>
              <w:jc w:val="center"/>
              <w:rPr>
                <w:rFonts w:hint="eastAsia" w:ascii="宋体" w:hAnsi="宋体" w:eastAsia="宋体" w:cs="宋体"/>
                <w:b/>
                <w:bCs/>
                <w:color w:val="auto"/>
                <w:szCs w:val="21"/>
                <w:highlight w:val="none"/>
              </w:rPr>
            </w:pPr>
          </w:p>
        </w:tc>
      </w:tr>
      <w:tr w14:paraId="7738B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0D21018">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（2）</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5C0117C">
            <w:pPr>
              <w:adjustRightInd w:val="0"/>
              <w:snapToGrid w:val="0"/>
              <w:jc w:val="center"/>
              <w:rPr>
                <w:rFonts w:hint="eastAsia" w:ascii="黑体" w:hAnsi="黑体" w:eastAsia="黑体" w:cs="黑体"/>
                <w:color w:val="auto"/>
                <w:szCs w:val="21"/>
                <w:highlight w:val="none"/>
              </w:rPr>
            </w:pPr>
            <w:r>
              <w:rPr>
                <w:rFonts w:ascii="Times New Roman" w:hAnsi="Times New Roman" w:cs="Times New Roman"/>
                <w:b/>
                <w:color w:val="auto"/>
                <w:szCs w:val="21"/>
                <w:highlight w:val="none"/>
              </w:rPr>
              <w:t>便携式云台相机</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046B6E56">
            <w:pPr>
              <w:adjustRightInd w:val="0"/>
              <w:snapToGrid w:val="0"/>
              <w:spacing w:line="360" w:lineRule="auto"/>
              <w:jc w:val="center"/>
              <w:rPr>
                <w:rFonts w:hint="eastAsia" w:ascii="宋体" w:hAnsi="宋体" w:eastAsia="宋体" w:cs="宋体"/>
                <w:b/>
                <w:bCs/>
                <w:color w:val="auto"/>
                <w:szCs w:val="21"/>
                <w:highlight w:val="none"/>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28747F45">
            <w:pPr>
              <w:adjustRightInd w:val="0"/>
              <w:snapToGrid w:val="0"/>
              <w:spacing w:line="360" w:lineRule="auto"/>
              <w:jc w:val="center"/>
              <w:rPr>
                <w:rFonts w:hint="eastAsia" w:ascii="宋体" w:hAnsi="宋体" w:eastAsia="宋体" w:cs="宋体"/>
                <w:b/>
                <w:bCs/>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184347BB">
            <w:pPr>
              <w:adjustRightInd w:val="0"/>
              <w:snapToGrid w:val="0"/>
              <w:spacing w:line="360" w:lineRule="auto"/>
              <w:jc w:val="center"/>
              <w:rPr>
                <w:rFonts w:hint="eastAsia" w:ascii="宋体" w:hAnsi="宋体" w:eastAsia="宋体" w:cs="宋体"/>
                <w:b/>
                <w:bCs/>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823A1F7">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A097ECC">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w:t>
            </w:r>
          </w:p>
        </w:tc>
        <w:tc>
          <w:tcPr>
            <w:tcW w:w="534" w:type="pct"/>
            <w:tcBorders>
              <w:top w:val="single" w:color="auto" w:sz="4" w:space="0"/>
              <w:left w:val="single" w:color="auto" w:sz="4" w:space="0"/>
              <w:bottom w:val="single" w:color="auto" w:sz="4" w:space="0"/>
              <w:right w:val="single" w:color="auto" w:sz="4" w:space="0"/>
            </w:tcBorders>
            <w:vAlign w:val="center"/>
          </w:tcPr>
          <w:p w14:paraId="19523639">
            <w:pPr>
              <w:adjustRightInd w:val="0"/>
              <w:snapToGrid w:val="0"/>
              <w:spacing w:line="360" w:lineRule="auto"/>
              <w:jc w:val="center"/>
              <w:rPr>
                <w:rFonts w:hint="eastAsia" w:ascii="宋体" w:hAnsi="宋体" w:eastAsia="宋体" w:cs="宋体"/>
                <w:b/>
                <w:bCs/>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01F6E195">
            <w:pPr>
              <w:adjustRightInd w:val="0"/>
              <w:snapToGrid w:val="0"/>
              <w:spacing w:line="360" w:lineRule="auto"/>
              <w:jc w:val="center"/>
              <w:rPr>
                <w:rFonts w:hint="eastAsia" w:ascii="宋体" w:hAnsi="宋体" w:eastAsia="宋体" w:cs="宋体"/>
                <w:b/>
                <w:bCs/>
                <w:color w:val="auto"/>
                <w:szCs w:val="21"/>
                <w:highlight w:val="none"/>
              </w:rPr>
            </w:pPr>
          </w:p>
        </w:tc>
      </w:tr>
      <w:tr w14:paraId="1D89E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714E8E8">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（3）</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5837E61E">
            <w:pPr>
              <w:adjustRightInd w:val="0"/>
              <w:snapToGrid w:val="0"/>
              <w:jc w:val="center"/>
              <w:rPr>
                <w:rFonts w:hint="eastAsia" w:ascii="黑体" w:hAnsi="黑体" w:eastAsia="黑体" w:cs="黑体"/>
                <w:color w:val="auto"/>
                <w:szCs w:val="21"/>
                <w:highlight w:val="none"/>
              </w:rPr>
            </w:pPr>
            <w:r>
              <w:rPr>
                <w:rFonts w:ascii="Times New Roman" w:hAnsi="Times New Roman" w:cs="Times New Roman"/>
                <w:b/>
                <w:color w:val="auto"/>
                <w:szCs w:val="21"/>
                <w:highlight w:val="none"/>
              </w:rPr>
              <w:t>数码视频采集设备</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738404EE">
            <w:pPr>
              <w:adjustRightInd w:val="0"/>
              <w:snapToGrid w:val="0"/>
              <w:spacing w:line="360" w:lineRule="auto"/>
              <w:jc w:val="center"/>
              <w:rPr>
                <w:rFonts w:hint="eastAsia" w:ascii="宋体" w:hAnsi="宋体" w:eastAsia="宋体" w:cs="宋体"/>
                <w:b/>
                <w:bCs/>
                <w:color w:val="auto"/>
                <w:szCs w:val="21"/>
                <w:highlight w:val="none"/>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2ABE1E37">
            <w:pPr>
              <w:adjustRightInd w:val="0"/>
              <w:snapToGrid w:val="0"/>
              <w:spacing w:line="360" w:lineRule="auto"/>
              <w:jc w:val="center"/>
              <w:rPr>
                <w:rFonts w:hint="eastAsia" w:ascii="宋体" w:hAnsi="宋体" w:eastAsia="宋体" w:cs="宋体"/>
                <w:b/>
                <w:bCs/>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5A99F247">
            <w:pPr>
              <w:adjustRightInd w:val="0"/>
              <w:snapToGrid w:val="0"/>
              <w:spacing w:line="360" w:lineRule="auto"/>
              <w:jc w:val="center"/>
              <w:rPr>
                <w:rFonts w:hint="eastAsia" w:ascii="宋体" w:hAnsi="宋体" w:eastAsia="宋体" w:cs="宋体"/>
                <w:b/>
                <w:bCs/>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5EF086E0">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4C732D98">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p>
        </w:tc>
        <w:tc>
          <w:tcPr>
            <w:tcW w:w="534" w:type="pct"/>
            <w:tcBorders>
              <w:top w:val="single" w:color="auto" w:sz="4" w:space="0"/>
              <w:left w:val="single" w:color="auto" w:sz="4" w:space="0"/>
              <w:bottom w:val="single" w:color="auto" w:sz="4" w:space="0"/>
              <w:right w:val="single" w:color="auto" w:sz="4" w:space="0"/>
            </w:tcBorders>
            <w:vAlign w:val="center"/>
          </w:tcPr>
          <w:p w14:paraId="79A90179">
            <w:pPr>
              <w:adjustRightInd w:val="0"/>
              <w:snapToGrid w:val="0"/>
              <w:spacing w:line="360" w:lineRule="auto"/>
              <w:jc w:val="center"/>
              <w:rPr>
                <w:rFonts w:hint="eastAsia" w:ascii="宋体" w:hAnsi="宋体" w:eastAsia="宋体" w:cs="宋体"/>
                <w:b/>
                <w:bCs/>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63AA7651">
            <w:pPr>
              <w:adjustRightInd w:val="0"/>
              <w:snapToGrid w:val="0"/>
              <w:spacing w:line="360" w:lineRule="auto"/>
              <w:jc w:val="center"/>
              <w:rPr>
                <w:rFonts w:hint="eastAsia" w:ascii="宋体" w:hAnsi="宋体" w:eastAsia="宋体" w:cs="宋体"/>
                <w:b/>
                <w:bCs/>
                <w:color w:val="auto"/>
                <w:szCs w:val="21"/>
                <w:highlight w:val="none"/>
              </w:rPr>
            </w:pPr>
          </w:p>
        </w:tc>
      </w:tr>
      <w:tr w14:paraId="00310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EB8B9D6">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（4）</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FBE315E">
            <w:pPr>
              <w:adjustRightInd w:val="0"/>
              <w:snapToGrid w:val="0"/>
              <w:jc w:val="center"/>
              <w:rPr>
                <w:rFonts w:hint="eastAsia" w:ascii="黑体" w:hAnsi="黑体" w:eastAsia="黑体" w:cs="黑体"/>
                <w:color w:val="auto"/>
                <w:szCs w:val="21"/>
                <w:highlight w:val="none"/>
                <w:lang w:bidi="ar"/>
              </w:rPr>
            </w:pPr>
            <w:r>
              <w:rPr>
                <w:rFonts w:ascii="Times New Roman" w:hAnsi="Times New Roman" w:cs="Times New Roman"/>
                <w:b/>
                <w:color w:val="auto"/>
                <w:szCs w:val="21"/>
                <w:highlight w:val="none"/>
              </w:rPr>
              <w:t>专用便携式工作站</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5E78A8D5">
            <w:pPr>
              <w:adjustRightInd w:val="0"/>
              <w:snapToGrid w:val="0"/>
              <w:spacing w:line="360" w:lineRule="auto"/>
              <w:jc w:val="center"/>
              <w:rPr>
                <w:rFonts w:hint="eastAsia" w:ascii="宋体" w:hAnsi="宋体" w:eastAsia="宋体" w:cs="宋体"/>
                <w:b/>
                <w:bCs/>
                <w:color w:val="auto"/>
                <w:szCs w:val="21"/>
                <w:highlight w:val="none"/>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55F1CA5F">
            <w:pPr>
              <w:adjustRightInd w:val="0"/>
              <w:snapToGrid w:val="0"/>
              <w:spacing w:line="360" w:lineRule="auto"/>
              <w:jc w:val="center"/>
              <w:rPr>
                <w:rFonts w:hint="eastAsia" w:ascii="宋体" w:hAnsi="宋体" w:eastAsia="宋体" w:cs="宋体"/>
                <w:b/>
                <w:bCs/>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37ED73EE">
            <w:pPr>
              <w:adjustRightInd w:val="0"/>
              <w:snapToGrid w:val="0"/>
              <w:spacing w:line="360" w:lineRule="auto"/>
              <w:jc w:val="center"/>
              <w:rPr>
                <w:rFonts w:hint="eastAsia" w:ascii="宋体" w:hAnsi="宋体" w:eastAsia="宋体" w:cs="宋体"/>
                <w:b/>
                <w:bCs/>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2B854E00">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40E15FD">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p>
        </w:tc>
        <w:tc>
          <w:tcPr>
            <w:tcW w:w="534" w:type="pct"/>
            <w:tcBorders>
              <w:top w:val="single" w:color="auto" w:sz="4" w:space="0"/>
              <w:left w:val="single" w:color="auto" w:sz="4" w:space="0"/>
              <w:bottom w:val="single" w:color="auto" w:sz="4" w:space="0"/>
              <w:right w:val="single" w:color="auto" w:sz="4" w:space="0"/>
            </w:tcBorders>
            <w:vAlign w:val="center"/>
          </w:tcPr>
          <w:p w14:paraId="1B6E6966">
            <w:pPr>
              <w:adjustRightInd w:val="0"/>
              <w:snapToGrid w:val="0"/>
              <w:spacing w:line="360" w:lineRule="auto"/>
              <w:jc w:val="center"/>
              <w:rPr>
                <w:rFonts w:hint="eastAsia" w:ascii="宋体" w:hAnsi="宋体" w:eastAsia="宋体" w:cs="宋体"/>
                <w:b/>
                <w:bCs/>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75CE2367">
            <w:pPr>
              <w:adjustRightInd w:val="0"/>
              <w:snapToGrid w:val="0"/>
              <w:spacing w:line="360" w:lineRule="auto"/>
              <w:jc w:val="center"/>
              <w:rPr>
                <w:rFonts w:hint="eastAsia" w:ascii="宋体" w:hAnsi="宋体" w:eastAsia="宋体" w:cs="宋体"/>
                <w:b/>
                <w:bCs/>
                <w:color w:val="auto"/>
                <w:szCs w:val="21"/>
                <w:highlight w:val="none"/>
              </w:rPr>
            </w:pPr>
          </w:p>
        </w:tc>
      </w:tr>
      <w:tr w14:paraId="79941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4C69FFE">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（5）</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02F4D834">
            <w:pPr>
              <w:adjustRightInd w:val="0"/>
              <w:snapToGrid w:val="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便携式防震航空箱</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0616E73C">
            <w:pPr>
              <w:adjustRightInd w:val="0"/>
              <w:snapToGrid w:val="0"/>
              <w:spacing w:line="360" w:lineRule="auto"/>
              <w:jc w:val="center"/>
              <w:rPr>
                <w:rFonts w:hint="eastAsia" w:ascii="宋体" w:hAnsi="宋体" w:eastAsia="宋体" w:cs="宋体"/>
                <w:b/>
                <w:bCs/>
                <w:color w:val="auto"/>
                <w:szCs w:val="21"/>
                <w:highlight w:val="none"/>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37B19FF3">
            <w:pPr>
              <w:adjustRightInd w:val="0"/>
              <w:snapToGrid w:val="0"/>
              <w:spacing w:line="360" w:lineRule="auto"/>
              <w:jc w:val="center"/>
              <w:rPr>
                <w:rFonts w:hint="eastAsia" w:ascii="宋体" w:hAnsi="宋体" w:eastAsia="宋体" w:cs="宋体"/>
                <w:b/>
                <w:bCs/>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3451EBC2">
            <w:pPr>
              <w:adjustRightInd w:val="0"/>
              <w:snapToGrid w:val="0"/>
              <w:spacing w:line="360" w:lineRule="auto"/>
              <w:jc w:val="center"/>
              <w:rPr>
                <w:rFonts w:hint="eastAsia" w:ascii="宋体" w:hAnsi="宋体" w:eastAsia="宋体" w:cs="宋体"/>
                <w:b/>
                <w:bCs/>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45CE4EC3">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16B06E27">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p>
        </w:tc>
        <w:tc>
          <w:tcPr>
            <w:tcW w:w="534" w:type="pct"/>
            <w:tcBorders>
              <w:top w:val="single" w:color="auto" w:sz="4" w:space="0"/>
              <w:left w:val="single" w:color="auto" w:sz="4" w:space="0"/>
              <w:bottom w:val="single" w:color="auto" w:sz="4" w:space="0"/>
              <w:right w:val="single" w:color="auto" w:sz="4" w:space="0"/>
            </w:tcBorders>
            <w:vAlign w:val="center"/>
          </w:tcPr>
          <w:p w14:paraId="097E8372">
            <w:pPr>
              <w:adjustRightInd w:val="0"/>
              <w:snapToGrid w:val="0"/>
              <w:spacing w:line="360" w:lineRule="auto"/>
              <w:jc w:val="center"/>
              <w:rPr>
                <w:rFonts w:hint="eastAsia" w:ascii="宋体" w:hAnsi="宋体" w:eastAsia="宋体" w:cs="宋体"/>
                <w:b/>
                <w:bCs/>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55856582">
            <w:pPr>
              <w:adjustRightInd w:val="0"/>
              <w:snapToGrid w:val="0"/>
              <w:spacing w:line="360" w:lineRule="auto"/>
              <w:jc w:val="center"/>
              <w:rPr>
                <w:rFonts w:hint="eastAsia" w:ascii="宋体" w:hAnsi="宋体" w:eastAsia="宋体" w:cs="宋体"/>
                <w:b/>
                <w:bCs/>
                <w:color w:val="auto"/>
                <w:szCs w:val="21"/>
                <w:highlight w:val="none"/>
              </w:rPr>
            </w:pPr>
          </w:p>
        </w:tc>
      </w:tr>
      <w:tr w14:paraId="5B6B6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11530B0">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小计（小计金额应等于开标一览表中“</w:t>
            </w:r>
            <w:r>
              <w:rPr>
                <w:rFonts w:hint="eastAsia" w:ascii="宋体" w:hAnsi="宋体" w:eastAsia="宋体" w:cs="Times New Roman"/>
                <w:b/>
                <w:bCs/>
                <w:color w:val="auto"/>
                <w:spacing w:val="-6"/>
                <w:szCs w:val="21"/>
                <w:highlight w:val="none"/>
              </w:rPr>
              <w:t>便携式行为观察记录分析系统</w:t>
            </w:r>
            <w:r>
              <w:rPr>
                <w:rFonts w:hint="eastAsia" w:ascii="宋体" w:hAnsi="宋体" w:eastAsia="宋体" w:cs="宋体"/>
                <w:b/>
                <w:bCs/>
                <w:color w:val="auto"/>
                <w:szCs w:val="21"/>
                <w:highlight w:val="none"/>
              </w:rPr>
              <w:t>”的金额）</w:t>
            </w:r>
          </w:p>
        </w:tc>
        <w:tc>
          <w:tcPr>
            <w:tcW w:w="597" w:type="pct"/>
            <w:tcBorders>
              <w:top w:val="single" w:color="auto" w:sz="4" w:space="0"/>
              <w:left w:val="single" w:color="auto" w:sz="4" w:space="0"/>
              <w:bottom w:val="single" w:color="auto" w:sz="4" w:space="0"/>
              <w:right w:val="single" w:color="auto" w:sz="4" w:space="0"/>
            </w:tcBorders>
            <w:vAlign w:val="center"/>
          </w:tcPr>
          <w:p w14:paraId="64F9BA42">
            <w:pPr>
              <w:adjustRightInd w:val="0"/>
              <w:snapToGrid w:val="0"/>
              <w:spacing w:line="360" w:lineRule="auto"/>
              <w:jc w:val="center"/>
              <w:rPr>
                <w:rFonts w:hint="eastAsia" w:ascii="宋体" w:hAnsi="宋体" w:eastAsia="宋体" w:cs="宋体"/>
                <w:b/>
                <w:bCs/>
                <w:color w:val="auto"/>
                <w:szCs w:val="21"/>
                <w:highlight w:val="none"/>
              </w:rPr>
            </w:pPr>
          </w:p>
        </w:tc>
      </w:tr>
    </w:tbl>
    <w:p w14:paraId="432EC511">
      <w:pPr>
        <w:adjustRightInd w:val="0"/>
        <w:snapToGrid w:val="0"/>
        <w:spacing w:line="288" w:lineRule="auto"/>
        <w:rPr>
          <w:rFonts w:hint="eastAsia" w:ascii="宋体" w:hAnsi="宋体" w:eastAsia="宋体" w:cs="Times New Roman"/>
          <w:b/>
          <w:bCs/>
          <w:color w:val="auto"/>
          <w:spacing w:val="-6"/>
          <w:szCs w:val="21"/>
          <w:highlight w:val="none"/>
        </w:rPr>
      </w:pPr>
    </w:p>
    <w:p w14:paraId="744AF118">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附3：视觉动态追踪系统组成明细表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2"/>
        <w:gridCol w:w="1359"/>
        <w:gridCol w:w="1283"/>
        <w:gridCol w:w="958"/>
        <w:gridCol w:w="604"/>
        <w:gridCol w:w="604"/>
        <w:gridCol w:w="1052"/>
        <w:gridCol w:w="1152"/>
      </w:tblGrid>
      <w:tr w14:paraId="554FC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7A101057">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Times New Roman"/>
                <w:b/>
                <w:bCs/>
                <w:color w:val="auto"/>
                <w:spacing w:val="-6"/>
                <w:szCs w:val="21"/>
                <w:highlight w:val="none"/>
              </w:rPr>
              <w:t>视觉动态追踪系统组成明细表</w:t>
            </w:r>
          </w:p>
        </w:tc>
      </w:tr>
      <w:tr w14:paraId="108B8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0614E9A">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60116893">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16E5A858">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品牌</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37802C0">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2E0E3DDE">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产地</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3683760">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002153E4">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544" w:type="pct"/>
            <w:tcBorders>
              <w:top w:val="single" w:color="auto" w:sz="4" w:space="0"/>
              <w:left w:val="single" w:color="auto" w:sz="4" w:space="0"/>
              <w:bottom w:val="single" w:color="auto" w:sz="4" w:space="0"/>
              <w:right w:val="single" w:color="auto" w:sz="4" w:space="0"/>
            </w:tcBorders>
            <w:vAlign w:val="center"/>
          </w:tcPr>
          <w:p w14:paraId="199C089A">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tc>
        <w:tc>
          <w:tcPr>
            <w:tcW w:w="598" w:type="pct"/>
            <w:tcBorders>
              <w:top w:val="single" w:color="auto" w:sz="4" w:space="0"/>
              <w:left w:val="single" w:color="auto" w:sz="4" w:space="0"/>
              <w:bottom w:val="single" w:color="auto" w:sz="4" w:space="0"/>
              <w:right w:val="single" w:color="auto" w:sz="4" w:space="0"/>
            </w:tcBorders>
            <w:vAlign w:val="center"/>
          </w:tcPr>
          <w:p w14:paraId="1202CD52">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金额（人民币元）</w:t>
            </w:r>
          </w:p>
        </w:tc>
      </w:tr>
      <w:tr w14:paraId="5E1A2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4ED3E3F">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（1）</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2C79DA26">
            <w:pPr>
              <w:adjustRightInd w:val="0"/>
              <w:snapToGrid w:val="0"/>
              <w:jc w:val="center"/>
              <w:rPr>
                <w:rFonts w:hint="eastAsia" w:ascii="黑体" w:hAnsi="黑体" w:eastAsia="黑体" w:cs="黑体"/>
                <w:color w:val="auto"/>
                <w:szCs w:val="21"/>
                <w:highlight w:val="none"/>
              </w:rPr>
            </w:pPr>
            <w:r>
              <w:rPr>
                <w:rFonts w:hint="eastAsia" w:ascii="宋体" w:hAnsi="宋体" w:eastAsia="宋体" w:cs="Times New Roman"/>
                <w:b/>
                <w:bCs/>
                <w:color w:val="auto"/>
                <w:spacing w:val="-6"/>
                <w:szCs w:val="21"/>
                <w:highlight w:val="none"/>
              </w:rPr>
              <w:t>视觉动态追踪系统</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59B2B8FF">
            <w:pPr>
              <w:adjustRightInd w:val="0"/>
              <w:snapToGrid w:val="0"/>
              <w:spacing w:line="360" w:lineRule="auto"/>
              <w:jc w:val="center"/>
              <w:rPr>
                <w:rFonts w:hint="eastAsia" w:ascii="宋体" w:hAnsi="宋体" w:eastAsia="宋体" w:cs="宋体"/>
                <w:b/>
                <w:bCs/>
                <w:color w:val="auto"/>
                <w:szCs w:val="21"/>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86FFCA2">
            <w:pPr>
              <w:adjustRightInd w:val="0"/>
              <w:snapToGrid w:val="0"/>
              <w:spacing w:line="360" w:lineRule="auto"/>
              <w:jc w:val="center"/>
              <w:rPr>
                <w:rFonts w:hint="eastAsia" w:ascii="宋体" w:hAnsi="宋体" w:eastAsia="宋体" w:cs="宋体"/>
                <w:b/>
                <w:bCs/>
                <w:color w:val="auto"/>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3B3B9F34">
            <w:pPr>
              <w:adjustRightInd w:val="0"/>
              <w:snapToGrid w:val="0"/>
              <w:spacing w:line="360" w:lineRule="auto"/>
              <w:jc w:val="center"/>
              <w:rPr>
                <w:rFonts w:hint="eastAsia" w:ascii="宋体" w:hAnsi="宋体" w:eastAsia="宋体" w:cs="宋体"/>
                <w:b/>
                <w:bCs/>
                <w:color w:val="auto"/>
                <w:szCs w:val="21"/>
                <w:highlight w:val="none"/>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9576B40">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29BA5C87">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p>
        </w:tc>
        <w:tc>
          <w:tcPr>
            <w:tcW w:w="544" w:type="pct"/>
            <w:tcBorders>
              <w:top w:val="single" w:color="auto" w:sz="4" w:space="0"/>
              <w:left w:val="single" w:color="auto" w:sz="4" w:space="0"/>
              <w:bottom w:val="single" w:color="auto" w:sz="4" w:space="0"/>
              <w:right w:val="single" w:color="auto" w:sz="4" w:space="0"/>
            </w:tcBorders>
            <w:vAlign w:val="center"/>
          </w:tcPr>
          <w:p w14:paraId="6D7C7EA2">
            <w:pPr>
              <w:adjustRightInd w:val="0"/>
              <w:snapToGrid w:val="0"/>
              <w:spacing w:line="360" w:lineRule="auto"/>
              <w:jc w:val="center"/>
              <w:rPr>
                <w:rFonts w:hint="eastAsia" w:ascii="宋体" w:hAnsi="宋体" w:eastAsia="宋体" w:cs="宋体"/>
                <w:b/>
                <w:bCs/>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5C12F3A7">
            <w:pPr>
              <w:adjustRightInd w:val="0"/>
              <w:snapToGrid w:val="0"/>
              <w:spacing w:line="360" w:lineRule="auto"/>
              <w:jc w:val="center"/>
              <w:rPr>
                <w:rFonts w:hint="eastAsia" w:ascii="宋体" w:hAnsi="宋体" w:eastAsia="宋体" w:cs="宋体"/>
                <w:b/>
                <w:bCs/>
                <w:color w:val="auto"/>
                <w:szCs w:val="21"/>
                <w:highlight w:val="none"/>
              </w:rPr>
            </w:pPr>
          </w:p>
        </w:tc>
      </w:tr>
      <w:tr w14:paraId="35B77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DA0E9EF">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（2）</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113B3824">
            <w:pPr>
              <w:adjustRightInd w:val="0"/>
              <w:snapToGrid w:val="0"/>
              <w:jc w:val="center"/>
              <w:rPr>
                <w:rFonts w:hint="eastAsia" w:ascii="黑体" w:hAnsi="黑体" w:eastAsia="黑体" w:cs="黑体"/>
                <w:color w:val="auto"/>
                <w:szCs w:val="21"/>
                <w:highlight w:val="none"/>
              </w:rPr>
            </w:pPr>
            <w:r>
              <w:rPr>
                <w:rFonts w:ascii="Times New Roman" w:hAnsi="Times New Roman" w:cs="Times New Roman"/>
                <w:b/>
                <w:bCs/>
                <w:color w:val="auto"/>
                <w:szCs w:val="21"/>
                <w:highlight w:val="none"/>
              </w:rPr>
              <w:t>专用便携式工作站</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27E5670A">
            <w:pPr>
              <w:adjustRightInd w:val="0"/>
              <w:snapToGrid w:val="0"/>
              <w:spacing w:line="360" w:lineRule="auto"/>
              <w:jc w:val="center"/>
              <w:rPr>
                <w:rFonts w:hint="eastAsia" w:ascii="宋体" w:hAnsi="宋体" w:eastAsia="宋体" w:cs="宋体"/>
                <w:b/>
                <w:bCs/>
                <w:color w:val="auto"/>
                <w:szCs w:val="21"/>
                <w:highlight w:val="none"/>
              </w:rPr>
            </w:pP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6AEB9AF">
            <w:pPr>
              <w:adjustRightInd w:val="0"/>
              <w:snapToGrid w:val="0"/>
              <w:spacing w:line="360" w:lineRule="auto"/>
              <w:jc w:val="center"/>
              <w:rPr>
                <w:rFonts w:hint="eastAsia" w:ascii="宋体" w:hAnsi="宋体" w:eastAsia="宋体" w:cs="宋体"/>
                <w:b/>
                <w:bCs/>
                <w:color w:val="auto"/>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18163A41">
            <w:pPr>
              <w:adjustRightInd w:val="0"/>
              <w:snapToGrid w:val="0"/>
              <w:spacing w:line="360" w:lineRule="auto"/>
              <w:jc w:val="center"/>
              <w:rPr>
                <w:rFonts w:hint="eastAsia" w:ascii="宋体" w:hAnsi="宋体" w:eastAsia="宋体" w:cs="宋体"/>
                <w:b/>
                <w:bCs/>
                <w:color w:val="auto"/>
                <w:szCs w:val="21"/>
                <w:highlight w:val="none"/>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27C594A0">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台</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61E37CC3">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p>
        </w:tc>
        <w:tc>
          <w:tcPr>
            <w:tcW w:w="544" w:type="pct"/>
            <w:tcBorders>
              <w:top w:val="single" w:color="auto" w:sz="4" w:space="0"/>
              <w:left w:val="single" w:color="auto" w:sz="4" w:space="0"/>
              <w:bottom w:val="single" w:color="auto" w:sz="4" w:space="0"/>
              <w:right w:val="single" w:color="auto" w:sz="4" w:space="0"/>
            </w:tcBorders>
            <w:vAlign w:val="center"/>
          </w:tcPr>
          <w:p w14:paraId="6F363F58">
            <w:pPr>
              <w:adjustRightInd w:val="0"/>
              <w:snapToGrid w:val="0"/>
              <w:spacing w:line="360" w:lineRule="auto"/>
              <w:jc w:val="center"/>
              <w:rPr>
                <w:rFonts w:hint="eastAsia" w:ascii="宋体" w:hAnsi="宋体" w:eastAsia="宋体" w:cs="宋体"/>
                <w:b/>
                <w:bCs/>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0F291280">
            <w:pPr>
              <w:adjustRightInd w:val="0"/>
              <w:snapToGrid w:val="0"/>
              <w:spacing w:line="360" w:lineRule="auto"/>
              <w:jc w:val="center"/>
              <w:rPr>
                <w:rFonts w:hint="eastAsia" w:ascii="宋体" w:hAnsi="宋体" w:eastAsia="宋体" w:cs="宋体"/>
                <w:b/>
                <w:bCs/>
                <w:color w:val="auto"/>
                <w:szCs w:val="21"/>
                <w:highlight w:val="none"/>
              </w:rPr>
            </w:pPr>
          </w:p>
        </w:tc>
      </w:tr>
      <w:tr w14:paraId="6E04B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99C1D25">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小计（小计金额应等于开标一览表中“</w:t>
            </w:r>
            <w:r>
              <w:rPr>
                <w:rFonts w:hint="eastAsia" w:ascii="宋体" w:hAnsi="宋体" w:eastAsia="宋体" w:cs="Times New Roman"/>
                <w:b/>
                <w:bCs/>
                <w:color w:val="auto"/>
                <w:spacing w:val="-6"/>
                <w:szCs w:val="21"/>
                <w:highlight w:val="none"/>
              </w:rPr>
              <w:t>视觉动态追踪系统</w:t>
            </w:r>
            <w:r>
              <w:rPr>
                <w:rFonts w:hint="eastAsia" w:ascii="宋体" w:hAnsi="宋体" w:eastAsia="宋体" w:cs="宋体"/>
                <w:b/>
                <w:bCs/>
                <w:color w:val="auto"/>
                <w:szCs w:val="21"/>
                <w:highlight w:val="none"/>
              </w:rPr>
              <w:t>”的金额）</w:t>
            </w:r>
          </w:p>
        </w:tc>
        <w:tc>
          <w:tcPr>
            <w:tcW w:w="598" w:type="pct"/>
            <w:tcBorders>
              <w:top w:val="single" w:color="auto" w:sz="4" w:space="0"/>
              <w:left w:val="single" w:color="auto" w:sz="4" w:space="0"/>
              <w:bottom w:val="single" w:color="auto" w:sz="4" w:space="0"/>
              <w:right w:val="single" w:color="auto" w:sz="4" w:space="0"/>
            </w:tcBorders>
            <w:vAlign w:val="center"/>
          </w:tcPr>
          <w:p w14:paraId="5516FD6A">
            <w:pPr>
              <w:adjustRightInd w:val="0"/>
              <w:snapToGrid w:val="0"/>
              <w:spacing w:line="360" w:lineRule="auto"/>
              <w:jc w:val="center"/>
              <w:rPr>
                <w:rFonts w:hint="eastAsia" w:ascii="宋体" w:hAnsi="宋体" w:eastAsia="宋体" w:cs="宋体"/>
                <w:b/>
                <w:bCs/>
                <w:color w:val="auto"/>
                <w:szCs w:val="21"/>
                <w:highlight w:val="none"/>
              </w:rPr>
            </w:pPr>
          </w:p>
        </w:tc>
      </w:tr>
    </w:tbl>
    <w:p w14:paraId="46085952">
      <w:pPr>
        <w:adjustRightInd w:val="0"/>
        <w:snapToGrid w:val="0"/>
        <w:spacing w:line="288" w:lineRule="auto"/>
        <w:rPr>
          <w:rFonts w:hint="eastAsia" w:ascii="宋体" w:hAnsi="宋体" w:eastAsia="宋体" w:cs="Times New Roman"/>
          <w:b/>
          <w:bCs/>
          <w:color w:val="auto"/>
          <w:spacing w:val="-6"/>
          <w:szCs w:val="21"/>
          <w:highlight w:val="none"/>
        </w:rPr>
      </w:pPr>
    </w:p>
    <w:p w14:paraId="49576C0A">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附4：遥测式生理信号采集分析系统组成明细表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4"/>
        <w:gridCol w:w="1361"/>
        <w:gridCol w:w="1285"/>
        <w:gridCol w:w="960"/>
        <w:gridCol w:w="604"/>
        <w:gridCol w:w="604"/>
        <w:gridCol w:w="1046"/>
        <w:gridCol w:w="1150"/>
      </w:tblGrid>
      <w:tr w14:paraId="467AA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39D89FE3">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Times New Roman"/>
                <w:b/>
                <w:bCs/>
                <w:color w:val="auto"/>
                <w:spacing w:val="-6"/>
                <w:szCs w:val="21"/>
                <w:highlight w:val="none"/>
              </w:rPr>
              <w:t>遥测式生理信号采集分析系统组成明细表</w:t>
            </w:r>
          </w:p>
        </w:tc>
      </w:tr>
      <w:tr w14:paraId="75F8B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9BEBCAD">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55593B26">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5B3EF5C6">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品牌</w:t>
            </w: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19678606">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38D4688">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产地</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4DD7ABA4">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65E0A36B">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540" w:type="pct"/>
            <w:tcBorders>
              <w:top w:val="single" w:color="auto" w:sz="4" w:space="0"/>
              <w:left w:val="single" w:color="auto" w:sz="4" w:space="0"/>
              <w:bottom w:val="single" w:color="auto" w:sz="4" w:space="0"/>
              <w:right w:val="single" w:color="auto" w:sz="4" w:space="0"/>
            </w:tcBorders>
            <w:vAlign w:val="center"/>
          </w:tcPr>
          <w:p w14:paraId="75EA2ED6">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tc>
        <w:tc>
          <w:tcPr>
            <w:tcW w:w="597" w:type="pct"/>
            <w:tcBorders>
              <w:top w:val="single" w:color="auto" w:sz="4" w:space="0"/>
              <w:left w:val="single" w:color="auto" w:sz="4" w:space="0"/>
              <w:bottom w:val="single" w:color="auto" w:sz="4" w:space="0"/>
              <w:right w:val="single" w:color="auto" w:sz="4" w:space="0"/>
            </w:tcBorders>
            <w:vAlign w:val="center"/>
          </w:tcPr>
          <w:p w14:paraId="3413C852">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金额（人民币元）</w:t>
            </w:r>
          </w:p>
        </w:tc>
      </w:tr>
      <w:tr w14:paraId="2692E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2E84555">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（1）</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3B8C47F">
            <w:pPr>
              <w:adjustRightInd w:val="0"/>
              <w:snapToGrid w:val="0"/>
              <w:jc w:val="center"/>
              <w:rPr>
                <w:rFonts w:ascii="Times New Roman" w:hAnsi="Times New Roman" w:cs="Times New Roman"/>
                <w:b/>
                <w:color w:val="auto"/>
                <w:szCs w:val="21"/>
                <w:highlight w:val="none"/>
              </w:rPr>
            </w:pPr>
            <w:r>
              <w:rPr>
                <w:rFonts w:hint="eastAsia" w:ascii="宋体" w:hAnsi="宋体" w:eastAsia="宋体" w:cs="宋体"/>
                <w:b/>
                <w:color w:val="auto"/>
                <w:szCs w:val="21"/>
                <w:highlight w:val="none"/>
              </w:rPr>
              <w:t>遥测式生理信号采集分析系统</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6256DDDA">
            <w:pPr>
              <w:adjustRightInd w:val="0"/>
              <w:snapToGrid w:val="0"/>
              <w:spacing w:line="360" w:lineRule="auto"/>
              <w:jc w:val="center"/>
              <w:rPr>
                <w:rFonts w:hint="eastAsia" w:ascii="宋体" w:hAnsi="宋体" w:eastAsia="宋体" w:cs="宋体"/>
                <w:b/>
                <w:bCs/>
                <w:color w:val="auto"/>
                <w:szCs w:val="21"/>
                <w:highlight w:val="none"/>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3989EA5C">
            <w:pPr>
              <w:adjustRightInd w:val="0"/>
              <w:snapToGrid w:val="0"/>
              <w:spacing w:line="360" w:lineRule="auto"/>
              <w:jc w:val="center"/>
              <w:rPr>
                <w:rFonts w:hint="eastAsia" w:ascii="宋体" w:hAnsi="宋体" w:eastAsia="宋体" w:cs="宋体"/>
                <w:b/>
                <w:bCs/>
                <w:color w:val="auto"/>
                <w:szCs w:val="21"/>
                <w:highlight w:val="none"/>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7AF0900E">
            <w:pPr>
              <w:adjustRightInd w:val="0"/>
              <w:snapToGrid w:val="0"/>
              <w:spacing w:line="360" w:lineRule="auto"/>
              <w:jc w:val="center"/>
              <w:rPr>
                <w:rFonts w:hint="eastAsia" w:ascii="宋体" w:hAnsi="宋体" w:eastAsia="宋体" w:cs="宋体"/>
                <w:b/>
                <w:bCs/>
                <w:color w:val="auto"/>
                <w:szCs w:val="21"/>
                <w:highlight w:val="none"/>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9D3519C">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3AEEB67F">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p>
        </w:tc>
        <w:tc>
          <w:tcPr>
            <w:tcW w:w="540" w:type="pct"/>
            <w:tcBorders>
              <w:top w:val="single" w:color="auto" w:sz="4" w:space="0"/>
              <w:left w:val="single" w:color="auto" w:sz="4" w:space="0"/>
              <w:bottom w:val="single" w:color="auto" w:sz="4" w:space="0"/>
              <w:right w:val="single" w:color="auto" w:sz="4" w:space="0"/>
            </w:tcBorders>
            <w:vAlign w:val="center"/>
          </w:tcPr>
          <w:p w14:paraId="72DC0478">
            <w:pPr>
              <w:adjustRightInd w:val="0"/>
              <w:snapToGrid w:val="0"/>
              <w:spacing w:line="360" w:lineRule="auto"/>
              <w:jc w:val="center"/>
              <w:rPr>
                <w:rFonts w:hint="eastAsia" w:ascii="宋体" w:hAnsi="宋体" w:eastAsia="宋体" w:cs="宋体"/>
                <w:b/>
                <w:bCs/>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7DA463BB">
            <w:pPr>
              <w:adjustRightInd w:val="0"/>
              <w:snapToGrid w:val="0"/>
              <w:spacing w:line="360" w:lineRule="auto"/>
              <w:jc w:val="center"/>
              <w:rPr>
                <w:rFonts w:hint="eastAsia" w:ascii="宋体" w:hAnsi="宋体" w:eastAsia="宋体" w:cs="宋体"/>
                <w:b/>
                <w:bCs/>
                <w:color w:val="auto"/>
                <w:szCs w:val="21"/>
                <w:highlight w:val="none"/>
              </w:rPr>
            </w:pPr>
          </w:p>
        </w:tc>
      </w:tr>
      <w:tr w14:paraId="3A6FD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D6B1776">
            <w:pPr>
              <w:adjustRightInd w:val="0"/>
              <w:snapToGrid w:val="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（2）</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40700D97">
            <w:pPr>
              <w:adjustRightInd w:val="0"/>
              <w:snapToGrid w:val="0"/>
              <w:jc w:val="center"/>
              <w:rPr>
                <w:rFonts w:ascii="Times New Roman" w:hAnsi="Times New Roman" w:cs="Times New Roman"/>
                <w:b/>
                <w:color w:val="auto"/>
                <w:szCs w:val="21"/>
                <w:highlight w:val="none"/>
              </w:rPr>
            </w:pPr>
            <w:r>
              <w:rPr>
                <w:rStyle w:val="109"/>
                <w:rFonts w:ascii="Times New Roman" w:hAnsi="Times New Roman" w:cs="Times New Roman"/>
                <w:color w:val="auto"/>
                <w:szCs w:val="21"/>
                <w:highlight w:val="none"/>
                <w:lang w:bidi="ar"/>
              </w:rPr>
              <w:t>专用台式工作站</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25C64049">
            <w:pPr>
              <w:adjustRightInd w:val="0"/>
              <w:snapToGrid w:val="0"/>
              <w:spacing w:line="360" w:lineRule="auto"/>
              <w:jc w:val="center"/>
              <w:rPr>
                <w:rFonts w:hint="eastAsia" w:ascii="宋体" w:hAnsi="宋体" w:eastAsia="宋体" w:cs="宋体"/>
                <w:b/>
                <w:bCs/>
                <w:color w:val="auto"/>
                <w:szCs w:val="21"/>
                <w:highlight w:val="none"/>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419CEF9C">
            <w:pPr>
              <w:adjustRightInd w:val="0"/>
              <w:snapToGrid w:val="0"/>
              <w:spacing w:line="360" w:lineRule="auto"/>
              <w:jc w:val="center"/>
              <w:rPr>
                <w:rFonts w:hint="eastAsia" w:ascii="宋体" w:hAnsi="宋体" w:eastAsia="宋体" w:cs="宋体"/>
                <w:b/>
                <w:bCs/>
                <w:color w:val="auto"/>
                <w:szCs w:val="21"/>
                <w:highlight w:val="none"/>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CA10B43">
            <w:pPr>
              <w:adjustRightInd w:val="0"/>
              <w:snapToGrid w:val="0"/>
              <w:spacing w:line="360" w:lineRule="auto"/>
              <w:jc w:val="center"/>
              <w:rPr>
                <w:rFonts w:hint="eastAsia" w:ascii="宋体" w:hAnsi="宋体" w:eastAsia="宋体" w:cs="宋体"/>
                <w:b/>
                <w:bCs/>
                <w:color w:val="auto"/>
                <w:szCs w:val="21"/>
                <w:highlight w:val="none"/>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0939F025">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台</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EBE7703">
            <w:pPr>
              <w:jc w:val="center"/>
              <w:textAlignment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p>
        </w:tc>
        <w:tc>
          <w:tcPr>
            <w:tcW w:w="540" w:type="pct"/>
            <w:tcBorders>
              <w:top w:val="single" w:color="auto" w:sz="4" w:space="0"/>
              <w:left w:val="single" w:color="auto" w:sz="4" w:space="0"/>
              <w:bottom w:val="single" w:color="auto" w:sz="4" w:space="0"/>
              <w:right w:val="single" w:color="auto" w:sz="4" w:space="0"/>
            </w:tcBorders>
            <w:vAlign w:val="center"/>
          </w:tcPr>
          <w:p w14:paraId="3BE87114">
            <w:pPr>
              <w:adjustRightInd w:val="0"/>
              <w:snapToGrid w:val="0"/>
              <w:spacing w:line="360" w:lineRule="auto"/>
              <w:jc w:val="center"/>
              <w:rPr>
                <w:rFonts w:hint="eastAsia" w:ascii="宋体" w:hAnsi="宋体" w:eastAsia="宋体" w:cs="宋体"/>
                <w:b/>
                <w:bCs/>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5F46CE93">
            <w:pPr>
              <w:adjustRightInd w:val="0"/>
              <w:snapToGrid w:val="0"/>
              <w:spacing w:line="360" w:lineRule="auto"/>
              <w:jc w:val="center"/>
              <w:rPr>
                <w:rFonts w:hint="eastAsia" w:ascii="宋体" w:hAnsi="宋体" w:eastAsia="宋体" w:cs="宋体"/>
                <w:b/>
                <w:bCs/>
                <w:color w:val="auto"/>
                <w:szCs w:val="21"/>
                <w:highlight w:val="none"/>
              </w:rPr>
            </w:pPr>
          </w:p>
        </w:tc>
      </w:tr>
      <w:tr w14:paraId="2762D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F284567">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小计（小计金额应等于开标一览表中“</w:t>
            </w:r>
            <w:r>
              <w:rPr>
                <w:rFonts w:hint="eastAsia" w:ascii="宋体" w:hAnsi="宋体" w:eastAsia="宋体" w:cs="Times New Roman"/>
                <w:b/>
                <w:bCs/>
                <w:color w:val="auto"/>
                <w:spacing w:val="-6"/>
                <w:szCs w:val="21"/>
                <w:highlight w:val="none"/>
              </w:rPr>
              <w:t>遥测式生理信号采集分析系统</w:t>
            </w:r>
            <w:r>
              <w:rPr>
                <w:rFonts w:hint="eastAsia" w:ascii="宋体" w:hAnsi="宋体" w:eastAsia="宋体" w:cs="宋体"/>
                <w:b/>
                <w:bCs/>
                <w:color w:val="auto"/>
                <w:szCs w:val="21"/>
                <w:highlight w:val="none"/>
              </w:rPr>
              <w:t>”的金额）</w:t>
            </w:r>
          </w:p>
        </w:tc>
        <w:tc>
          <w:tcPr>
            <w:tcW w:w="597" w:type="pct"/>
            <w:tcBorders>
              <w:top w:val="single" w:color="auto" w:sz="4" w:space="0"/>
              <w:left w:val="single" w:color="auto" w:sz="4" w:space="0"/>
              <w:bottom w:val="single" w:color="auto" w:sz="4" w:space="0"/>
              <w:right w:val="single" w:color="auto" w:sz="4" w:space="0"/>
            </w:tcBorders>
            <w:vAlign w:val="center"/>
          </w:tcPr>
          <w:p w14:paraId="76FB7275">
            <w:pPr>
              <w:adjustRightInd w:val="0"/>
              <w:snapToGrid w:val="0"/>
              <w:spacing w:line="360" w:lineRule="auto"/>
              <w:jc w:val="center"/>
              <w:rPr>
                <w:rFonts w:hint="eastAsia" w:ascii="宋体" w:hAnsi="宋体" w:eastAsia="宋体" w:cs="宋体"/>
                <w:b/>
                <w:bCs/>
                <w:color w:val="auto"/>
                <w:szCs w:val="21"/>
                <w:highlight w:val="none"/>
              </w:rPr>
            </w:pPr>
          </w:p>
        </w:tc>
      </w:tr>
    </w:tbl>
    <w:p w14:paraId="16EC7F33">
      <w:pPr>
        <w:adjustRightInd w:val="0"/>
        <w:snapToGrid w:val="0"/>
        <w:spacing w:line="288" w:lineRule="auto"/>
        <w:rPr>
          <w:rFonts w:hint="eastAsia" w:ascii="宋体" w:hAnsi="宋体" w:eastAsia="宋体" w:cs="Times New Roman"/>
          <w:b/>
          <w:bCs/>
          <w:color w:val="auto"/>
          <w:spacing w:val="-6"/>
          <w:szCs w:val="21"/>
          <w:highlight w:val="none"/>
        </w:rPr>
      </w:pPr>
    </w:p>
    <w:p w14:paraId="09D8740A">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FE85310">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2FEDDD25">
      <w:pPr>
        <w:adjustRightInd w:val="0"/>
        <w:snapToGrid w:val="0"/>
        <w:spacing w:line="288" w:lineRule="auto"/>
        <w:rPr>
          <w:rFonts w:hint="eastAsia" w:ascii="宋体" w:hAnsi="宋体" w:eastAsia="宋体" w:cs="Times New Roman"/>
          <w:bCs/>
          <w:color w:val="auto"/>
          <w:spacing w:val="-6"/>
          <w:szCs w:val="21"/>
          <w:highlight w:val="none"/>
          <w:lang w:eastAsia="zh-CN"/>
        </w:rPr>
      </w:pPr>
    </w:p>
    <w:p w14:paraId="03D3DEF5">
      <w:pPr>
        <w:adjustRightInd w:val="0"/>
        <w:snapToGrid w:val="0"/>
        <w:spacing w:line="288" w:lineRule="auto"/>
        <w:rPr>
          <w:rFonts w:hint="eastAsia" w:ascii="宋体" w:hAnsi="宋体" w:eastAsia="宋体" w:cs="Times New Roman"/>
          <w:bCs/>
          <w:color w:val="auto"/>
          <w:spacing w:val="-6"/>
          <w:szCs w:val="21"/>
          <w:highlight w:val="none"/>
          <w:lang w:eastAsia="zh-CN"/>
        </w:rPr>
      </w:pPr>
    </w:p>
    <w:p w14:paraId="7E516B5A">
      <w:pPr>
        <w:adjustRightInd w:val="0"/>
        <w:snapToGrid w:val="0"/>
        <w:spacing w:line="288" w:lineRule="auto"/>
        <w:jc w:val="center"/>
        <w:outlineLvl w:val="9"/>
        <w:rPr>
          <w:rFonts w:ascii="宋体" w:hAnsi="宋体" w:eastAsia="宋体" w:cs="宋体"/>
          <w:b/>
          <w:color w:val="auto"/>
          <w:spacing w:val="-6"/>
          <w:szCs w:val="21"/>
          <w:highlight w:val="none"/>
        </w:rPr>
      </w:pPr>
      <w:r>
        <w:rPr>
          <w:rFonts w:hint="eastAsia" w:ascii="宋体" w:hAnsi="宋体" w:eastAsia="宋体" w:cs="Times New Roman"/>
          <w:bCs/>
          <w:color w:val="auto"/>
          <w:spacing w:val="-6"/>
          <w:szCs w:val="21"/>
          <w:highlight w:val="none"/>
        </w:rPr>
        <w:br w:type="page"/>
      </w:r>
    </w:p>
    <w:p w14:paraId="3833413A">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2</w:t>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中小企业声明函（货物）</w:t>
      </w:r>
      <w:r>
        <w:rPr>
          <w:rFonts w:hint="eastAsia" w:ascii="宋体" w:hAnsi="宋体" w:eastAsia="宋体" w:cs="宋体"/>
          <w:b/>
          <w:color w:val="auto"/>
          <w:spacing w:val="-6"/>
          <w:szCs w:val="21"/>
          <w:highlight w:val="none"/>
        </w:rPr>
        <w:t>（若属于中小企业）</w:t>
      </w:r>
    </w:p>
    <w:p w14:paraId="2D64B5A7">
      <w:pPr>
        <w:adjustRightInd w:val="0"/>
        <w:snapToGrid w:val="0"/>
        <w:spacing w:line="288" w:lineRule="auto"/>
        <w:ind w:firstLine="498" w:firstLineChars="236"/>
        <w:rPr>
          <w:rFonts w:ascii="宋体" w:hAnsi="宋体" w:eastAsia="宋体" w:cs="Times New Roman"/>
          <w:b/>
          <w:color w:val="auto"/>
          <w:szCs w:val="21"/>
          <w:highlight w:val="none"/>
        </w:rPr>
      </w:pPr>
    </w:p>
    <w:p w14:paraId="26858639">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2020</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46 号）的规定，本公司（联合体）参加</w:t>
      </w:r>
      <w:r>
        <w:rPr>
          <w:rFonts w:hint="eastAsia" w:ascii="宋体" w:hAnsi="宋体" w:eastAsia="宋体" w:cs="Times New Roman"/>
          <w:color w:val="auto"/>
          <w:szCs w:val="21"/>
          <w:highlight w:val="none"/>
          <w:u w:val="single"/>
        </w:rPr>
        <w:t>浙江工商大学</w:t>
      </w:r>
      <w:r>
        <w:rPr>
          <w:rFonts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浙江工商大学未来营养健康与共同富裕计算设备更新-共同富裕计算设备（第一批）</w:t>
      </w:r>
      <w:r>
        <w:rPr>
          <w:rFonts w:ascii="宋体" w:hAnsi="宋体" w:eastAsia="宋体" w:cs="Times New Roman"/>
          <w:color w:val="auto"/>
          <w:szCs w:val="21"/>
          <w:highlight w:val="none"/>
        </w:rPr>
        <w:t>采购活动，提供的货物全部由符合政策要求的中小企业制造。相关企业（含联合体中的中小企业、签订分包意向协议的中小企业）的具体情况如下：</w:t>
      </w:r>
    </w:p>
    <w:p w14:paraId="6B7AF1CD">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i/>
          <w:color w:val="auto"/>
          <w:szCs w:val="21"/>
          <w:highlight w:val="none"/>
          <w:u w:val="single"/>
        </w:rPr>
        <w:t xml:space="preserve">1. </w:t>
      </w:r>
      <w:r>
        <w:rPr>
          <w:rFonts w:hint="eastAsia" w:ascii="宋体" w:hAnsi="宋体" w:eastAsia="宋体" w:cs="Times New Roman"/>
          <w:i/>
          <w:color w:val="auto"/>
          <w:szCs w:val="21"/>
          <w:highlight w:val="none"/>
          <w:u w:val="single"/>
        </w:rPr>
        <w:t>超模态行为洞察平台</w:t>
      </w:r>
      <w:r>
        <w:rPr>
          <w:rFonts w:ascii="宋体" w:hAnsi="宋体" w:eastAsia="宋体" w:cs="Times New Roman"/>
          <w:i/>
          <w:color w:val="auto"/>
          <w:szCs w:val="21"/>
          <w:highlight w:val="none"/>
          <w:u w:val="single"/>
        </w:rPr>
        <w:t>（标的名称）</w:t>
      </w:r>
      <w:r>
        <w:rPr>
          <w:rFonts w:ascii="宋体" w:hAnsi="宋体" w:eastAsia="宋体" w:cs="Times New Roman"/>
          <w:i/>
          <w:color w:val="auto"/>
          <w:szCs w:val="21"/>
          <w:highlight w:val="none"/>
        </w:rPr>
        <w:t xml:space="preserve"> </w:t>
      </w:r>
      <w:r>
        <w:rPr>
          <w:rFonts w:ascii="宋体" w:hAnsi="宋体" w:eastAsia="宋体" w:cs="Times New Roman"/>
          <w:color w:val="auto"/>
          <w:szCs w:val="21"/>
          <w:highlight w:val="none"/>
        </w:rPr>
        <w:t>，属于</w:t>
      </w:r>
      <w:r>
        <w:rPr>
          <w:rFonts w:hint="eastAsia" w:ascii="宋体" w:hAnsi="宋体" w:eastAsia="宋体" w:cs="Times New Roman"/>
          <w:color w:val="auto"/>
          <w:szCs w:val="21"/>
          <w:highlight w:val="none"/>
          <w:u w:val="single"/>
        </w:rPr>
        <w:t>软件和信息技术服务业</w:t>
      </w:r>
      <w:r>
        <w:rPr>
          <w:rFonts w:ascii="宋体" w:hAnsi="宋体" w:eastAsia="宋体" w:cs="Times New Roman"/>
          <w:i/>
          <w:color w:val="auto"/>
          <w:szCs w:val="21"/>
          <w:highlight w:val="none"/>
          <w:u w:val="single"/>
        </w:rPr>
        <w:t>（采购文件中明确的所属行业）行业</w:t>
      </w:r>
      <w:r>
        <w:rPr>
          <w:rFonts w:ascii="宋体" w:hAnsi="宋体" w:eastAsia="宋体" w:cs="Times New Roman"/>
          <w:color w:val="auto"/>
          <w:szCs w:val="21"/>
          <w:highlight w:val="none"/>
        </w:rPr>
        <w:t>；制造商为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人，营业收入为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万元，资产总额为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669B2F0B">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i/>
          <w:color w:val="auto"/>
          <w:szCs w:val="21"/>
          <w:highlight w:val="none"/>
          <w:u w:val="single"/>
        </w:rPr>
        <w:t xml:space="preserve">2. </w:t>
      </w:r>
      <w:r>
        <w:rPr>
          <w:rFonts w:hint="eastAsia" w:ascii="宋体" w:hAnsi="宋体" w:eastAsia="宋体" w:cs="Times New Roman"/>
          <w:i/>
          <w:color w:val="auto"/>
          <w:szCs w:val="21"/>
          <w:highlight w:val="none"/>
          <w:u w:val="single"/>
        </w:rPr>
        <w:t>便携式行为观察记录分析系统</w:t>
      </w:r>
      <w:r>
        <w:rPr>
          <w:rFonts w:ascii="宋体" w:hAnsi="宋体" w:eastAsia="宋体" w:cs="Times New Roman"/>
          <w:i/>
          <w:color w:val="auto"/>
          <w:szCs w:val="21"/>
          <w:highlight w:val="none"/>
          <w:u w:val="single"/>
        </w:rPr>
        <w:t>（标的名称）</w:t>
      </w:r>
      <w:r>
        <w:rPr>
          <w:rFonts w:ascii="宋体" w:hAnsi="宋体" w:eastAsia="宋体" w:cs="Times New Roman"/>
          <w:i/>
          <w:color w:val="auto"/>
          <w:szCs w:val="21"/>
          <w:highlight w:val="none"/>
        </w:rPr>
        <w:t xml:space="preserve"> </w:t>
      </w:r>
      <w:r>
        <w:rPr>
          <w:rFonts w:ascii="宋体" w:hAnsi="宋体" w:eastAsia="宋体" w:cs="Times New Roman"/>
          <w:color w:val="auto"/>
          <w:szCs w:val="21"/>
          <w:highlight w:val="none"/>
        </w:rPr>
        <w:t>，属于</w:t>
      </w:r>
      <w:r>
        <w:rPr>
          <w:rFonts w:hint="eastAsia" w:ascii="宋体" w:hAnsi="宋体" w:eastAsia="宋体" w:cs="Times New Roman"/>
          <w:color w:val="auto"/>
          <w:szCs w:val="21"/>
          <w:highlight w:val="none"/>
          <w:u w:val="single"/>
        </w:rPr>
        <w:t>软件和信息技术服务业</w:t>
      </w:r>
      <w:r>
        <w:rPr>
          <w:rFonts w:ascii="宋体" w:hAnsi="宋体" w:eastAsia="宋体" w:cs="Times New Roman"/>
          <w:i/>
          <w:color w:val="auto"/>
          <w:szCs w:val="21"/>
          <w:highlight w:val="none"/>
        </w:rPr>
        <w:t>（</w:t>
      </w:r>
      <w:r>
        <w:rPr>
          <w:rFonts w:ascii="宋体" w:hAnsi="宋体" w:eastAsia="宋体" w:cs="Times New Roman"/>
          <w:i/>
          <w:color w:val="auto"/>
          <w:szCs w:val="21"/>
          <w:highlight w:val="none"/>
          <w:u w:val="single"/>
        </w:rPr>
        <w:t>采购文件中明确的所属行业）行业</w:t>
      </w:r>
      <w:r>
        <w:rPr>
          <w:rFonts w:ascii="宋体" w:hAnsi="宋体" w:eastAsia="宋体" w:cs="Times New Roman"/>
          <w:color w:val="auto"/>
          <w:szCs w:val="21"/>
          <w:highlight w:val="none"/>
        </w:rPr>
        <w:t>；制造商为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人，营业收入为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万元，资产总额为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hint="eastAsia" w:ascii="宋体" w:hAnsi="宋体" w:eastAsia="宋体" w:cs="Times New Roman"/>
          <w:color w:val="auto"/>
          <w:szCs w:val="21"/>
          <w:highlight w:val="none"/>
        </w:rPr>
        <w:t>；</w:t>
      </w:r>
    </w:p>
    <w:p w14:paraId="299A47E0">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hint="eastAsia" w:ascii="宋体" w:hAnsi="宋体" w:eastAsia="宋体" w:cs="Times New Roman"/>
          <w:i/>
          <w:color w:val="auto"/>
          <w:szCs w:val="21"/>
          <w:highlight w:val="none"/>
          <w:u w:val="single"/>
          <w:lang w:val="en-US" w:eastAsia="zh-CN"/>
        </w:rPr>
        <w:t>3</w:t>
      </w:r>
      <w:r>
        <w:rPr>
          <w:rFonts w:ascii="宋体" w:hAnsi="宋体" w:eastAsia="宋体" w:cs="Times New Roman"/>
          <w:i/>
          <w:color w:val="auto"/>
          <w:szCs w:val="21"/>
          <w:highlight w:val="none"/>
          <w:u w:val="single"/>
        </w:rPr>
        <w:t xml:space="preserve">. </w:t>
      </w:r>
      <w:r>
        <w:rPr>
          <w:rFonts w:hint="eastAsia" w:ascii="宋体" w:hAnsi="宋体" w:eastAsia="宋体" w:cs="Times New Roman"/>
          <w:i/>
          <w:color w:val="auto"/>
          <w:szCs w:val="21"/>
          <w:highlight w:val="none"/>
          <w:u w:val="single"/>
        </w:rPr>
        <w:t>视觉动态追踪系统</w:t>
      </w:r>
      <w:r>
        <w:rPr>
          <w:rFonts w:ascii="宋体" w:hAnsi="宋体" w:eastAsia="宋体" w:cs="Times New Roman"/>
          <w:i/>
          <w:color w:val="auto"/>
          <w:szCs w:val="21"/>
          <w:highlight w:val="none"/>
          <w:u w:val="single"/>
        </w:rPr>
        <w:t>（标的名称）</w:t>
      </w:r>
      <w:r>
        <w:rPr>
          <w:rFonts w:ascii="宋体" w:hAnsi="宋体" w:eastAsia="宋体" w:cs="Times New Roman"/>
          <w:i/>
          <w:color w:val="auto"/>
          <w:szCs w:val="21"/>
          <w:highlight w:val="none"/>
        </w:rPr>
        <w:t xml:space="preserve"> </w:t>
      </w:r>
      <w:r>
        <w:rPr>
          <w:rFonts w:ascii="宋体" w:hAnsi="宋体" w:eastAsia="宋体" w:cs="Times New Roman"/>
          <w:color w:val="auto"/>
          <w:szCs w:val="21"/>
          <w:highlight w:val="none"/>
        </w:rPr>
        <w:t>，属于</w:t>
      </w:r>
      <w:r>
        <w:rPr>
          <w:rFonts w:hint="eastAsia" w:ascii="宋体" w:hAnsi="宋体" w:eastAsia="宋体" w:cs="Times New Roman"/>
          <w:color w:val="auto"/>
          <w:szCs w:val="21"/>
          <w:highlight w:val="none"/>
          <w:u w:val="single"/>
        </w:rPr>
        <w:t>软件和信息技术服务业</w:t>
      </w:r>
      <w:r>
        <w:rPr>
          <w:rFonts w:ascii="宋体" w:hAnsi="宋体" w:eastAsia="宋体" w:cs="Times New Roman"/>
          <w:i/>
          <w:color w:val="auto"/>
          <w:szCs w:val="21"/>
          <w:highlight w:val="none"/>
        </w:rPr>
        <w:t>（</w:t>
      </w:r>
      <w:r>
        <w:rPr>
          <w:rFonts w:ascii="宋体" w:hAnsi="宋体" w:eastAsia="宋体" w:cs="Times New Roman"/>
          <w:i/>
          <w:color w:val="auto"/>
          <w:szCs w:val="21"/>
          <w:highlight w:val="none"/>
          <w:u w:val="single"/>
        </w:rPr>
        <w:t>采购文件中明确的所属行业）行业</w:t>
      </w:r>
      <w:r>
        <w:rPr>
          <w:rFonts w:ascii="宋体" w:hAnsi="宋体" w:eastAsia="宋体" w:cs="Times New Roman"/>
          <w:color w:val="auto"/>
          <w:szCs w:val="21"/>
          <w:highlight w:val="none"/>
        </w:rPr>
        <w:t>；制造商为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人，营业收入为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万元，资产总额为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hint="eastAsia" w:ascii="宋体" w:hAnsi="宋体" w:eastAsia="宋体" w:cs="Times New Roman"/>
          <w:color w:val="auto"/>
          <w:szCs w:val="21"/>
          <w:highlight w:val="none"/>
        </w:rPr>
        <w:t>；</w:t>
      </w:r>
    </w:p>
    <w:p w14:paraId="07D7C5E4">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hint="eastAsia" w:ascii="宋体" w:hAnsi="宋体" w:eastAsia="宋体" w:cs="Times New Roman"/>
          <w:i/>
          <w:color w:val="auto"/>
          <w:szCs w:val="21"/>
          <w:highlight w:val="none"/>
          <w:u w:val="single"/>
          <w:lang w:val="en-US" w:eastAsia="zh-CN"/>
        </w:rPr>
        <w:t>4</w:t>
      </w:r>
      <w:r>
        <w:rPr>
          <w:rFonts w:ascii="宋体" w:hAnsi="宋体" w:eastAsia="宋体" w:cs="Times New Roman"/>
          <w:i/>
          <w:color w:val="auto"/>
          <w:szCs w:val="21"/>
          <w:highlight w:val="none"/>
          <w:u w:val="single"/>
        </w:rPr>
        <w:t xml:space="preserve">. </w:t>
      </w:r>
      <w:r>
        <w:rPr>
          <w:rFonts w:hint="eastAsia" w:ascii="宋体" w:hAnsi="宋体" w:eastAsia="宋体" w:cs="Times New Roman"/>
          <w:i/>
          <w:color w:val="auto"/>
          <w:szCs w:val="21"/>
          <w:highlight w:val="none"/>
          <w:u w:val="single"/>
        </w:rPr>
        <w:t>遥测式生理信号采集分析系统</w:t>
      </w:r>
      <w:r>
        <w:rPr>
          <w:rFonts w:ascii="宋体" w:hAnsi="宋体" w:eastAsia="宋体" w:cs="Times New Roman"/>
          <w:i/>
          <w:color w:val="auto"/>
          <w:szCs w:val="21"/>
          <w:highlight w:val="none"/>
          <w:u w:val="single"/>
        </w:rPr>
        <w:t>（标的名称）</w:t>
      </w:r>
      <w:r>
        <w:rPr>
          <w:rFonts w:ascii="宋体" w:hAnsi="宋体" w:eastAsia="宋体" w:cs="Times New Roman"/>
          <w:i/>
          <w:color w:val="auto"/>
          <w:szCs w:val="21"/>
          <w:highlight w:val="none"/>
        </w:rPr>
        <w:t xml:space="preserve"> </w:t>
      </w:r>
      <w:r>
        <w:rPr>
          <w:rFonts w:ascii="宋体" w:hAnsi="宋体" w:eastAsia="宋体" w:cs="Times New Roman"/>
          <w:color w:val="auto"/>
          <w:szCs w:val="21"/>
          <w:highlight w:val="none"/>
        </w:rPr>
        <w:t>，属于</w:t>
      </w:r>
      <w:r>
        <w:rPr>
          <w:rFonts w:hint="eastAsia" w:ascii="宋体" w:hAnsi="宋体" w:eastAsia="宋体" w:cs="Times New Roman"/>
          <w:color w:val="auto"/>
          <w:szCs w:val="21"/>
          <w:highlight w:val="none"/>
          <w:u w:val="single"/>
        </w:rPr>
        <w:t>软件和信息技术服务业</w:t>
      </w:r>
      <w:r>
        <w:rPr>
          <w:rFonts w:ascii="宋体" w:hAnsi="宋体" w:eastAsia="宋体" w:cs="Times New Roman"/>
          <w:i/>
          <w:color w:val="auto"/>
          <w:szCs w:val="21"/>
          <w:highlight w:val="none"/>
        </w:rPr>
        <w:t>（</w:t>
      </w:r>
      <w:r>
        <w:rPr>
          <w:rFonts w:ascii="宋体" w:hAnsi="宋体" w:eastAsia="宋体" w:cs="Times New Roman"/>
          <w:i/>
          <w:color w:val="auto"/>
          <w:szCs w:val="21"/>
          <w:highlight w:val="none"/>
          <w:u w:val="single"/>
        </w:rPr>
        <w:t>采购文件中明确的所属行业）行业</w:t>
      </w:r>
      <w:r>
        <w:rPr>
          <w:rFonts w:ascii="宋体" w:hAnsi="宋体" w:eastAsia="宋体" w:cs="Times New Roman"/>
          <w:color w:val="auto"/>
          <w:szCs w:val="21"/>
          <w:highlight w:val="none"/>
        </w:rPr>
        <w:t>；制造商为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人，营业收入为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万元，资产总额为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hint="eastAsia" w:ascii="宋体" w:hAnsi="宋体" w:eastAsia="宋体" w:cs="Times New Roman"/>
          <w:color w:val="auto"/>
          <w:szCs w:val="21"/>
          <w:highlight w:val="none"/>
        </w:rPr>
        <w:t>；</w:t>
      </w:r>
    </w:p>
    <w:p w14:paraId="7383A9DF">
      <w:pPr>
        <w:adjustRightInd w:val="0"/>
        <w:snapToGrid w:val="0"/>
        <w:spacing w:line="288" w:lineRule="auto"/>
        <w:ind w:firstLine="495" w:firstLineChars="236"/>
        <w:rPr>
          <w:rFonts w:ascii="宋体" w:hAnsi="宋体" w:eastAsia="宋体" w:cs="Times New Roman"/>
          <w:color w:val="auto"/>
          <w:szCs w:val="21"/>
          <w:highlight w:val="none"/>
        </w:rPr>
      </w:pPr>
    </w:p>
    <w:p w14:paraId="6A68B6A6">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w:t>
      </w:r>
    </w:p>
    <w:p w14:paraId="4E33EF99">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w:t>
      </w:r>
    </w:p>
    <w:p w14:paraId="397B8CA3">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本企业对上述声明内容的真实性负责。如有虚假，将依法承担相应责任。</w:t>
      </w:r>
    </w:p>
    <w:p w14:paraId="53CF0AB4">
      <w:pPr>
        <w:adjustRightInd w:val="0"/>
        <w:snapToGrid w:val="0"/>
        <w:spacing w:line="288" w:lineRule="auto"/>
        <w:ind w:firstLine="495" w:firstLineChars="236"/>
        <w:rPr>
          <w:rFonts w:hint="eastAsia" w:ascii="宋体" w:hAnsi="宋体" w:eastAsia="宋体" w:cs="Times New Roman"/>
          <w:color w:val="auto"/>
          <w:szCs w:val="21"/>
          <w:highlight w:val="none"/>
        </w:rPr>
      </w:pPr>
    </w:p>
    <w:p w14:paraId="48DA6BCA">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企业名称（盖章）：</w:t>
      </w:r>
    </w:p>
    <w:p w14:paraId="7E65FA66">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日期：</w:t>
      </w:r>
    </w:p>
    <w:p w14:paraId="5B020DB8">
      <w:pPr>
        <w:adjustRightInd w:val="0"/>
        <w:snapToGrid w:val="0"/>
        <w:spacing w:line="288" w:lineRule="auto"/>
        <w:ind w:firstLine="495" w:firstLineChars="236"/>
        <w:rPr>
          <w:rFonts w:ascii="宋体" w:hAnsi="宋体" w:eastAsia="宋体" w:cs="Times New Roman"/>
          <w:color w:val="auto"/>
          <w:szCs w:val="21"/>
          <w:highlight w:val="none"/>
        </w:rPr>
      </w:pPr>
    </w:p>
    <w:p w14:paraId="000631ED">
      <w:pPr>
        <w:adjustRightInd w:val="0"/>
        <w:snapToGrid w:val="0"/>
        <w:spacing w:line="288" w:lineRule="auto"/>
        <w:ind w:firstLine="495" w:firstLineChars="236"/>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0FF53381">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1.标的名称，按照【招标文件】中明确的标的填写；</w:t>
      </w:r>
    </w:p>
    <w:p w14:paraId="2D715C97">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2.所属行业，按照【招标文件】中明确的标的“所属行业”填写；</w:t>
      </w:r>
    </w:p>
    <w:p w14:paraId="0CA62DDE">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制造商</w:t>
      </w:r>
      <w:r>
        <w:rPr>
          <w:rFonts w:hint="eastAsia" w:ascii="宋体" w:hAnsi="宋体" w:eastAsia="宋体" w:cs="宋体"/>
          <w:i w:val="0"/>
          <w:iCs w:val="0"/>
          <w:color w:val="auto"/>
          <w:sz w:val="21"/>
          <w:szCs w:val="21"/>
          <w:highlight w:val="none"/>
          <w:lang w:eastAsia="zh-CN"/>
        </w:rPr>
        <w:t>，货物由中小企业制造，即</w:t>
      </w:r>
      <w:r>
        <w:rPr>
          <w:rFonts w:hint="eastAsia" w:ascii="宋体" w:hAnsi="宋体" w:eastAsia="宋体" w:cs="宋体"/>
          <w:i w:val="0"/>
          <w:iCs w:val="0"/>
          <w:color w:val="auto"/>
          <w:sz w:val="21"/>
          <w:szCs w:val="21"/>
          <w:highlight w:val="none"/>
          <w:lang w:val="en-US" w:eastAsia="zh-CN"/>
        </w:rPr>
        <w:t>货物由中小企业生产且使用该中小企业商号或者注册商标；</w:t>
      </w:r>
    </w:p>
    <w:p w14:paraId="66680441">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.从业人员、营业收入、资产总额填报上一年度数据，无上一年度数据的新成立企业可不填报。</w:t>
      </w:r>
    </w:p>
    <w:p w14:paraId="3231D2C9">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▲5.企业类型（包括新成立企业），按照《中小企业划型标准规定》（工信部联企业〔2011〕300号）规定和【招标文件】中明确的标的“所属行业”，选择“中型企业、小型企业、微型企业”其中之一；</w:t>
      </w:r>
    </w:p>
    <w:p w14:paraId="53ACE296">
      <w:pPr>
        <w:widowControl/>
        <w:adjustRightInd w:val="0"/>
        <w:snapToGrid w:val="0"/>
        <w:spacing w:line="288" w:lineRule="auto"/>
        <w:ind w:firstLine="495" w:firstLineChars="236"/>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rPr>
        <w:t>招标文件中明确的标的是能够独立发挥功能的产品，配件、辅料不作为标的，不需要在《中小企业声明函》里填列。</w:t>
      </w:r>
    </w:p>
    <w:p w14:paraId="552B83F9">
      <w:pPr>
        <w:widowControl/>
        <w:adjustRightInd w:val="0"/>
        <w:snapToGrid w:val="0"/>
        <w:spacing w:line="288" w:lineRule="auto"/>
        <w:ind w:firstLine="495" w:firstLineChars="236"/>
        <w:jc w:val="left"/>
        <w:rPr>
          <w:rFonts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6FBFF8C3">
      <w:pPr>
        <w:adjustRightInd w:val="0"/>
        <w:snapToGrid w:val="0"/>
        <w:spacing w:line="288" w:lineRule="auto"/>
        <w:jc w:val="center"/>
        <w:outlineLvl w:val="2"/>
        <w:rPr>
          <w:rFonts w:ascii="宋体" w:hAnsi="宋体" w:eastAsia="宋体" w:cs="宋体"/>
          <w:color w:val="auto"/>
          <w:kern w:val="0"/>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w:t>
      </w:r>
      <w:r>
        <w:rPr>
          <w:rFonts w:hint="eastAsia" w:ascii="宋体" w:hAnsi="宋体" w:eastAsia="宋体" w:cs="宋体"/>
          <w:b/>
          <w:color w:val="auto"/>
          <w:spacing w:val="-6"/>
          <w:szCs w:val="21"/>
          <w:highlight w:val="none"/>
        </w:rPr>
        <w:t>）属于监狱企业的证明文件（若属于监狱企业）</w:t>
      </w:r>
    </w:p>
    <w:p w14:paraId="10EDC8D6">
      <w:pPr>
        <w:adjustRightInd w:val="0"/>
        <w:snapToGrid w:val="0"/>
        <w:spacing w:line="288" w:lineRule="auto"/>
        <w:rPr>
          <w:rFonts w:ascii="宋体" w:hAnsi="宋体" w:eastAsia="宋体" w:cs="宋体"/>
          <w:color w:val="auto"/>
          <w:kern w:val="0"/>
          <w:szCs w:val="21"/>
          <w:highlight w:val="none"/>
        </w:rPr>
      </w:pPr>
    </w:p>
    <w:p w14:paraId="38594BF3">
      <w:pPr>
        <w:adjustRightInd w:val="0"/>
        <w:snapToGrid w:val="0"/>
        <w:spacing w:line="288" w:lineRule="auto"/>
        <w:ind w:firstLine="373" w:firstLineChars="177"/>
        <w:rPr>
          <w:rFonts w:ascii="宋体" w:hAnsi="宋体" w:eastAsia="宋体"/>
          <w:b/>
          <w:bCs/>
          <w:color w:val="auto"/>
          <w:szCs w:val="21"/>
          <w:highlight w:val="none"/>
        </w:rPr>
      </w:pPr>
      <w:r>
        <w:rPr>
          <w:rFonts w:hint="eastAsia" w:ascii="宋体" w:hAnsi="宋体" w:eastAsia="宋体" w:cs="宋体"/>
          <w:b/>
          <w:bCs/>
          <w:color w:val="auto"/>
          <w:kern w:val="0"/>
          <w:szCs w:val="21"/>
          <w:highlight w:val="none"/>
        </w:rPr>
        <w:t>监狱企业参加政府采购活动时，应当提供由省级以上监狱管理局、戒毒管理局（含新疆生产建设兵团）出具的属于监狱企业的证明文件。</w:t>
      </w:r>
    </w:p>
    <w:p w14:paraId="791F6900">
      <w:pPr>
        <w:adjustRightInd w:val="0"/>
        <w:snapToGrid w:val="0"/>
        <w:spacing w:line="288" w:lineRule="auto"/>
        <w:rPr>
          <w:rFonts w:ascii="宋体" w:hAnsi="宋体" w:eastAsia="宋体"/>
          <w:color w:val="auto"/>
          <w:szCs w:val="21"/>
          <w:highlight w:val="none"/>
        </w:rPr>
      </w:pPr>
    </w:p>
    <w:p w14:paraId="3E17BE6A">
      <w:pPr>
        <w:adjustRightInd w:val="0"/>
        <w:snapToGrid w:val="0"/>
        <w:spacing w:line="288" w:lineRule="auto"/>
        <w:rPr>
          <w:rFonts w:ascii="宋体" w:hAnsi="宋体" w:eastAsia="宋体"/>
          <w:b/>
          <w:bCs/>
          <w:color w:val="auto"/>
          <w:szCs w:val="21"/>
          <w:highlight w:val="none"/>
        </w:rPr>
      </w:pPr>
      <w:r>
        <w:rPr>
          <w:rFonts w:hint="eastAsia" w:ascii="宋体" w:hAnsi="宋体" w:eastAsia="宋体"/>
          <w:b/>
          <w:bCs/>
          <w:color w:val="auto"/>
          <w:szCs w:val="21"/>
          <w:highlight w:val="none"/>
        </w:rPr>
        <w:t>说明：</w:t>
      </w:r>
    </w:p>
    <w:p w14:paraId="0D7456D1">
      <w:pPr>
        <w:widowControl/>
        <w:shd w:val="clear" w:color="auto" w:fill="FFFFFF"/>
        <w:adjustRightInd w:val="0"/>
        <w:snapToGrid w:val="0"/>
        <w:spacing w:line="288"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E000E89">
      <w:pPr>
        <w:widowControl/>
        <w:shd w:val="clear" w:color="auto" w:fill="FFFFFF"/>
        <w:adjustRightInd w:val="0"/>
        <w:snapToGrid w:val="0"/>
        <w:spacing w:line="288"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二、在政府采购活动中，监狱企业视同小型、微型企业，享受预留份额、评审中价格扣除等政府采购促进中小企业发展的政府采购政策。</w:t>
      </w:r>
    </w:p>
    <w:p w14:paraId="0DF54376">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239C9DE9">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）残疾人福利性单位声明函（若属于残疾人福利性单位）</w:t>
      </w:r>
    </w:p>
    <w:p w14:paraId="564FDB8D">
      <w:pPr>
        <w:adjustRightInd w:val="0"/>
        <w:snapToGrid w:val="0"/>
        <w:spacing w:line="288" w:lineRule="auto"/>
        <w:rPr>
          <w:rFonts w:ascii="宋体" w:hAnsi="宋体" w:eastAsia="宋体" w:cs="Times New Roman"/>
          <w:b/>
          <w:color w:val="auto"/>
          <w:spacing w:val="6"/>
          <w:szCs w:val="21"/>
          <w:highlight w:val="none"/>
        </w:rPr>
      </w:pPr>
    </w:p>
    <w:p w14:paraId="5BB22209">
      <w:pPr>
        <w:adjustRightInd w:val="0"/>
        <w:snapToGrid w:val="0"/>
        <w:spacing w:line="288" w:lineRule="auto"/>
        <w:ind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Times New Roman"/>
          <w:color w:val="auto"/>
          <w:szCs w:val="21"/>
          <w:highlight w:val="none"/>
        </w:rPr>
        <w:t>〔2017〕 141</w:t>
      </w:r>
      <w:r>
        <w:rPr>
          <w:rFonts w:hint="eastAsia" w:ascii="宋体" w:hAnsi="宋体" w:eastAsia="宋体" w:cs="Times New Roman"/>
          <w:color w:val="auto"/>
          <w:spacing w:val="6"/>
          <w:szCs w:val="21"/>
          <w:highlight w:val="none"/>
        </w:rPr>
        <w:t>号）的规定，</w:t>
      </w:r>
      <w:r>
        <w:rPr>
          <w:rFonts w:hint="eastAsia" w:ascii="宋体" w:hAnsi="宋体" w:eastAsia="宋体" w:cs="Times New Roman"/>
          <w:b/>
          <w:bCs/>
          <w:color w:val="auto"/>
          <w:spacing w:val="6"/>
          <w:szCs w:val="21"/>
          <w:highlight w:val="none"/>
        </w:rPr>
        <w:t>本单位为符合条件的残疾人福利性单位</w:t>
      </w:r>
      <w:r>
        <w:rPr>
          <w:rFonts w:hint="eastAsia" w:ascii="宋体" w:hAnsi="宋体" w:eastAsia="宋体" w:cs="Times New Roman"/>
          <w:color w:val="auto"/>
          <w:spacing w:val="6"/>
          <w:szCs w:val="21"/>
          <w:highlight w:val="none"/>
        </w:rPr>
        <w:t>，且本单位参加______（采购人）单位的______（项目名称）项目采购活动提供</w:t>
      </w:r>
      <w:r>
        <w:rPr>
          <w:rFonts w:hint="eastAsia" w:ascii="宋体" w:hAnsi="宋体" w:eastAsia="宋体" w:cs="Times New Roman"/>
          <w:color w:val="auto"/>
          <w:spacing w:val="6"/>
          <w:szCs w:val="21"/>
          <w:highlight w:val="none"/>
        </w:rPr>
        <w:t>本单位制造的货物（由本单位承担工程/提供服务），或者提供其他残疾人福利性单位制造的货物（不包括使用非残疾人福利性单位注册商标的货物）。</w:t>
      </w:r>
    </w:p>
    <w:p w14:paraId="3E58E243">
      <w:pPr>
        <w:adjustRightInd w:val="0"/>
        <w:snapToGrid w:val="0"/>
        <w:spacing w:line="288" w:lineRule="auto"/>
        <w:ind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本单位对上述声明的真实性负责。如有虚假，将依法承担相应责任。</w:t>
      </w:r>
    </w:p>
    <w:p w14:paraId="24405DD5">
      <w:pPr>
        <w:tabs>
          <w:tab w:val="left" w:pos="4860"/>
        </w:tabs>
        <w:adjustRightInd w:val="0"/>
        <w:snapToGrid w:val="0"/>
        <w:spacing w:line="288" w:lineRule="auto"/>
        <w:ind w:right="1560"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单位名称（盖章）：</w:t>
      </w:r>
    </w:p>
    <w:p w14:paraId="270F7612">
      <w:pPr>
        <w:tabs>
          <w:tab w:val="left" w:pos="4860"/>
        </w:tabs>
        <w:adjustRightInd w:val="0"/>
        <w:snapToGrid w:val="0"/>
        <w:spacing w:line="288" w:lineRule="auto"/>
        <w:ind w:right="1560"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日  期：</w:t>
      </w:r>
    </w:p>
    <w:p w14:paraId="6A3EEAC7">
      <w:pPr>
        <w:adjustRightInd w:val="0"/>
        <w:snapToGrid w:val="0"/>
        <w:spacing w:line="288" w:lineRule="auto"/>
        <w:rPr>
          <w:rFonts w:ascii="宋体" w:hAnsi="宋体" w:eastAsia="宋体"/>
          <w:color w:val="auto"/>
          <w:szCs w:val="21"/>
          <w:highlight w:val="none"/>
        </w:rPr>
      </w:pPr>
    </w:p>
    <w:p w14:paraId="49399062">
      <w:pPr>
        <w:adjustRightInd w:val="0"/>
        <w:snapToGrid w:val="0"/>
        <w:spacing w:line="288" w:lineRule="auto"/>
        <w:rPr>
          <w:rFonts w:ascii="宋体" w:hAnsi="宋体" w:eastAsia="宋体"/>
          <w:b/>
          <w:bCs/>
          <w:color w:val="auto"/>
          <w:szCs w:val="21"/>
          <w:highlight w:val="none"/>
        </w:rPr>
      </w:pPr>
      <w:r>
        <w:rPr>
          <w:rFonts w:hint="eastAsia" w:ascii="宋体" w:hAnsi="宋体" w:eastAsia="宋体"/>
          <w:b/>
          <w:bCs/>
          <w:color w:val="auto"/>
          <w:szCs w:val="21"/>
          <w:highlight w:val="none"/>
        </w:rPr>
        <w:t>说明：</w:t>
      </w:r>
    </w:p>
    <w:p w14:paraId="1E7208FD">
      <w:pPr>
        <w:pStyle w:val="20"/>
        <w:shd w:val="clear" w:color="auto" w:fill="FFFFFF"/>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一、享受政府采购支持政策的残疾人福利性单位应当同时满足以下条件：</w:t>
      </w:r>
    </w:p>
    <w:p w14:paraId="05040796">
      <w:pPr>
        <w:pStyle w:val="20"/>
        <w:shd w:val="clear" w:color="auto" w:fill="FFFFFF"/>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（一）安置的残疾人占本单位在职职工人数的比例不低于25%（含25%），并且安置的残疾人人数不少于10人（含10人）；</w:t>
      </w:r>
    </w:p>
    <w:p w14:paraId="1C109093">
      <w:pPr>
        <w:pStyle w:val="20"/>
        <w:shd w:val="clear" w:color="auto" w:fill="FFFFFF"/>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（二）依法与安置的每位残疾人签订了一年以上（含一年）的劳动合同或服务协议；</w:t>
      </w:r>
    </w:p>
    <w:p w14:paraId="4B69E096">
      <w:pPr>
        <w:pStyle w:val="20"/>
        <w:shd w:val="clear" w:color="auto" w:fill="FFFFFF"/>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（三）为安置的每位残疾人按月足额缴纳了基本养老保险、基本医疗保险、失业保险、工伤保险和生育保险等社会保险费；</w:t>
      </w:r>
    </w:p>
    <w:p w14:paraId="1F723039">
      <w:pPr>
        <w:pStyle w:val="20"/>
        <w:shd w:val="clear" w:color="auto" w:fill="FFFFFF"/>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（四）通过银行等金融机构向安置的每位残疾人，按月支付了不低于单位所在区县适用的经省级人民政府批准的月最低工资标准的工资；</w:t>
      </w:r>
    </w:p>
    <w:p w14:paraId="50153EB3">
      <w:pPr>
        <w:pStyle w:val="20"/>
        <w:shd w:val="clear" w:color="auto" w:fill="FFFFFF"/>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0F427268">
      <w:pPr>
        <w:pStyle w:val="20"/>
        <w:shd w:val="clear" w:color="auto" w:fill="FFFFFF"/>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C130F8D">
      <w:pPr>
        <w:pStyle w:val="20"/>
        <w:shd w:val="clear" w:color="auto" w:fill="FFFFFF"/>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二、符合条件的残疾人福利性单位在参加政府采购活动时，应当提供</w:t>
      </w:r>
      <w:r>
        <w:rPr>
          <w:rFonts w:hint="eastAsia"/>
          <w:color w:val="auto"/>
          <w:sz w:val="21"/>
          <w:szCs w:val="21"/>
          <w:highlight w:val="none"/>
        </w:rPr>
        <w:t>财库</w:t>
      </w:r>
      <w:r>
        <w:rPr>
          <w:color w:val="auto"/>
          <w:sz w:val="21"/>
          <w:szCs w:val="21"/>
          <w:highlight w:val="none"/>
        </w:rPr>
        <w:t>[2017]141号</w:t>
      </w:r>
      <w:r>
        <w:rPr>
          <w:rFonts w:hint="eastAsia"/>
          <w:color w:val="auto"/>
          <w:sz w:val="21"/>
          <w:szCs w:val="21"/>
          <w:highlight w:val="none"/>
        </w:rPr>
        <w:t>文件</w:t>
      </w:r>
      <w:r>
        <w:rPr>
          <w:rFonts w:hint="eastAsia"/>
          <w:color w:val="auto"/>
          <w:sz w:val="21"/>
          <w:szCs w:val="21"/>
          <w:highlight w:val="none"/>
        </w:rPr>
        <w:t>规定的《残疾人福利性单位声明函》</w:t>
      </w:r>
      <w:r>
        <w:rPr>
          <w:rFonts w:hint="eastAsia"/>
          <w:color w:val="auto"/>
          <w:sz w:val="21"/>
          <w:szCs w:val="21"/>
          <w:highlight w:val="none"/>
        </w:rPr>
        <w:t>，并对声明的真实性负责。</w:t>
      </w:r>
    </w:p>
    <w:p w14:paraId="0038E8C0">
      <w:pPr>
        <w:pStyle w:val="20"/>
        <w:shd w:val="clear" w:color="auto" w:fill="FFFFFF"/>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三、在政府采购活动中，残疾人福利性单位视同小型、微型企业，享受预留份额、评审中价格扣除等促进中小企业发展的政府采购政策。</w:t>
      </w:r>
    </w:p>
    <w:p w14:paraId="62D85DB7">
      <w:pPr>
        <w:pStyle w:val="20"/>
        <w:shd w:val="clear" w:color="auto" w:fill="FFFFFF"/>
        <w:adjustRightInd w:val="0"/>
        <w:snapToGrid w:val="0"/>
        <w:spacing w:before="0" w:beforeAutospacing="0" w:after="0" w:afterAutospacing="0" w:line="288" w:lineRule="auto"/>
        <w:ind w:firstLine="371" w:firstLineChars="177"/>
        <w:rPr>
          <w:color w:val="auto"/>
          <w:sz w:val="21"/>
          <w:szCs w:val="21"/>
          <w:highlight w:val="none"/>
        </w:rPr>
      </w:pPr>
      <w:r>
        <w:rPr>
          <w:rFonts w:hint="eastAsia"/>
          <w:color w:val="auto"/>
          <w:sz w:val="21"/>
          <w:szCs w:val="21"/>
          <w:highlight w:val="none"/>
        </w:rPr>
        <w:t>残疾人福利性单位属于小型、微型企业的，不重复享受政策。</w:t>
      </w:r>
    </w:p>
    <w:p w14:paraId="6FB0C741">
      <w:pPr>
        <w:widowControl/>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843891A">
      <w:pPr>
        <w:adjustRightInd w:val="0"/>
        <w:snapToGrid w:val="0"/>
        <w:spacing w:line="288" w:lineRule="auto"/>
        <w:outlineLvl w:val="2"/>
        <w:rPr>
          <w:rFonts w:ascii="宋体" w:hAnsi="宋体" w:eastAsia="宋体" w:cs="Times New Roman"/>
          <w:b/>
          <w:bCs/>
          <w:color w:val="auto"/>
          <w:szCs w:val="21"/>
          <w:highlight w:val="none"/>
        </w:rPr>
      </w:pPr>
      <w:r>
        <w:rPr>
          <w:rFonts w:hint="eastAsia" w:ascii="宋体" w:hAnsi="宋体" w:eastAsia="宋体" w:cs="Times New Roman"/>
          <w:b/>
          <w:color w:val="auto"/>
          <w:spacing w:val="-6"/>
          <w:szCs w:val="21"/>
          <w:highlight w:val="none"/>
        </w:rPr>
        <w:t>附件1：</w:t>
      </w:r>
      <w:r>
        <w:rPr>
          <w:rFonts w:hint="eastAsia" w:ascii="宋体" w:hAnsi="宋体" w:eastAsia="宋体" w:cs="Times New Roman"/>
          <w:b/>
          <w:bCs/>
          <w:color w:val="auto"/>
          <w:szCs w:val="21"/>
          <w:highlight w:val="none"/>
        </w:rPr>
        <w:t>业务专用章使用说明函</w:t>
      </w:r>
    </w:p>
    <w:p w14:paraId="435FA431">
      <w:pPr>
        <w:snapToGrid w:val="0"/>
        <w:spacing w:line="288" w:lineRule="auto"/>
        <w:rPr>
          <w:rFonts w:ascii="宋体" w:hAnsi="宋体" w:eastAsia="宋体" w:cs="仿宋_GB2312"/>
          <w:color w:val="auto"/>
          <w:szCs w:val="21"/>
          <w:highlight w:val="none"/>
          <w:u w:val="single"/>
        </w:rPr>
      </w:pPr>
    </w:p>
    <w:p w14:paraId="084F87D4">
      <w:pPr>
        <w:snapToGrid w:val="0"/>
        <w:spacing w:line="288" w:lineRule="auto"/>
        <w:rPr>
          <w:rFonts w:ascii="宋体" w:hAnsi="宋体" w:eastAsia="宋体" w:cs="Times New Roman"/>
          <w:color w:val="auto"/>
          <w:szCs w:val="21"/>
          <w:highlight w:val="none"/>
        </w:rPr>
      </w:pPr>
      <w:r>
        <w:rPr>
          <w:rFonts w:hint="eastAsia" w:ascii="宋体" w:hAnsi="宋体" w:eastAsia="宋体" w:cs="仿宋_GB2312"/>
          <w:color w:val="auto"/>
          <w:szCs w:val="21"/>
          <w:highlight w:val="none"/>
          <w:u w:val="single"/>
        </w:rPr>
        <w:t>（采购人）、（采购代理机构）</w:t>
      </w:r>
    </w:p>
    <w:p w14:paraId="3098032B">
      <w:pPr>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仿宋_GB2312"/>
          <w:color w:val="auto"/>
          <w:kern w:val="0"/>
          <w:szCs w:val="21"/>
          <w:highlight w:val="none"/>
          <w:lang w:val="zh-CN"/>
        </w:rPr>
        <w:t>我方</w:t>
      </w:r>
      <w:r>
        <w:rPr>
          <w:rFonts w:ascii="宋体" w:hAnsi="宋体" w:eastAsia="宋体" w:cs="仿宋_GB2312"/>
          <w:color w:val="auto"/>
          <w:kern w:val="0"/>
          <w:szCs w:val="21"/>
          <w:highlight w:val="none"/>
          <w:u w:val="single"/>
          <w:lang w:val="zh-CN"/>
        </w:rPr>
        <w:t xml:space="preserve">                         </w:t>
      </w:r>
      <w:r>
        <w:rPr>
          <w:rFonts w:ascii="宋体" w:hAnsi="宋体" w:eastAsia="宋体" w:cs="仿宋_GB2312"/>
          <w:color w:val="auto"/>
          <w:szCs w:val="21"/>
          <w:highlight w:val="none"/>
        </w:rPr>
        <w:t>(</w:t>
      </w:r>
      <w:r>
        <w:rPr>
          <w:rFonts w:hint="eastAsia" w:ascii="宋体" w:hAnsi="宋体" w:eastAsia="宋体" w:cs="仿宋_GB2312"/>
          <w:color w:val="auto"/>
          <w:szCs w:val="21"/>
          <w:highlight w:val="none"/>
        </w:rPr>
        <w:t>供应商</w:t>
      </w:r>
      <w:r>
        <w:rPr>
          <w:rFonts w:ascii="宋体" w:hAnsi="宋体" w:eastAsia="宋体" w:cs="仿宋_GB2312"/>
          <w:color w:val="auto"/>
          <w:szCs w:val="21"/>
          <w:highlight w:val="none"/>
        </w:rPr>
        <w:t>全称)</w:t>
      </w:r>
      <w:r>
        <w:rPr>
          <w:rFonts w:hint="eastAsia" w:ascii="宋体" w:hAnsi="宋体" w:eastAsia="宋体" w:cs="Times New Roman"/>
          <w:color w:val="auto"/>
          <w:szCs w:val="21"/>
          <w:highlight w:val="none"/>
        </w:rPr>
        <w:t>是中华人民共和国依法登记注册的合法企业，</w:t>
      </w:r>
      <w:r>
        <w:rPr>
          <w:rFonts w:hint="eastAsia" w:ascii="宋体" w:hAnsi="宋体" w:eastAsia="宋体" w:cs="宋体"/>
          <w:bCs/>
          <w:color w:val="auto"/>
          <w:szCs w:val="21"/>
          <w:highlight w:val="none"/>
        </w:rPr>
        <w:t>在参加</w:t>
      </w:r>
      <w:r>
        <w:rPr>
          <w:rFonts w:hint="eastAsia" w:ascii="宋体" w:hAnsi="宋体" w:eastAsia="宋体" w:cs="仿宋_GB2312"/>
          <w:color w:val="auto"/>
          <w:szCs w:val="21"/>
          <w:highlight w:val="none"/>
        </w:rPr>
        <w:t>你方组织的</w:t>
      </w:r>
      <w:r>
        <w:rPr>
          <w:rFonts w:hint="eastAsia" w:ascii="宋体" w:hAnsi="宋体" w:eastAsia="宋体" w:cs="仿宋_GB2312"/>
          <w:color w:val="auto"/>
          <w:szCs w:val="21"/>
          <w:highlight w:val="none"/>
          <w:u w:val="single"/>
        </w:rPr>
        <w:t>（项目名称）</w:t>
      </w:r>
      <w:r>
        <w:rPr>
          <w:rFonts w:hint="eastAsia" w:ascii="宋体" w:hAnsi="宋体" w:eastAsia="宋体" w:cs="仿宋_GB2312"/>
          <w:color w:val="auto"/>
          <w:szCs w:val="21"/>
          <w:highlight w:val="none"/>
        </w:rPr>
        <w:t>项目</w:t>
      </w:r>
      <w:r>
        <w:rPr>
          <w:rFonts w:hint="eastAsia" w:ascii="宋体" w:hAnsi="宋体" w:eastAsia="宋体" w:cs="仿宋_GB2312"/>
          <w:color w:val="auto"/>
          <w:szCs w:val="21"/>
          <w:highlight w:val="none"/>
          <w:u w:val="single"/>
        </w:rPr>
        <w:t>（项目编号）</w:t>
      </w:r>
      <w:r>
        <w:rPr>
          <w:rFonts w:hint="eastAsia" w:ascii="宋体" w:hAnsi="宋体" w:eastAsia="宋体" w:cs="宋体"/>
          <w:bCs/>
          <w:color w:val="auto"/>
          <w:szCs w:val="21"/>
          <w:highlight w:val="none"/>
          <w:lang w:eastAsia="zh-CN"/>
        </w:rPr>
        <w:t>投标</w:t>
      </w:r>
      <w:r>
        <w:rPr>
          <w:rFonts w:hint="eastAsia" w:ascii="宋体" w:hAnsi="宋体" w:eastAsia="宋体" w:cs="宋体"/>
          <w:bCs/>
          <w:color w:val="auto"/>
          <w:szCs w:val="21"/>
          <w:highlight w:val="none"/>
        </w:rPr>
        <w:t>活动中作如下说明：</w:t>
      </w:r>
      <w:r>
        <w:rPr>
          <w:rFonts w:hint="eastAsia" w:ascii="宋体" w:hAnsi="宋体" w:eastAsia="宋体" w:cs="宋体"/>
          <w:color w:val="auto"/>
          <w:szCs w:val="21"/>
          <w:highlight w:val="none"/>
        </w:rPr>
        <w:t>我方所使用的</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与法定名称章具有同等的法律效力，对使用</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的行为予以完全承认，并愿意承担相应责任。</w:t>
      </w:r>
    </w:p>
    <w:p w14:paraId="6FAD04FE">
      <w:pPr>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特此说明。</w:t>
      </w:r>
    </w:p>
    <w:p w14:paraId="70E85792">
      <w:pPr>
        <w:snapToGrid w:val="0"/>
        <w:spacing w:line="288" w:lineRule="auto"/>
        <w:ind w:right="480"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供应商（法定名称章）：</w:t>
      </w:r>
    </w:p>
    <w:p w14:paraId="39C80E26">
      <w:pPr>
        <w:snapToGrid w:val="0"/>
        <w:spacing w:line="288" w:lineRule="auto"/>
        <w:ind w:right="1440" w:firstLine="424" w:firstLineChars="202"/>
        <w:rPr>
          <w:rFonts w:ascii="宋体" w:hAnsi="宋体" w:eastAsia="宋体" w:cs="宋体"/>
          <w:color w:val="auto"/>
          <w:szCs w:val="21"/>
          <w:highlight w:val="none"/>
        </w:rPr>
      </w:pPr>
      <w:r>
        <w:rPr>
          <w:rFonts w:ascii="宋体" w:hAnsi="宋体" w:eastAsia="宋体" w:cs="宋体"/>
          <w:color w:val="auto"/>
          <w:szCs w:val="21"/>
          <w:highlight w:val="none"/>
        </w:rPr>
        <w:t>日期：       年     月     日</w:t>
      </w:r>
    </w:p>
    <w:p w14:paraId="7F4BF5A8">
      <w:pPr>
        <w:snapToGrid w:val="0"/>
        <w:spacing w:line="288" w:lineRule="auto"/>
        <w:rPr>
          <w:rFonts w:ascii="宋体" w:hAnsi="宋体" w:eastAsia="宋体" w:cs="宋体"/>
          <w:b/>
          <w:bCs/>
          <w:color w:val="auto"/>
          <w:szCs w:val="21"/>
          <w:highlight w:val="none"/>
        </w:rPr>
      </w:pPr>
    </w:p>
    <w:p w14:paraId="0BAD6FE8">
      <w:pPr>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附：</w:t>
      </w:r>
      <w:r>
        <w:rPr>
          <w:rFonts w:hint="eastAsia" w:ascii="宋体" w:hAnsi="宋体" w:eastAsia="宋体" w:cs="宋体"/>
          <w:color w:val="auto"/>
          <w:szCs w:val="21"/>
          <w:highlight w:val="none"/>
        </w:rPr>
        <w:t>供应商法定名称章（印模）</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供应商“</w:t>
      </w:r>
      <w:r>
        <w:rPr>
          <w:rFonts w:ascii="宋体" w:hAnsi="宋体" w:eastAsia="宋体" w:cs="仿宋_GB2312"/>
          <w:color w:val="auto"/>
          <w:szCs w:val="21"/>
          <w:highlight w:val="none"/>
        </w:rPr>
        <w:t>XX</w:t>
      </w:r>
      <w:r>
        <w:rPr>
          <w:rFonts w:hint="eastAsia" w:ascii="宋体" w:hAnsi="宋体" w:eastAsia="宋体" w:cs="宋体"/>
          <w:color w:val="auto"/>
          <w:szCs w:val="21"/>
          <w:highlight w:val="none"/>
        </w:rPr>
        <w:t>专用章”（印模）</w:t>
      </w:r>
    </w:p>
    <w:p w14:paraId="0D5B8464">
      <w:pPr>
        <w:snapToGrid w:val="0"/>
        <w:spacing w:line="288" w:lineRule="auto"/>
        <w:rPr>
          <w:rFonts w:ascii="宋体" w:hAnsi="宋体" w:eastAsia="宋体" w:cs="宋体"/>
          <w:color w:val="auto"/>
          <w:szCs w:val="21"/>
          <w:highlight w:val="none"/>
        </w:rPr>
      </w:pPr>
      <w:r>
        <w:rPr>
          <w:rFonts w:ascii="宋体" w:hAnsi="宋体" w:eastAsia="宋体" w:cs="Times New Roman"/>
          <w:b/>
          <w:bCs/>
          <w:color w:val="auto"/>
          <w:szCs w:val="21"/>
          <w:highlight w:val="none"/>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color w:val="auto"/>
          <w:szCs w:val="21"/>
          <w:highlight w:val="none"/>
        </w:rPr>
        <w:t xml:space="preserve"> </w:t>
      </w:r>
      <w:r>
        <w:rPr>
          <w:rFonts w:ascii="宋体" w:hAnsi="宋体" w:eastAsia="宋体" w:cs="Times New Roman"/>
          <w:b/>
          <w:bCs/>
          <w:color w:val="auto"/>
          <w:szCs w:val="21"/>
          <w:highlight w:val="none"/>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3B649284">
      <w:pPr>
        <w:widowControl/>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D2F2880">
      <w:pPr>
        <w:snapToGrid w:val="0"/>
        <w:spacing w:line="288" w:lineRule="auto"/>
        <w:jc w:val="center"/>
        <w:outlineLvl w:val="2"/>
        <w:rPr>
          <w:rFonts w:ascii="宋体" w:hAnsi="宋体" w:eastAsia="宋体" w:cs="仿宋_GB2312"/>
          <w:b/>
          <w:color w:val="auto"/>
          <w:kern w:val="0"/>
          <w:szCs w:val="21"/>
          <w:highlight w:val="none"/>
          <w:lang w:val="zh-CN"/>
        </w:rPr>
      </w:pPr>
      <w:r>
        <w:rPr>
          <w:rFonts w:hint="eastAsia" w:ascii="宋体" w:hAnsi="宋体" w:eastAsia="宋体" w:cs="仿宋_GB2312"/>
          <w:b/>
          <w:color w:val="auto"/>
          <w:kern w:val="0"/>
          <w:szCs w:val="21"/>
          <w:highlight w:val="none"/>
          <w:lang w:val="zh-CN"/>
        </w:rPr>
        <w:t>附件2</w:t>
      </w:r>
      <w:r>
        <w:rPr>
          <w:rFonts w:ascii="宋体" w:hAnsi="宋体" w:eastAsia="宋体" w:cs="仿宋_GB2312"/>
          <w:b/>
          <w:color w:val="auto"/>
          <w:kern w:val="0"/>
          <w:szCs w:val="21"/>
          <w:highlight w:val="none"/>
          <w:lang w:val="zh-CN"/>
        </w:rPr>
        <w:t>：</w:t>
      </w:r>
      <w:r>
        <w:rPr>
          <w:rFonts w:hint="eastAsia" w:ascii="宋体" w:hAnsi="宋体" w:eastAsia="宋体" w:cs="仿宋_GB2312"/>
          <w:b/>
          <w:color w:val="auto"/>
          <w:kern w:val="0"/>
          <w:szCs w:val="21"/>
          <w:highlight w:val="none"/>
          <w:lang w:val="zh-CN"/>
        </w:rPr>
        <w:t>联合协议</w:t>
      </w:r>
    </w:p>
    <w:p w14:paraId="28CF4667">
      <w:pPr>
        <w:widowControl/>
        <w:snapToGrid w:val="0"/>
        <w:spacing w:line="288" w:lineRule="auto"/>
        <w:ind w:firstLine="424" w:firstLineChars="201"/>
        <w:jc w:val="left"/>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（以联合体形式投标的，提供联合协议；本项目不接受联合体投标或者投标人不以联合体形式投标的，则不需要提供）</w:t>
      </w:r>
    </w:p>
    <w:p w14:paraId="4A135470">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（联合体所有成员名称）</w:t>
      </w:r>
      <w:r>
        <w:rPr>
          <w:rFonts w:hint="eastAsia" w:ascii="宋体" w:hAnsi="宋体" w:eastAsia="宋体" w:cs="仿宋_GB2312"/>
          <w:color w:val="auto"/>
          <w:kern w:val="0"/>
          <w:szCs w:val="21"/>
          <w:highlight w:val="none"/>
        </w:rPr>
        <w:t>自愿</w:t>
      </w:r>
      <w:r>
        <w:rPr>
          <w:rFonts w:hint="eastAsia" w:ascii="宋体" w:hAnsi="宋体" w:eastAsia="宋体" w:cs="仿宋_GB2312"/>
          <w:color w:val="auto"/>
          <w:kern w:val="0"/>
          <w:szCs w:val="21"/>
          <w:highlight w:val="none"/>
          <w:lang w:val="zh-CN"/>
        </w:rPr>
        <w:t>组成一个联合体，以一个投标人的身份</w:t>
      </w:r>
      <w:r>
        <w:rPr>
          <w:rFonts w:hint="eastAsia" w:ascii="宋体" w:hAnsi="宋体" w:eastAsia="宋体" w:cs="仿宋_GB2312"/>
          <w:color w:val="auto"/>
          <w:kern w:val="0"/>
          <w:szCs w:val="21"/>
          <w:highlight w:val="none"/>
        </w:rPr>
        <w:t>参加</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投标。</w:t>
      </w:r>
      <w:r>
        <w:rPr>
          <w:rFonts w:ascii="宋体" w:hAnsi="宋体" w:eastAsia="宋体" w:cs="仿宋_GB2312"/>
          <w:color w:val="auto"/>
          <w:kern w:val="0"/>
          <w:szCs w:val="21"/>
          <w:highlight w:val="none"/>
          <w:lang w:val="zh-CN"/>
        </w:rPr>
        <w:t xml:space="preserve"> </w:t>
      </w:r>
    </w:p>
    <w:p w14:paraId="1D1CA801">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一、各方一致决定，</w:t>
      </w:r>
      <w:r>
        <w:rPr>
          <w:rFonts w:hint="eastAsia" w:ascii="宋体" w:hAnsi="宋体" w:eastAsia="宋体" w:cs="仿宋_GB2312"/>
          <w:color w:val="auto"/>
          <w:kern w:val="0"/>
          <w:szCs w:val="21"/>
          <w:highlight w:val="none"/>
          <w:u w:val="single"/>
        </w:rPr>
        <w:t>（某联合体成员名称）</w:t>
      </w:r>
      <w:r>
        <w:rPr>
          <w:rFonts w:hint="eastAsia" w:ascii="宋体" w:hAnsi="宋体" w:eastAsia="宋体" w:cs="仿宋_GB2312"/>
          <w:color w:val="auto"/>
          <w:kern w:val="0"/>
          <w:szCs w:val="21"/>
          <w:highlight w:val="none"/>
        </w:rPr>
        <w:t>为联合体</w:t>
      </w:r>
      <w:r>
        <w:rPr>
          <w:rFonts w:hint="eastAsia" w:ascii="宋体" w:hAnsi="宋体" w:eastAsia="宋体" w:cs="仿宋_GB2312"/>
          <w:color w:val="auto"/>
          <w:kern w:val="0"/>
          <w:szCs w:val="21"/>
          <w:highlight w:val="none"/>
          <w:lang w:val="zh-CN"/>
        </w:rPr>
        <w:t>牵头人</w:t>
      </w:r>
      <w:r>
        <w:rPr>
          <w:rFonts w:hint="eastAsia" w:ascii="宋体" w:hAnsi="宋体" w:eastAsia="宋体" w:cs="Arial"/>
          <w:color w:val="auto"/>
          <w:szCs w:val="21"/>
          <w:highlight w:val="none"/>
        </w:rPr>
        <w:t>，代表所有联合体成员负责投标和合同实施阶段的主办、协调工作</w:t>
      </w:r>
      <w:r>
        <w:rPr>
          <w:rFonts w:hint="eastAsia" w:ascii="宋体" w:hAnsi="宋体" w:eastAsia="宋体" w:cs="仿宋_GB2312"/>
          <w:color w:val="auto"/>
          <w:kern w:val="0"/>
          <w:szCs w:val="21"/>
          <w:highlight w:val="none"/>
          <w:lang w:val="zh-CN"/>
        </w:rPr>
        <w:t>。</w:t>
      </w:r>
    </w:p>
    <w:p w14:paraId="300CA03F">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w:t>
      </w:r>
      <w:r>
        <w:rPr>
          <w:rFonts w:hint="eastAsia" w:ascii="宋体" w:hAnsi="宋体" w:eastAsia="宋体" w:cs="Arial"/>
          <w:color w:val="auto"/>
          <w:szCs w:val="21"/>
          <w:highlight w:val="none"/>
        </w:rPr>
        <w:t>所有联合体成员各方签署授权书，授权书载明的</w:t>
      </w:r>
      <w:r>
        <w:rPr>
          <w:rFonts w:hint="eastAsia" w:ascii="宋体" w:hAnsi="宋体" w:eastAsia="宋体" w:cs="仿宋_GB2312"/>
          <w:color w:val="auto"/>
          <w:kern w:val="0"/>
          <w:szCs w:val="21"/>
          <w:highlight w:val="none"/>
          <w:lang w:val="zh-CN"/>
        </w:rPr>
        <w:t>授权代表根据招标文件规定及投标内容而对采购人、采购代理机构所作的任何合法承诺，包括书面澄清及</w:t>
      </w:r>
      <w:r>
        <w:rPr>
          <w:rFonts w:hint="eastAsia" w:ascii="宋体" w:hAnsi="宋体" w:eastAsia="宋体" w:cs="仿宋_GB2312"/>
          <w:color w:val="auto"/>
          <w:kern w:val="0"/>
          <w:szCs w:val="21"/>
          <w:highlight w:val="none"/>
          <w:lang w:val="en-US" w:eastAsia="zh-CN"/>
        </w:rPr>
        <w:t>响应</w:t>
      </w:r>
      <w:r>
        <w:rPr>
          <w:rFonts w:hint="eastAsia" w:ascii="宋体" w:hAnsi="宋体" w:eastAsia="宋体" w:cs="仿宋_GB2312"/>
          <w:color w:val="auto"/>
          <w:kern w:val="0"/>
          <w:szCs w:val="21"/>
          <w:highlight w:val="none"/>
          <w:lang w:val="zh-CN"/>
        </w:rPr>
        <w:t>等均对联合投标各方产生约束力。</w:t>
      </w:r>
    </w:p>
    <w:p w14:paraId="6FD64603">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三、本次联合投标中，分工如下：</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lang w:val="zh-CN"/>
        </w:rPr>
        <w:t>承担的工作和义务为：</w:t>
      </w:r>
      <w:r>
        <w:rPr>
          <w:rFonts w:ascii="宋体" w:hAnsi="宋体" w:eastAsia="宋体" w:cs="Times New Roman"/>
          <w:color w:val="auto"/>
          <w:szCs w:val="21"/>
          <w:highlight w:val="none"/>
          <w:u w:val="single"/>
        </w:rPr>
        <w:t xml:space="preserve">             </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w:t>
      </w:r>
    </w:p>
    <w:p w14:paraId="54FE45A7">
      <w:pPr>
        <w:snapToGrid w:val="0"/>
        <w:spacing w:line="288" w:lineRule="auto"/>
        <w:ind w:firstLine="422" w:firstLineChars="201"/>
        <w:rPr>
          <w:rFonts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lang w:val="zh-CN"/>
        </w:rPr>
        <w:t>四、</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rPr>
        <w:t>提供的全部货物由小微企业制造，其合同份额占到合同总金额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仿宋_GB2312"/>
          <w:color w:val="auto"/>
          <w:kern w:val="0"/>
          <w:szCs w:val="21"/>
          <w:highlight w:val="none"/>
          <w:lang w:val="zh-CN"/>
        </w:rPr>
        <w:t>……。</w:t>
      </w:r>
      <w:r>
        <w:rPr>
          <w:rFonts w:hint="eastAsia" w:ascii="宋体" w:hAnsi="宋体" w:eastAsia="宋体" w:cs="仿宋_GB2312"/>
          <w:b/>
          <w:color w:val="auto"/>
          <w:kern w:val="0"/>
          <w:szCs w:val="21"/>
          <w:highlight w:val="none"/>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仿宋_GB2312"/>
          <w:b/>
          <w:color w:val="auto"/>
          <w:kern w:val="0"/>
          <w:szCs w:val="21"/>
          <w:highlight w:val="none"/>
          <w:lang w:val="zh-CN"/>
        </w:rPr>
        <w:t xml:space="preserve"> 30%以上</w:t>
      </w:r>
      <w:r>
        <w:rPr>
          <w:rFonts w:hint="eastAsia" w:ascii="宋体" w:hAnsi="宋体" w:eastAsia="宋体" w:cs="仿宋_GB2312"/>
          <w:b/>
          <w:color w:val="auto"/>
          <w:kern w:val="0"/>
          <w:szCs w:val="21"/>
          <w:highlight w:val="none"/>
          <w:lang w:val="zh-CN"/>
        </w:rPr>
        <w:t>，对联合体报价给予</w:t>
      </w:r>
      <w:r>
        <w:rPr>
          <w:rFonts w:ascii="宋体" w:hAnsi="宋体" w:eastAsia="宋体" w:cs="仿宋_GB2312"/>
          <w:b/>
          <w:color w:val="auto"/>
          <w:kern w:val="0"/>
          <w:szCs w:val="21"/>
          <w:highlight w:val="none"/>
          <w:lang w:val="zh-CN"/>
        </w:rPr>
        <w:t>6%的扣除</w:t>
      </w:r>
      <w:r>
        <w:rPr>
          <w:rFonts w:hint="eastAsia" w:ascii="宋体" w:hAnsi="宋体" w:eastAsia="宋体" w:cs="仿宋_GB2312"/>
          <w:b/>
          <w:color w:val="auto"/>
          <w:kern w:val="0"/>
          <w:szCs w:val="21"/>
          <w:highlight w:val="none"/>
          <w:lang w:val="zh-CN"/>
        </w:rPr>
        <w:t>）</w:t>
      </w:r>
    </w:p>
    <w:p w14:paraId="239201E0">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五、如果中标，</w:t>
      </w:r>
      <w:r>
        <w:rPr>
          <w:rFonts w:hint="eastAsia" w:ascii="宋体" w:hAnsi="宋体" w:eastAsia="宋体" w:cs="Times New Roman"/>
          <w:color w:val="auto"/>
          <w:szCs w:val="21"/>
          <w:highlight w:val="none"/>
        </w:rPr>
        <w:t>联合体各成员方共同与采购人签订合同，并就采购合同约定的事项对采购人承担连带责任。</w:t>
      </w:r>
    </w:p>
    <w:p w14:paraId="25481C29">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六、有关本次联合投标的其他事宜：</w:t>
      </w:r>
    </w:p>
    <w:p w14:paraId="0A90D5F9">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1、联合体各方不再单独参加或者与其</w:t>
      </w:r>
      <w:r>
        <w:rPr>
          <w:rFonts w:hint="eastAsia" w:ascii="宋体" w:hAnsi="宋体" w:eastAsia="宋体" w:cs="仿宋_GB2312"/>
          <w:color w:val="auto"/>
          <w:kern w:val="0"/>
          <w:szCs w:val="21"/>
          <w:highlight w:val="none"/>
          <w:lang w:val="zh-CN"/>
        </w:rPr>
        <w:t>他供应商另外组成联合体参加同一合同项下的政府采购活动。</w:t>
      </w:r>
    </w:p>
    <w:p w14:paraId="7CE64D4F">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2、联合体中有同类资质的各方按照联合体分工承担相同工作的，按照资质等级较低的供应商确定资质等级。</w:t>
      </w:r>
    </w:p>
    <w:p w14:paraId="7FF3B1CC">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3、本协议提交采购人、</w:t>
      </w:r>
      <w:r>
        <w:rPr>
          <w:rFonts w:hint="eastAsia" w:ascii="宋体" w:hAnsi="宋体" w:eastAsia="宋体" w:cs="仿宋_GB2312"/>
          <w:color w:val="auto"/>
          <w:kern w:val="0"/>
          <w:szCs w:val="21"/>
          <w:highlight w:val="none"/>
          <w:lang w:val="zh-CN"/>
        </w:rPr>
        <w:t>采购代理机构</w:t>
      </w:r>
      <w:r>
        <w:rPr>
          <w:rFonts w:ascii="宋体" w:hAnsi="宋体" w:eastAsia="宋体" w:cs="仿宋_GB2312"/>
          <w:color w:val="auto"/>
          <w:kern w:val="0"/>
          <w:szCs w:val="21"/>
          <w:highlight w:val="none"/>
          <w:lang w:val="zh-CN"/>
        </w:rPr>
        <w:t>后，联合体各方不得以任何形式对上述内容进行修改或撤销。</w:t>
      </w:r>
    </w:p>
    <w:p w14:paraId="1A251B52">
      <w:pPr>
        <w:snapToGrid w:val="0"/>
        <w:spacing w:line="288" w:lineRule="auto"/>
        <w:ind w:firstLine="422" w:firstLineChars="201"/>
        <w:rPr>
          <w:rFonts w:ascii="宋体" w:hAnsi="宋体" w:eastAsia="宋体" w:cs="仿宋_GB2312"/>
          <w:color w:val="auto"/>
          <w:kern w:val="0"/>
          <w:szCs w:val="21"/>
          <w:highlight w:val="none"/>
          <w:lang w:val="zh-CN"/>
        </w:rPr>
      </w:pPr>
    </w:p>
    <w:p w14:paraId="796ADF68">
      <w:pPr>
        <w:snapToGrid w:val="0"/>
        <w:spacing w:line="288" w:lineRule="auto"/>
        <w:ind w:firstLine="422" w:firstLineChars="201"/>
        <w:rPr>
          <w:rFonts w:ascii="宋体" w:hAnsi="宋体" w:eastAsia="宋体" w:cs="仿宋_GB2312"/>
          <w:color w:val="auto"/>
          <w:kern w:val="0"/>
          <w:szCs w:val="21"/>
          <w:highlight w:val="none"/>
          <w:lang w:val="zh-CN"/>
        </w:rPr>
      </w:pPr>
    </w:p>
    <w:p w14:paraId="4BC3D04F">
      <w:pPr>
        <w:snapToGrid w:val="0"/>
        <w:spacing w:line="288" w:lineRule="auto"/>
        <w:ind w:firstLine="424" w:firstLineChars="201"/>
        <w:rPr>
          <w:rFonts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联合体成员名称</w:t>
      </w:r>
      <w:r>
        <w:rPr>
          <w:rFonts w:ascii="宋体" w:hAnsi="宋体" w:eastAsia="宋体" w:cs="仿宋_GB2312"/>
          <w:b/>
          <w:bCs/>
          <w:color w:val="auto"/>
          <w:kern w:val="0"/>
          <w:szCs w:val="21"/>
          <w:highlight w:val="none"/>
          <w:lang w:val="zh-CN"/>
        </w:rPr>
        <w:t>(电子签名/公章)：</w:t>
      </w:r>
    </w:p>
    <w:p w14:paraId="30411739">
      <w:pPr>
        <w:snapToGrid w:val="0"/>
        <w:spacing w:line="288" w:lineRule="auto"/>
        <w:ind w:firstLine="424" w:firstLineChars="201"/>
        <w:rPr>
          <w:rFonts w:ascii="宋体" w:hAnsi="宋体" w:eastAsia="宋体" w:cs="仿宋_GB2312"/>
          <w:b/>
          <w:bCs/>
          <w:color w:val="auto"/>
          <w:kern w:val="0"/>
          <w:szCs w:val="21"/>
          <w:highlight w:val="none"/>
          <w:lang w:val="zh-CN"/>
        </w:rPr>
      </w:pPr>
    </w:p>
    <w:p w14:paraId="119F23CF">
      <w:pPr>
        <w:snapToGrid w:val="0"/>
        <w:spacing w:line="288" w:lineRule="auto"/>
        <w:ind w:firstLine="424" w:firstLineChars="201"/>
        <w:rPr>
          <w:rFonts w:ascii="宋体" w:hAnsi="宋体" w:eastAsia="宋体" w:cs="Times New Roman"/>
          <w:b/>
          <w:bCs/>
          <w:color w:val="auto"/>
          <w:szCs w:val="21"/>
          <w:highlight w:val="none"/>
        </w:rPr>
      </w:pPr>
    </w:p>
    <w:p w14:paraId="6439EABD">
      <w:pPr>
        <w:snapToGrid w:val="0"/>
        <w:spacing w:line="288" w:lineRule="auto"/>
        <w:ind w:firstLine="424" w:firstLineChars="201"/>
        <w:rPr>
          <w:rFonts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31ED4178">
      <w:pPr>
        <w:widowControl/>
        <w:jc w:val="left"/>
        <w:rPr>
          <w:rFonts w:ascii="宋体" w:hAnsi="宋体" w:eastAsia="宋体" w:cs="仿宋_GB2312"/>
          <w:b/>
          <w:color w:val="auto"/>
          <w:kern w:val="0"/>
          <w:szCs w:val="21"/>
          <w:highlight w:val="none"/>
        </w:rPr>
      </w:pPr>
      <w:r>
        <w:rPr>
          <w:rFonts w:ascii="宋体" w:hAnsi="宋体" w:eastAsia="宋体" w:cs="仿宋_GB2312"/>
          <w:b/>
          <w:color w:val="auto"/>
          <w:kern w:val="0"/>
          <w:szCs w:val="21"/>
          <w:highlight w:val="none"/>
        </w:rPr>
        <w:br w:type="page"/>
      </w:r>
    </w:p>
    <w:p w14:paraId="638BE49F">
      <w:pPr>
        <w:snapToGrid w:val="0"/>
        <w:spacing w:line="288" w:lineRule="auto"/>
        <w:jc w:val="center"/>
        <w:outlineLvl w:val="2"/>
        <w:rPr>
          <w:rFonts w:ascii="宋体" w:hAnsi="宋体" w:eastAsia="宋体" w:cs="仿宋_GB2312"/>
          <w:b/>
          <w:color w:val="auto"/>
          <w:kern w:val="0"/>
          <w:szCs w:val="21"/>
          <w:highlight w:val="none"/>
        </w:rPr>
      </w:pPr>
      <w:r>
        <w:rPr>
          <w:rFonts w:hint="eastAsia" w:ascii="宋体" w:hAnsi="宋体" w:eastAsia="宋体" w:cs="仿宋_GB2312"/>
          <w:b/>
          <w:color w:val="auto"/>
          <w:kern w:val="0"/>
          <w:szCs w:val="21"/>
          <w:highlight w:val="none"/>
        </w:rPr>
        <w:t>附件3</w:t>
      </w:r>
      <w:r>
        <w:rPr>
          <w:rFonts w:ascii="宋体" w:hAnsi="宋体" w:eastAsia="宋体" w:cs="仿宋_GB2312"/>
          <w:b/>
          <w:color w:val="auto"/>
          <w:kern w:val="0"/>
          <w:szCs w:val="21"/>
          <w:highlight w:val="none"/>
        </w:rPr>
        <w:t>：</w:t>
      </w:r>
      <w:r>
        <w:rPr>
          <w:rFonts w:hint="eastAsia" w:ascii="宋体" w:hAnsi="宋体" w:eastAsia="宋体" w:cs="仿宋_GB2312"/>
          <w:b/>
          <w:color w:val="auto"/>
          <w:kern w:val="0"/>
          <w:szCs w:val="21"/>
          <w:highlight w:val="none"/>
        </w:rPr>
        <w:t>分包意向协议</w:t>
      </w:r>
    </w:p>
    <w:p w14:paraId="09E993D7">
      <w:pPr>
        <w:widowControl/>
        <w:snapToGrid w:val="0"/>
        <w:spacing w:line="288" w:lineRule="auto"/>
        <w:ind w:firstLine="422" w:firstLineChars="201"/>
        <w:jc w:val="left"/>
        <w:rPr>
          <w:rFonts w:ascii="宋体" w:hAnsi="宋体" w:eastAsia="宋体" w:cs="仿宋_GB2312"/>
          <w:color w:val="auto"/>
          <w:szCs w:val="21"/>
          <w:highlight w:val="none"/>
        </w:rPr>
      </w:pPr>
      <w:r>
        <w:rPr>
          <w:rFonts w:hint="eastAsia" w:ascii="宋体" w:hAnsi="宋体" w:eastAsia="宋体" w:cs="仿宋_GB2312"/>
          <w:color w:val="auto"/>
          <w:szCs w:val="21"/>
          <w:highlight w:val="none"/>
        </w:rPr>
        <w:t>（</w:t>
      </w:r>
      <w:r>
        <w:rPr>
          <w:rFonts w:hint="eastAsia" w:ascii="宋体" w:hAnsi="宋体" w:eastAsia="宋体" w:cs="仿宋_GB2312"/>
          <w:b/>
          <w:color w:val="auto"/>
          <w:szCs w:val="21"/>
          <w:highlight w:val="none"/>
        </w:rPr>
        <w:t>中标后以分包方式履行合同的，提供分包意向协议；采购人不同意分包或者投标人中标后不以分包方式履行合同的，则不需要提供。</w:t>
      </w:r>
      <w:r>
        <w:rPr>
          <w:rFonts w:hint="eastAsia" w:ascii="宋体" w:hAnsi="宋体" w:eastAsia="宋体" w:cs="仿宋_GB2312"/>
          <w:color w:val="auto"/>
          <w:szCs w:val="21"/>
          <w:highlight w:val="none"/>
        </w:rPr>
        <w:t>）</w:t>
      </w:r>
    </w:p>
    <w:p w14:paraId="008ABF5C">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若成为</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的中标供应商，将依法采取分包方式履行合同。</w:t>
      </w: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rPr>
        <w:t>与</w:t>
      </w:r>
      <w:r>
        <w:rPr>
          <w:rFonts w:hint="eastAsia" w:ascii="宋体" w:hAnsi="宋体" w:eastAsia="宋体" w:cs="仿宋_GB2312"/>
          <w:color w:val="auto"/>
          <w:kern w:val="0"/>
          <w:szCs w:val="21"/>
          <w:highlight w:val="none"/>
          <w:u w:val="single"/>
        </w:rPr>
        <w:t>（所有分包供应商名称）</w:t>
      </w:r>
      <w:r>
        <w:rPr>
          <w:rFonts w:hint="eastAsia" w:ascii="宋体" w:hAnsi="宋体" w:eastAsia="宋体" w:cs="仿宋_GB2312"/>
          <w:color w:val="auto"/>
          <w:kern w:val="0"/>
          <w:szCs w:val="21"/>
          <w:highlight w:val="none"/>
        </w:rPr>
        <w:t>达成分包意向协议</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 xml:space="preserve"> </w:t>
      </w:r>
    </w:p>
    <w:p w14:paraId="5C26EFE4">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一、分包标的及数量</w:t>
      </w:r>
    </w:p>
    <w:p w14:paraId="344E1A35">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将</w:t>
      </w:r>
      <w:r>
        <w:rPr>
          <w:rFonts w:ascii="宋体" w:hAnsi="宋体" w:eastAsia="宋体" w:cs="Times New Roman"/>
          <w:color w:val="auto"/>
          <w:szCs w:val="21"/>
          <w:highlight w:val="none"/>
          <w:u w:val="single"/>
        </w:rPr>
        <w:t xml:space="preserve">   XX工作内容   </w:t>
      </w:r>
      <w:r>
        <w:rPr>
          <w:rFonts w:hint="eastAsia" w:ascii="宋体" w:hAnsi="宋体" w:eastAsia="宋体" w:cs="Arial"/>
          <w:color w:val="auto"/>
          <w:szCs w:val="21"/>
          <w:highlight w:val="none"/>
        </w:rPr>
        <w:t>分包给</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具备承</w:t>
      </w:r>
      <w:r>
        <w:rPr>
          <w:rFonts w:hint="eastAsia" w:ascii="宋体" w:hAnsi="宋体" w:eastAsia="宋体" w:cs="仿宋_GB2312"/>
          <w:color w:val="auto"/>
          <w:kern w:val="0"/>
          <w:szCs w:val="21"/>
          <w:highlight w:val="none"/>
        </w:rPr>
        <w:t>担</w:t>
      </w:r>
      <w:r>
        <w:rPr>
          <w:rFonts w:ascii="宋体" w:hAnsi="宋体" w:eastAsia="宋体" w:cs="仿宋_GB2312"/>
          <w:color w:val="auto"/>
          <w:kern w:val="0"/>
          <w:szCs w:val="21"/>
          <w:highlight w:val="none"/>
          <w:u w:val="single"/>
          <w:lang w:val="zh-CN"/>
        </w:rPr>
        <w:t>XX工作内容</w:t>
      </w:r>
      <w:r>
        <w:rPr>
          <w:rFonts w:hint="eastAsia" w:ascii="宋体" w:hAnsi="宋体" w:eastAsia="宋体" w:cs="仿宋_GB2312"/>
          <w:color w:val="auto"/>
          <w:kern w:val="0"/>
          <w:szCs w:val="21"/>
          <w:highlight w:val="none"/>
          <w:lang w:val="zh-CN"/>
        </w:rPr>
        <w:t>相应资质条件且不得再次分包；</w:t>
      </w:r>
    </w:p>
    <w:p w14:paraId="026F2BEE">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w:t>
      </w:r>
    </w:p>
    <w:p w14:paraId="25781EE5">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二、分包工作履行期限、地点、方式</w:t>
      </w:r>
    </w:p>
    <w:p w14:paraId="5711DE49">
      <w:pPr>
        <w:snapToGrid w:val="0"/>
        <w:spacing w:line="288" w:lineRule="auto"/>
        <w:ind w:firstLine="422" w:firstLineChars="201"/>
        <w:rPr>
          <w:rFonts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 xml:space="preserve">                                                                                  </w:t>
      </w:r>
    </w:p>
    <w:p w14:paraId="0A5DF43F">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三、质量</w:t>
      </w:r>
    </w:p>
    <w:p w14:paraId="4F320C7F">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315E5B65">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四、价款或者报酬</w:t>
      </w:r>
    </w:p>
    <w:p w14:paraId="5D5D9C66">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389BFB92">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五、违约责任</w:t>
      </w:r>
    </w:p>
    <w:p w14:paraId="2A4C030B">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4B78028E">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六、争议解决的办法</w:t>
      </w:r>
    </w:p>
    <w:p w14:paraId="7841A36D">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7DFF298B">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七、其他</w:t>
      </w:r>
    </w:p>
    <w:p w14:paraId="3BCE58DA">
      <w:pPr>
        <w:snapToGrid w:val="0"/>
        <w:spacing w:line="288" w:lineRule="auto"/>
        <w:ind w:firstLine="422" w:firstLineChars="201"/>
        <w:rPr>
          <w:rFonts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u w:val="single"/>
        </w:rPr>
        <w:t>（分包供应商名称）提供的货物全部由小微企业制造，</w:t>
      </w:r>
      <w:r>
        <w:rPr>
          <w:rFonts w:hint="eastAsia" w:ascii="宋体" w:hAnsi="宋体" w:eastAsia="宋体" w:cs="仿宋_GB2312"/>
          <w:color w:val="auto"/>
          <w:kern w:val="0"/>
          <w:szCs w:val="21"/>
          <w:highlight w:val="none"/>
        </w:rPr>
        <w:t>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Times New Roman"/>
          <w:color w:val="auto"/>
          <w:szCs w:val="21"/>
          <w:highlight w:val="none"/>
        </w:rPr>
        <w:t>。</w:t>
      </w:r>
      <w:r>
        <w:rPr>
          <w:rFonts w:hint="eastAsia" w:ascii="宋体" w:hAnsi="宋体" w:eastAsia="宋体" w:cs="仿宋_GB2312"/>
          <w:b/>
          <w:color w:val="auto"/>
          <w:kern w:val="0"/>
          <w:szCs w:val="21"/>
          <w:highlight w:val="none"/>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仿宋_GB2312"/>
          <w:b/>
          <w:color w:val="auto"/>
          <w:kern w:val="0"/>
          <w:szCs w:val="21"/>
          <w:highlight w:val="none"/>
          <w:lang w:val="zh-CN"/>
        </w:rPr>
        <w:t xml:space="preserve"> 30%以上</w:t>
      </w:r>
      <w:r>
        <w:rPr>
          <w:rFonts w:hint="eastAsia" w:ascii="宋体" w:hAnsi="宋体" w:eastAsia="宋体" w:cs="仿宋_GB2312"/>
          <w:b/>
          <w:color w:val="auto"/>
          <w:kern w:val="0"/>
          <w:szCs w:val="21"/>
          <w:highlight w:val="none"/>
          <w:lang w:val="zh-CN"/>
        </w:rPr>
        <w:t>的，对大中型企业的报价给予</w:t>
      </w:r>
      <w:r>
        <w:rPr>
          <w:rFonts w:ascii="宋体" w:hAnsi="宋体" w:eastAsia="宋体" w:cs="仿宋_GB2312"/>
          <w:b/>
          <w:color w:val="auto"/>
          <w:kern w:val="0"/>
          <w:szCs w:val="21"/>
          <w:highlight w:val="none"/>
          <w:lang w:val="zh-CN"/>
        </w:rPr>
        <w:t>6%的扣除</w:t>
      </w:r>
      <w:r>
        <w:rPr>
          <w:rFonts w:hint="eastAsia" w:ascii="宋体" w:hAnsi="宋体" w:eastAsia="宋体" w:cs="仿宋_GB2312"/>
          <w:b/>
          <w:color w:val="auto"/>
          <w:kern w:val="0"/>
          <w:szCs w:val="21"/>
          <w:highlight w:val="none"/>
          <w:lang w:val="zh-CN"/>
        </w:rPr>
        <w:t>）</w:t>
      </w:r>
    </w:p>
    <w:p w14:paraId="0F10E94F">
      <w:pPr>
        <w:snapToGrid w:val="0"/>
        <w:spacing w:line="288" w:lineRule="auto"/>
        <w:rPr>
          <w:rFonts w:ascii="宋体" w:hAnsi="宋体" w:eastAsia="宋体" w:cs="仿宋_GB2312"/>
          <w:color w:val="auto"/>
          <w:kern w:val="0"/>
          <w:szCs w:val="21"/>
          <w:highlight w:val="none"/>
          <w:lang w:val="zh-CN"/>
        </w:rPr>
      </w:pPr>
    </w:p>
    <w:p w14:paraId="2EF941BC">
      <w:pPr>
        <w:snapToGrid w:val="0"/>
        <w:spacing w:line="288" w:lineRule="auto"/>
        <w:ind w:firstLine="422" w:firstLineChars="200"/>
        <w:rPr>
          <w:rFonts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投标人名称（电子签名</w:t>
      </w:r>
      <w:r>
        <w:rPr>
          <w:rFonts w:ascii="宋体" w:hAnsi="宋体" w:eastAsia="宋体" w:cs="仿宋_GB2312"/>
          <w:b/>
          <w:bCs/>
          <w:color w:val="auto"/>
          <w:kern w:val="0"/>
          <w:szCs w:val="21"/>
          <w:highlight w:val="none"/>
          <w:lang w:val="zh-CN"/>
        </w:rPr>
        <w:t>/公章）：</w:t>
      </w:r>
    </w:p>
    <w:p w14:paraId="62680908">
      <w:pPr>
        <w:snapToGrid w:val="0"/>
        <w:spacing w:line="288" w:lineRule="auto"/>
        <w:ind w:firstLine="424" w:firstLineChars="201"/>
        <w:rPr>
          <w:rFonts w:ascii="宋体" w:hAnsi="宋体" w:eastAsia="宋体" w:cs="仿宋_GB2312"/>
          <w:b/>
          <w:bCs/>
          <w:color w:val="auto"/>
          <w:kern w:val="0"/>
          <w:szCs w:val="21"/>
          <w:highlight w:val="none"/>
          <w:lang w:val="zh-CN"/>
        </w:rPr>
      </w:pPr>
    </w:p>
    <w:p w14:paraId="5297DE12">
      <w:pPr>
        <w:snapToGrid w:val="0"/>
        <w:spacing w:line="288" w:lineRule="auto"/>
        <w:ind w:firstLine="424" w:firstLineChars="201"/>
        <w:rPr>
          <w:rFonts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分包供应商名称（电子签名</w:t>
      </w:r>
      <w:r>
        <w:rPr>
          <w:rFonts w:ascii="宋体" w:hAnsi="宋体" w:eastAsia="宋体" w:cs="仿宋_GB2312"/>
          <w:b/>
          <w:bCs/>
          <w:color w:val="auto"/>
          <w:kern w:val="0"/>
          <w:szCs w:val="21"/>
          <w:highlight w:val="none"/>
          <w:lang w:val="zh-CN"/>
        </w:rPr>
        <w:t>/公章）：</w:t>
      </w:r>
    </w:p>
    <w:p w14:paraId="5864C9FD">
      <w:pPr>
        <w:snapToGrid w:val="0"/>
        <w:spacing w:line="288" w:lineRule="auto"/>
        <w:rPr>
          <w:rFonts w:ascii="宋体" w:hAnsi="宋体" w:eastAsia="宋体" w:cs="仿宋_GB2312"/>
          <w:b/>
          <w:bCs/>
          <w:color w:val="auto"/>
          <w:kern w:val="0"/>
          <w:szCs w:val="21"/>
          <w:highlight w:val="none"/>
          <w:lang w:val="zh-CN"/>
        </w:rPr>
      </w:pPr>
    </w:p>
    <w:p w14:paraId="16DF9E6D">
      <w:pPr>
        <w:snapToGrid w:val="0"/>
        <w:spacing w:line="288" w:lineRule="auto"/>
        <w:ind w:firstLine="424" w:firstLineChars="201"/>
        <w:rPr>
          <w:rFonts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1A83CD74">
      <w:pPr>
        <w:rPr>
          <w:rFonts w:ascii="等线" w:hAnsi="等线" w:eastAsia="等线" w:cs="Times New Roman"/>
          <w:color w:val="auto"/>
          <w:highlight w:val="none"/>
        </w:rPr>
      </w:pPr>
    </w:p>
    <w:p w14:paraId="6260C8F6">
      <w:pPr>
        <w:adjustRightInd w:val="0"/>
        <w:snapToGrid w:val="0"/>
        <w:spacing w:line="288" w:lineRule="auto"/>
        <w:rPr>
          <w:rFonts w:ascii="宋体" w:hAnsi="宋体" w:eastAsia="宋体" w:cs="Times New Roman"/>
          <w:b/>
          <w:color w:val="auto"/>
          <w:spacing w:val="-6"/>
          <w:szCs w:val="21"/>
          <w:highlight w:val="none"/>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pple-system">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7E6F5">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4B1D">
    <w:pPr>
      <w:pStyle w:val="16"/>
      <w:jc w:val="center"/>
      <w:rPr>
        <w:rFonts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8ED8">
    <w:pPr>
      <w:pStyle w:val="16"/>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2C07">
    <w:pPr>
      <w:jc w:val="center"/>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3FB30"/>
    <w:multiLevelType w:val="singleLevel"/>
    <w:tmpl w:val="C4E3FB30"/>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5ADB1A3"/>
    <w:multiLevelType w:val="singleLevel"/>
    <w:tmpl w:val="65ADB1A3"/>
    <w:lvl w:ilvl="0" w:tentative="0">
      <w:start w:val="1"/>
      <w:numFmt w:val="chineseCounting"/>
      <w:suff w:val="nothing"/>
      <w:lvlText w:val="第%1，"/>
      <w:lvlJc w:val="left"/>
      <w:rPr>
        <w:rFonts w:hint="eastAsia"/>
      </w:rPr>
    </w:lvl>
  </w:abstractNum>
  <w:abstractNum w:abstractNumId="3">
    <w:nsid w:val="77691ADC"/>
    <w:multiLevelType w:val="singleLevel"/>
    <w:tmpl w:val="77691ADC"/>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NjQyZTEwMThkZmRmNDAyZTZiYmEzYjZiNGZmYTU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2A3E"/>
    <w:rsid w:val="00031311"/>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061E"/>
    <w:rsid w:val="00074377"/>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A4D"/>
    <w:rsid w:val="00111418"/>
    <w:rsid w:val="00112A2A"/>
    <w:rsid w:val="001137C8"/>
    <w:rsid w:val="00117EF1"/>
    <w:rsid w:val="001203D7"/>
    <w:rsid w:val="00120781"/>
    <w:rsid w:val="00121025"/>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17F87"/>
    <w:rsid w:val="00520566"/>
    <w:rsid w:val="00520844"/>
    <w:rsid w:val="00520CCA"/>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A6C9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5549"/>
    <w:rsid w:val="00857757"/>
    <w:rsid w:val="00860FD0"/>
    <w:rsid w:val="008629F4"/>
    <w:rsid w:val="00863A5B"/>
    <w:rsid w:val="0087038D"/>
    <w:rsid w:val="008800E3"/>
    <w:rsid w:val="008807C0"/>
    <w:rsid w:val="008851A9"/>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69AF"/>
    <w:rsid w:val="00937328"/>
    <w:rsid w:val="0093779E"/>
    <w:rsid w:val="00940228"/>
    <w:rsid w:val="00941A94"/>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E41"/>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A88"/>
    <w:rsid w:val="009F6E40"/>
    <w:rsid w:val="00A01CA9"/>
    <w:rsid w:val="00A02B70"/>
    <w:rsid w:val="00A02EC0"/>
    <w:rsid w:val="00A0310D"/>
    <w:rsid w:val="00A033E2"/>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6B0"/>
    <w:rsid w:val="00A63A9C"/>
    <w:rsid w:val="00A63F72"/>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485"/>
    <w:rsid w:val="00B27103"/>
    <w:rsid w:val="00B27134"/>
    <w:rsid w:val="00B27466"/>
    <w:rsid w:val="00B31493"/>
    <w:rsid w:val="00B3468F"/>
    <w:rsid w:val="00B408F4"/>
    <w:rsid w:val="00B41A65"/>
    <w:rsid w:val="00B41BD0"/>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285229"/>
    <w:rsid w:val="01F81427"/>
    <w:rsid w:val="03F93561"/>
    <w:rsid w:val="04C840C5"/>
    <w:rsid w:val="05D34727"/>
    <w:rsid w:val="08931933"/>
    <w:rsid w:val="09306D58"/>
    <w:rsid w:val="0A784062"/>
    <w:rsid w:val="0A851326"/>
    <w:rsid w:val="0ABF3657"/>
    <w:rsid w:val="0AF24B9B"/>
    <w:rsid w:val="0B4A1776"/>
    <w:rsid w:val="0C786503"/>
    <w:rsid w:val="0C9413AC"/>
    <w:rsid w:val="0D1A04C9"/>
    <w:rsid w:val="0E434661"/>
    <w:rsid w:val="0F55482C"/>
    <w:rsid w:val="0F7D2DA5"/>
    <w:rsid w:val="10757130"/>
    <w:rsid w:val="10BE6606"/>
    <w:rsid w:val="112B34AD"/>
    <w:rsid w:val="11DF3E08"/>
    <w:rsid w:val="11FF5827"/>
    <w:rsid w:val="1241657B"/>
    <w:rsid w:val="12AD3208"/>
    <w:rsid w:val="16694FE2"/>
    <w:rsid w:val="169326D4"/>
    <w:rsid w:val="173D2504"/>
    <w:rsid w:val="18090C43"/>
    <w:rsid w:val="1820601B"/>
    <w:rsid w:val="18FB5F15"/>
    <w:rsid w:val="1B321622"/>
    <w:rsid w:val="1C9E2B33"/>
    <w:rsid w:val="1D886D0B"/>
    <w:rsid w:val="1ED61CF8"/>
    <w:rsid w:val="1F9C38D3"/>
    <w:rsid w:val="20175E92"/>
    <w:rsid w:val="20767551"/>
    <w:rsid w:val="208714FC"/>
    <w:rsid w:val="21110DC5"/>
    <w:rsid w:val="21380A0A"/>
    <w:rsid w:val="21DB64E2"/>
    <w:rsid w:val="221C4C30"/>
    <w:rsid w:val="22A70B6C"/>
    <w:rsid w:val="23C14303"/>
    <w:rsid w:val="23FF4622"/>
    <w:rsid w:val="2555021A"/>
    <w:rsid w:val="267267AA"/>
    <w:rsid w:val="27432BC1"/>
    <w:rsid w:val="27BD1A2E"/>
    <w:rsid w:val="27F0275A"/>
    <w:rsid w:val="28580092"/>
    <w:rsid w:val="28BC23D4"/>
    <w:rsid w:val="2AA10ED5"/>
    <w:rsid w:val="2ADA0518"/>
    <w:rsid w:val="2B733F84"/>
    <w:rsid w:val="2C403817"/>
    <w:rsid w:val="2C921974"/>
    <w:rsid w:val="2DA35CF6"/>
    <w:rsid w:val="2DBE14C9"/>
    <w:rsid w:val="2E220BEA"/>
    <w:rsid w:val="2F6A64D8"/>
    <w:rsid w:val="301765BD"/>
    <w:rsid w:val="30616EA9"/>
    <w:rsid w:val="313E5C07"/>
    <w:rsid w:val="31A44D82"/>
    <w:rsid w:val="31EC174B"/>
    <w:rsid w:val="32BE120D"/>
    <w:rsid w:val="32C33C1C"/>
    <w:rsid w:val="330C0EF9"/>
    <w:rsid w:val="33506DE6"/>
    <w:rsid w:val="33E95481"/>
    <w:rsid w:val="344B5501"/>
    <w:rsid w:val="35A54CED"/>
    <w:rsid w:val="37534CA7"/>
    <w:rsid w:val="37D824F1"/>
    <w:rsid w:val="3A3519D1"/>
    <w:rsid w:val="3ACE7AB8"/>
    <w:rsid w:val="3AFF06C5"/>
    <w:rsid w:val="3B0C4DFA"/>
    <w:rsid w:val="3C1B1576"/>
    <w:rsid w:val="3C4D26C6"/>
    <w:rsid w:val="3D044EFC"/>
    <w:rsid w:val="3D714641"/>
    <w:rsid w:val="3E6946AD"/>
    <w:rsid w:val="3E907376"/>
    <w:rsid w:val="3EB60CB3"/>
    <w:rsid w:val="3EC436F9"/>
    <w:rsid w:val="3F740895"/>
    <w:rsid w:val="3FB93DC6"/>
    <w:rsid w:val="400F48E4"/>
    <w:rsid w:val="402A691C"/>
    <w:rsid w:val="403A1C8F"/>
    <w:rsid w:val="40E165AE"/>
    <w:rsid w:val="422E66F3"/>
    <w:rsid w:val="4275164D"/>
    <w:rsid w:val="430A3262"/>
    <w:rsid w:val="4488746D"/>
    <w:rsid w:val="448F18B0"/>
    <w:rsid w:val="46A824B9"/>
    <w:rsid w:val="46BB170B"/>
    <w:rsid w:val="47510906"/>
    <w:rsid w:val="47D66741"/>
    <w:rsid w:val="495D70F7"/>
    <w:rsid w:val="49E669E4"/>
    <w:rsid w:val="4A5E5147"/>
    <w:rsid w:val="4B0275FC"/>
    <w:rsid w:val="4B7D5F80"/>
    <w:rsid w:val="4BD458ED"/>
    <w:rsid w:val="4BF40741"/>
    <w:rsid w:val="4C5E019B"/>
    <w:rsid w:val="4E724CEA"/>
    <w:rsid w:val="4F64249F"/>
    <w:rsid w:val="4F6E1200"/>
    <w:rsid w:val="4FEE189E"/>
    <w:rsid w:val="50A1482A"/>
    <w:rsid w:val="53F038EA"/>
    <w:rsid w:val="596674B0"/>
    <w:rsid w:val="59BA69E3"/>
    <w:rsid w:val="5A661DF4"/>
    <w:rsid w:val="5ACF0178"/>
    <w:rsid w:val="5B3F5F54"/>
    <w:rsid w:val="5B535726"/>
    <w:rsid w:val="5B5E287E"/>
    <w:rsid w:val="5BAA02DF"/>
    <w:rsid w:val="5C3E17F9"/>
    <w:rsid w:val="5CD5691D"/>
    <w:rsid w:val="5D3A6920"/>
    <w:rsid w:val="5D8135CC"/>
    <w:rsid w:val="600446EC"/>
    <w:rsid w:val="600D2EE6"/>
    <w:rsid w:val="61A6685E"/>
    <w:rsid w:val="62127F1E"/>
    <w:rsid w:val="621760F6"/>
    <w:rsid w:val="62246B60"/>
    <w:rsid w:val="644041B0"/>
    <w:rsid w:val="644F1ACD"/>
    <w:rsid w:val="67FF1998"/>
    <w:rsid w:val="680D1D99"/>
    <w:rsid w:val="69344E2D"/>
    <w:rsid w:val="69431270"/>
    <w:rsid w:val="6A1A2066"/>
    <w:rsid w:val="6A7F4F75"/>
    <w:rsid w:val="6ACA16F9"/>
    <w:rsid w:val="6ADF127C"/>
    <w:rsid w:val="6B0F32F3"/>
    <w:rsid w:val="6B16774A"/>
    <w:rsid w:val="6BBD3B1A"/>
    <w:rsid w:val="6CE77AD2"/>
    <w:rsid w:val="6CE90920"/>
    <w:rsid w:val="6ECE2681"/>
    <w:rsid w:val="6ED07EFC"/>
    <w:rsid w:val="700B5C22"/>
    <w:rsid w:val="709D6190"/>
    <w:rsid w:val="717165A8"/>
    <w:rsid w:val="72340F9C"/>
    <w:rsid w:val="728D7448"/>
    <w:rsid w:val="74EB1DB0"/>
    <w:rsid w:val="75B93A51"/>
    <w:rsid w:val="75C12BF5"/>
    <w:rsid w:val="774152C9"/>
    <w:rsid w:val="792B035F"/>
    <w:rsid w:val="793070F8"/>
    <w:rsid w:val="79D825C1"/>
    <w:rsid w:val="7B5D131E"/>
    <w:rsid w:val="7DB41B16"/>
    <w:rsid w:val="7DCF070E"/>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6"/>
    <w:qFormat/>
    <w:uiPriority w:val="0"/>
    <w:pPr>
      <w:ind w:firstLine="420"/>
    </w:pPr>
    <w:rPr>
      <w:rFonts w:eastAsia="宋体"/>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43"/>
    <w:unhideWhenUsed/>
    <w:qFormat/>
    <w:uiPriority w:val="99"/>
    <w:rPr>
      <w:rFonts w:ascii="宋体"/>
      <w:sz w:val="18"/>
      <w:szCs w:val="18"/>
    </w:rPr>
  </w:style>
  <w:style w:type="paragraph" w:styleId="9">
    <w:name w:val="annotation text"/>
    <w:basedOn w:val="1"/>
    <w:link w:val="80"/>
    <w:unhideWhenUsed/>
    <w:qFormat/>
    <w:uiPriority w:val="99"/>
    <w:pPr>
      <w:jc w:val="left"/>
    </w:pPr>
  </w:style>
  <w:style w:type="paragraph" w:styleId="10">
    <w:name w:val="Body Text"/>
    <w:basedOn w:val="1"/>
    <w:next w:val="1"/>
    <w:link w:val="83"/>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0"/>
    <w:qFormat/>
    <w:uiPriority w:val="0"/>
    <w:pPr>
      <w:spacing w:line="200" w:lineRule="atLeast"/>
      <w:ind w:firstLine="301"/>
    </w:pPr>
    <w:rPr>
      <w:rFonts w:ascii="宋体" w:hAnsi="Courier New"/>
      <w:spacing w:val="-4"/>
      <w:sz w:val="18"/>
    </w:rPr>
  </w:style>
  <w:style w:type="paragraph" w:styleId="12">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5"/>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6"/>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4"/>
    <w:qFormat/>
    <w:uiPriority w:val="0"/>
    <w:rPr>
      <w:rFonts w:ascii="Times New Roman" w:hAnsi="Times New Roman" w:eastAsia="宋体" w:cs="Times New Roman"/>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9"/>
    <w:next w:val="9"/>
    <w:link w:val="56"/>
    <w:unhideWhenUsed/>
    <w:qFormat/>
    <w:uiPriority w:val="99"/>
    <w:rPr>
      <w:b/>
      <w:bCs/>
      <w:sz w:val="28"/>
      <w:szCs w:val="24"/>
    </w:rPr>
  </w:style>
  <w:style w:type="paragraph" w:styleId="22">
    <w:name w:val="Body Text First Indent 2"/>
    <w:basedOn w:val="11"/>
    <w:link w:val="88"/>
    <w:unhideWhenUsed/>
    <w:qFormat/>
    <w:uiPriority w:val="99"/>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HTML Definition"/>
    <w:unhideWhenUsed/>
    <w:qFormat/>
    <w:uiPriority w:val="99"/>
    <w:rPr>
      <w:i/>
    </w:rPr>
  </w:style>
  <w:style w:type="character" w:styleId="30">
    <w:name w:val="Hyperlink"/>
    <w:qFormat/>
    <w:uiPriority w:val="0"/>
    <w:rPr>
      <w:color w:val="5579A7"/>
      <w:u w:val="none"/>
    </w:rPr>
  </w:style>
  <w:style w:type="character" w:styleId="31">
    <w:name w:val="HTML Code"/>
    <w:unhideWhenUsed/>
    <w:qFormat/>
    <w:uiPriority w:val="99"/>
    <w:rPr>
      <w:rFonts w:ascii="-apple-system" w:hAnsi="-apple-system" w:eastAsia="-apple-system" w:cs="-apple-system"/>
      <w:sz w:val="21"/>
      <w:szCs w:val="21"/>
    </w:rPr>
  </w:style>
  <w:style w:type="character" w:styleId="32">
    <w:name w:val="annotation reference"/>
    <w:unhideWhenUsed/>
    <w:qFormat/>
    <w:uiPriority w:val="99"/>
    <w:rPr>
      <w:sz w:val="21"/>
      <w:szCs w:val="21"/>
    </w:rPr>
  </w:style>
  <w:style w:type="character" w:styleId="33">
    <w:name w:val="HTML Keyboard"/>
    <w:unhideWhenUsed/>
    <w:qFormat/>
    <w:uiPriority w:val="99"/>
    <w:rPr>
      <w:rFonts w:hint="default" w:ascii="-apple-system" w:hAnsi="-apple-system" w:eastAsia="-apple-system" w:cs="-apple-system"/>
      <w:sz w:val="21"/>
      <w:szCs w:val="21"/>
    </w:rPr>
  </w:style>
  <w:style w:type="character" w:styleId="34">
    <w:name w:val="HTML Sample"/>
    <w:unhideWhenUsed/>
    <w:qFormat/>
    <w:uiPriority w:val="99"/>
    <w:rPr>
      <w:rFonts w:hint="default" w:ascii="-apple-system" w:hAnsi="-apple-system" w:eastAsia="-apple-system" w:cs="-apple-system"/>
      <w:sz w:val="21"/>
      <w:szCs w:val="21"/>
    </w:rPr>
  </w:style>
  <w:style w:type="character" w:customStyle="1" w:styleId="35">
    <w:name w:val="页眉 字符"/>
    <w:basedOn w:val="25"/>
    <w:link w:val="17"/>
    <w:qFormat/>
    <w:uiPriority w:val="99"/>
    <w:rPr>
      <w:sz w:val="18"/>
      <w:szCs w:val="18"/>
    </w:rPr>
  </w:style>
  <w:style w:type="character" w:customStyle="1" w:styleId="36">
    <w:name w:val="页脚 字符"/>
    <w:basedOn w:val="25"/>
    <w:link w:val="16"/>
    <w:qFormat/>
    <w:uiPriority w:val="99"/>
    <w:rPr>
      <w:sz w:val="18"/>
      <w:szCs w:val="18"/>
    </w:rPr>
  </w:style>
  <w:style w:type="character" w:customStyle="1" w:styleId="37">
    <w:name w:val="标题 1 字符"/>
    <w:basedOn w:val="25"/>
    <w:link w:val="2"/>
    <w:qFormat/>
    <w:uiPriority w:val="9"/>
    <w:rPr>
      <w:rFonts w:ascii="Times New Roman" w:hAnsi="Times New Roman" w:eastAsia="宋体" w:cs="Times New Roman"/>
      <w:b/>
      <w:bCs/>
      <w:kern w:val="44"/>
      <w:sz w:val="44"/>
      <w:szCs w:val="44"/>
    </w:rPr>
  </w:style>
  <w:style w:type="character" w:customStyle="1" w:styleId="38">
    <w:name w:val="标题 2 字符"/>
    <w:basedOn w:val="25"/>
    <w:link w:val="3"/>
    <w:qFormat/>
    <w:uiPriority w:val="9"/>
    <w:rPr>
      <w:rFonts w:ascii="Cambria" w:hAnsi="Cambria" w:eastAsia="宋体" w:cs="Times New Roman"/>
      <w:b/>
      <w:bCs/>
      <w:sz w:val="32"/>
      <w:szCs w:val="32"/>
    </w:rPr>
  </w:style>
  <w:style w:type="character" w:customStyle="1" w:styleId="39">
    <w:name w:val="标题 3 字符"/>
    <w:basedOn w:val="25"/>
    <w:link w:val="4"/>
    <w:qFormat/>
    <w:uiPriority w:val="9"/>
    <w:rPr>
      <w:rFonts w:ascii="Times New Roman" w:hAnsi="Times New Roman" w:eastAsia="宋体" w:cs="Times New Roman"/>
      <w:b/>
      <w:bCs/>
      <w:sz w:val="32"/>
      <w:szCs w:val="32"/>
    </w:rPr>
  </w:style>
  <w:style w:type="character" w:customStyle="1" w:styleId="40">
    <w:name w:val="jbox-icon-none"/>
    <w:qFormat/>
    <w:uiPriority w:val="0"/>
    <w:rPr>
      <w:vanish/>
    </w:rPr>
  </w:style>
  <w:style w:type="character" w:customStyle="1" w:styleId="41">
    <w:name w:val="z-窗体底端 字符"/>
    <w:link w:val="42"/>
    <w:qFormat/>
    <w:uiPriority w:val="99"/>
    <w:rPr>
      <w:rFonts w:ascii="Arial" w:hAnsi="Arial"/>
      <w:vanish/>
      <w:sz w:val="16"/>
      <w:szCs w:val="16"/>
    </w:rPr>
  </w:style>
  <w:style w:type="paragraph" w:customStyle="1" w:styleId="42">
    <w:name w:val="z-窗体底端1"/>
    <w:basedOn w:val="1"/>
    <w:next w:val="1"/>
    <w:link w:val="41"/>
    <w:unhideWhenUsed/>
    <w:qFormat/>
    <w:uiPriority w:val="99"/>
    <w:pPr>
      <w:widowControl/>
      <w:pBdr>
        <w:top w:val="single" w:color="auto" w:sz="6" w:space="1"/>
      </w:pBdr>
      <w:jc w:val="center"/>
    </w:pPr>
    <w:rPr>
      <w:rFonts w:ascii="Arial" w:hAnsi="Arial"/>
      <w:vanish/>
      <w:sz w:val="16"/>
      <w:szCs w:val="16"/>
    </w:rPr>
  </w:style>
  <w:style w:type="character" w:customStyle="1" w:styleId="43">
    <w:name w:val="文档结构图 字符"/>
    <w:link w:val="8"/>
    <w:qFormat/>
    <w:uiPriority w:val="99"/>
    <w:rPr>
      <w:rFonts w:ascii="宋体"/>
      <w:sz w:val="18"/>
      <w:szCs w:val="18"/>
    </w:rPr>
  </w:style>
  <w:style w:type="character" w:customStyle="1" w:styleId="44">
    <w:name w:val="black601"/>
    <w:qFormat/>
    <w:uiPriority w:val="0"/>
    <w:rPr>
      <w:color w:val="666666"/>
    </w:rPr>
  </w:style>
  <w:style w:type="character" w:customStyle="1" w:styleId="45">
    <w:name w:val="hour_pm"/>
    <w:basedOn w:val="25"/>
    <w:qFormat/>
    <w:uiPriority w:val="0"/>
  </w:style>
  <w:style w:type="character" w:customStyle="1" w:styleId="46">
    <w:name w:val="正文缩进 字符"/>
    <w:link w:val="6"/>
    <w:qFormat/>
    <w:uiPriority w:val="0"/>
    <w:rPr>
      <w:rFonts w:eastAsia="宋体"/>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jbox-icon-info"/>
    <w:basedOn w:val="25"/>
    <w:qFormat/>
    <w:uiPriority w:val="0"/>
  </w:style>
  <w:style w:type="character" w:customStyle="1" w:styleId="49">
    <w:name w:val="hover9"/>
    <w:qFormat/>
    <w:uiPriority w:val="0"/>
    <w:rPr>
      <w:shd w:val="clear" w:color="auto" w:fill="EEEEEE"/>
    </w:rPr>
  </w:style>
  <w:style w:type="character" w:customStyle="1" w:styleId="50">
    <w:name w:val="maywed421"/>
    <w:qFormat/>
    <w:uiPriority w:val="0"/>
    <w:rPr>
      <w:color w:val="366FB6"/>
      <w:u w:val="none"/>
    </w:rPr>
  </w:style>
  <w:style w:type="character" w:customStyle="1" w:styleId="51">
    <w:name w:val="old"/>
    <w:qFormat/>
    <w:uiPriority w:val="0"/>
    <w:rPr>
      <w:color w:val="999999"/>
    </w:rPr>
  </w:style>
  <w:style w:type="character" w:customStyle="1" w:styleId="52">
    <w:name w:val="jbox-icon-warning"/>
    <w:basedOn w:val="25"/>
    <w:qFormat/>
    <w:uiPriority w:val="0"/>
  </w:style>
  <w:style w:type="character" w:customStyle="1" w:styleId="53">
    <w:name w:val="z-窗体顶端 字符"/>
    <w:link w:val="54"/>
    <w:qFormat/>
    <w:uiPriority w:val="99"/>
    <w:rPr>
      <w:rFonts w:ascii="Arial" w:hAnsi="Arial"/>
      <w:vanish/>
      <w:sz w:val="16"/>
      <w:szCs w:val="16"/>
    </w:rPr>
  </w:style>
  <w:style w:type="paragraph" w:customStyle="1" w:styleId="54">
    <w:name w:val="z-窗体顶端1"/>
    <w:basedOn w:val="1"/>
    <w:next w:val="1"/>
    <w:link w:val="53"/>
    <w:unhideWhenUsed/>
    <w:qFormat/>
    <w:uiPriority w:val="99"/>
    <w:pPr>
      <w:widowControl/>
      <w:pBdr>
        <w:bottom w:val="single" w:color="auto" w:sz="6" w:space="1"/>
      </w:pBdr>
      <w:jc w:val="center"/>
    </w:pPr>
    <w:rPr>
      <w:rFonts w:ascii="Arial" w:hAnsi="Arial"/>
      <w:vanish/>
      <w:sz w:val="16"/>
      <w:szCs w:val="16"/>
    </w:rPr>
  </w:style>
  <w:style w:type="character" w:customStyle="1" w:styleId="55">
    <w:name w:val="纯文本 字符1"/>
    <w:link w:val="13"/>
    <w:qFormat/>
    <w:uiPriority w:val="99"/>
    <w:rPr>
      <w:rFonts w:ascii="宋体" w:hAnsi="Courier New"/>
      <w:sz w:val="24"/>
      <w:szCs w:val="24"/>
    </w:rPr>
  </w:style>
  <w:style w:type="character" w:customStyle="1" w:styleId="56">
    <w:name w:val="批注主题 字符"/>
    <w:link w:val="21"/>
    <w:qFormat/>
    <w:uiPriority w:val="99"/>
    <w:rPr>
      <w:b/>
      <w:bCs/>
      <w:sz w:val="28"/>
      <w:szCs w:val="24"/>
    </w:rPr>
  </w:style>
  <w:style w:type="character" w:customStyle="1" w:styleId="57">
    <w:name w:val="jbox-icon-loading"/>
    <w:basedOn w:val="25"/>
    <w:qFormat/>
    <w:uiPriority w:val="0"/>
  </w:style>
  <w:style w:type="character" w:customStyle="1" w:styleId="58">
    <w:name w:val="正文文本缩进 字符"/>
    <w:qFormat/>
    <w:uiPriority w:val="0"/>
    <w:rPr>
      <w:rFonts w:ascii="宋体" w:hAnsi="Courier New"/>
      <w:spacing w:val="-4"/>
      <w:kern w:val="2"/>
      <w:sz w:val="18"/>
    </w:rPr>
  </w:style>
  <w:style w:type="character" w:customStyle="1" w:styleId="59">
    <w:name w:val="正文文本缩进 字符1"/>
    <w:qFormat/>
    <w:uiPriority w:val="0"/>
    <w:rPr>
      <w:rFonts w:ascii="宋体" w:hAnsi="Courier New"/>
      <w:spacing w:val="-4"/>
      <w:kern w:val="2"/>
      <w:sz w:val="18"/>
    </w:rPr>
  </w:style>
  <w:style w:type="character" w:customStyle="1" w:styleId="60">
    <w:name w:val="纯文本 字符"/>
    <w:qFormat/>
    <w:uiPriority w:val="99"/>
    <w:rPr>
      <w:rFonts w:ascii="宋体" w:hAnsi="Courier New"/>
      <w:kern w:val="2"/>
      <w:sz w:val="24"/>
      <w:szCs w:val="24"/>
    </w:rPr>
  </w:style>
  <w:style w:type="character" w:customStyle="1" w:styleId="61">
    <w:name w:val="jbox-icon-question"/>
    <w:basedOn w:val="25"/>
    <w:qFormat/>
    <w:uiPriority w:val="0"/>
  </w:style>
  <w:style w:type="character" w:customStyle="1" w:styleId="62">
    <w:name w:val="jbox-icon"/>
    <w:basedOn w:val="25"/>
    <w:qFormat/>
    <w:uiPriority w:val="0"/>
  </w:style>
  <w:style w:type="character" w:customStyle="1" w:styleId="63">
    <w:name w:val="纯文本 字符2"/>
    <w:qFormat/>
    <w:uiPriority w:val="99"/>
    <w:rPr>
      <w:rFonts w:ascii="宋体" w:hAnsi="Courier New"/>
      <w:kern w:val="2"/>
      <w:sz w:val="24"/>
      <w:szCs w:val="24"/>
    </w:rPr>
  </w:style>
  <w:style w:type="character" w:customStyle="1" w:styleId="64">
    <w:name w:val="hour_am"/>
    <w:basedOn w:val="25"/>
    <w:qFormat/>
    <w:uiPriority w:val="0"/>
  </w:style>
  <w:style w:type="character" w:customStyle="1" w:styleId="65">
    <w:name w:val="jbox-icon-success"/>
    <w:basedOn w:val="25"/>
    <w:qFormat/>
    <w:uiPriority w:val="0"/>
  </w:style>
  <w:style w:type="character" w:customStyle="1" w:styleId="66">
    <w:name w:val="批注文字 字符"/>
    <w:qFormat/>
    <w:uiPriority w:val="99"/>
    <w:rPr>
      <w:kern w:val="2"/>
      <w:sz w:val="28"/>
      <w:szCs w:val="24"/>
    </w:rPr>
  </w:style>
  <w:style w:type="character" w:customStyle="1" w:styleId="67">
    <w:name w:val="纯文本 Char1"/>
    <w:qFormat/>
    <w:uiPriority w:val="0"/>
    <w:rPr>
      <w:rFonts w:ascii="宋体" w:hAnsi="Courier New"/>
      <w:kern w:val="2"/>
      <w:sz w:val="21"/>
    </w:rPr>
  </w:style>
  <w:style w:type="character" w:customStyle="1" w:styleId="68">
    <w:name w:val="纯文本 Char"/>
    <w:qFormat/>
    <w:uiPriority w:val="99"/>
    <w:rPr>
      <w:rFonts w:ascii="宋体" w:hAnsi="Courier New"/>
      <w:kern w:val="2"/>
      <w:sz w:val="24"/>
      <w:szCs w:val="24"/>
    </w:rPr>
  </w:style>
  <w:style w:type="character" w:customStyle="1" w:styleId="69">
    <w:name w:val="sub_title s0"/>
    <w:basedOn w:val="25"/>
    <w:qFormat/>
    <w:uiPriority w:val="0"/>
  </w:style>
  <w:style w:type="character" w:customStyle="1" w:styleId="70">
    <w:name w:val="正文文本缩进 字符2"/>
    <w:link w:val="11"/>
    <w:qFormat/>
    <w:uiPriority w:val="0"/>
    <w:rPr>
      <w:rFonts w:ascii="宋体" w:hAnsi="Courier New"/>
      <w:spacing w:val="-4"/>
      <w:sz w:val="18"/>
    </w:rPr>
  </w:style>
  <w:style w:type="character" w:customStyle="1" w:styleId="71">
    <w:name w:val="jbox-icon-error"/>
    <w:basedOn w:val="25"/>
    <w:qFormat/>
    <w:uiPriority w:val="0"/>
  </w:style>
  <w:style w:type="character" w:customStyle="1" w:styleId="72">
    <w:name w:val="正文文本 2 字符"/>
    <w:basedOn w:val="25"/>
    <w:link w:val="19"/>
    <w:qFormat/>
    <w:uiPriority w:val="0"/>
    <w:rPr>
      <w:rFonts w:ascii="宋体" w:hAnsi="宋体" w:eastAsia="宋体" w:cs="Times New Roman"/>
      <w:color w:val="000000"/>
      <w:sz w:val="24"/>
      <w:szCs w:val="24"/>
    </w:rPr>
  </w:style>
  <w:style w:type="paragraph" w:customStyle="1" w:styleId="7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z-窗体顶端 字符1"/>
    <w:basedOn w:val="25"/>
    <w:semiHidden/>
    <w:qFormat/>
    <w:uiPriority w:val="99"/>
    <w:rPr>
      <w:rFonts w:ascii="Arial" w:hAnsi="Arial" w:cs="Arial"/>
      <w:vanish/>
      <w:sz w:val="16"/>
      <w:szCs w:val="16"/>
    </w:rPr>
  </w:style>
  <w:style w:type="paragraph" w:customStyle="1" w:styleId="7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79">
    <w:name w:val="Default"/>
    <w:next w:val="7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0">
    <w:name w:val="批注文字 字符1"/>
    <w:basedOn w:val="25"/>
    <w:link w:val="9"/>
    <w:semiHidden/>
    <w:qFormat/>
    <w:uiPriority w:val="99"/>
  </w:style>
  <w:style w:type="character" w:customStyle="1" w:styleId="81">
    <w:name w:val="批注主题 字符1"/>
    <w:basedOn w:val="80"/>
    <w:semiHidden/>
    <w:qFormat/>
    <w:uiPriority w:val="99"/>
    <w:rPr>
      <w:b/>
      <w:bCs/>
    </w:rPr>
  </w:style>
  <w:style w:type="character" w:customStyle="1" w:styleId="82">
    <w:name w:val="文档结构图 字符1"/>
    <w:basedOn w:val="25"/>
    <w:semiHidden/>
    <w:qFormat/>
    <w:uiPriority w:val="99"/>
    <w:rPr>
      <w:rFonts w:ascii="Microsoft YaHei UI" w:eastAsia="Microsoft YaHei UI"/>
      <w:sz w:val="18"/>
      <w:szCs w:val="18"/>
    </w:rPr>
  </w:style>
  <w:style w:type="character" w:customStyle="1" w:styleId="83">
    <w:name w:val="正文文本 字符"/>
    <w:basedOn w:val="25"/>
    <w:link w:val="10"/>
    <w:qFormat/>
    <w:uiPriority w:val="99"/>
    <w:rPr>
      <w:rFonts w:ascii="Times New Roman" w:hAnsi="Times New Roman" w:eastAsia="宋体" w:cs="Times New Roman"/>
      <w:sz w:val="28"/>
      <w:szCs w:val="24"/>
    </w:rPr>
  </w:style>
  <w:style w:type="character" w:customStyle="1" w:styleId="84">
    <w:name w:val="批注框文本 字符"/>
    <w:basedOn w:val="25"/>
    <w:link w:val="15"/>
    <w:qFormat/>
    <w:uiPriority w:val="0"/>
    <w:rPr>
      <w:rFonts w:ascii="Times New Roman" w:hAnsi="Times New Roman" w:eastAsia="宋体" w:cs="Times New Roman"/>
      <w:sz w:val="18"/>
      <w:szCs w:val="18"/>
    </w:rPr>
  </w:style>
  <w:style w:type="character" w:customStyle="1" w:styleId="85">
    <w:name w:val="正文文本缩进 字符3"/>
    <w:basedOn w:val="25"/>
    <w:semiHidden/>
    <w:qFormat/>
    <w:uiPriority w:val="99"/>
  </w:style>
  <w:style w:type="character" w:customStyle="1" w:styleId="86">
    <w:name w:val="日期 字符"/>
    <w:basedOn w:val="25"/>
    <w:link w:val="14"/>
    <w:qFormat/>
    <w:uiPriority w:val="0"/>
    <w:rPr>
      <w:rFonts w:ascii="Times New Roman" w:hAnsi="Times New Roman" w:eastAsia="楷体_GB2312" w:cs="Times New Roman"/>
      <w:sz w:val="32"/>
      <w:szCs w:val="20"/>
    </w:rPr>
  </w:style>
  <w:style w:type="character" w:customStyle="1" w:styleId="87">
    <w:name w:val="纯文本 字符3"/>
    <w:basedOn w:val="25"/>
    <w:semiHidden/>
    <w:qFormat/>
    <w:uiPriority w:val="99"/>
    <w:rPr>
      <w:rFonts w:hAnsi="Courier New" w:cs="Courier New" w:asciiTheme="minorEastAsia"/>
    </w:rPr>
  </w:style>
  <w:style w:type="character" w:customStyle="1" w:styleId="88">
    <w:name w:val="正文文本首行缩进 2 字符"/>
    <w:basedOn w:val="85"/>
    <w:link w:val="22"/>
    <w:qFormat/>
    <w:uiPriority w:val="99"/>
    <w:rPr>
      <w:rFonts w:ascii="宋体" w:hAnsi="Courier New"/>
      <w:spacing w:val="-4"/>
      <w:sz w:val="18"/>
    </w:rPr>
  </w:style>
  <w:style w:type="character" w:customStyle="1" w:styleId="89">
    <w:name w:val="z-窗体底端 字符1"/>
    <w:basedOn w:val="25"/>
    <w:semiHidden/>
    <w:qFormat/>
    <w:uiPriority w:val="99"/>
    <w:rPr>
      <w:rFonts w:ascii="Arial" w:hAnsi="Arial" w:cs="Arial"/>
      <w:vanish/>
      <w:sz w:val="16"/>
      <w:szCs w:val="16"/>
    </w:rPr>
  </w:style>
  <w:style w:type="paragraph" w:customStyle="1" w:styleId="90">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1">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Char Char Char Char1"/>
    <w:basedOn w:val="1"/>
    <w:qFormat/>
    <w:uiPriority w:val="0"/>
    <w:rPr>
      <w:rFonts w:ascii="Tahoma" w:hAnsi="Tahoma" w:eastAsia="宋体" w:cs="Times New Roman"/>
      <w:sz w:val="24"/>
      <w:szCs w:val="20"/>
    </w:rPr>
  </w:style>
  <w:style w:type="paragraph" w:customStyle="1" w:styleId="96">
    <w:name w:val="彩色列表 - 强调文字颜色 11"/>
    <w:basedOn w:val="1"/>
    <w:qFormat/>
    <w:uiPriority w:val="34"/>
    <w:pPr>
      <w:ind w:firstLine="420" w:firstLineChars="200"/>
    </w:pPr>
    <w:rPr>
      <w:rFonts w:ascii="Calibri" w:hAnsi="Calibri" w:eastAsia="宋体" w:cs="Times New Roman"/>
    </w:rPr>
  </w:style>
  <w:style w:type="paragraph" w:customStyle="1" w:styleId="97">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8">
    <w:name w:val="正文2"/>
    <w:basedOn w:val="1"/>
    <w:link w:val="107"/>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9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0">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3">
    <w:name w:val="标题 10"/>
    <w:basedOn w:val="3"/>
    <w:qFormat/>
    <w:uiPriority w:val="0"/>
    <w:pPr>
      <w:jc w:val="center"/>
    </w:pPr>
    <w:rPr>
      <w:kern w:val="0"/>
    </w:rPr>
  </w:style>
  <w:style w:type="character" w:customStyle="1" w:styleId="104">
    <w:name w:val="未处理的提及1"/>
    <w:semiHidden/>
    <w:unhideWhenUsed/>
    <w:qFormat/>
    <w:uiPriority w:val="99"/>
    <w:rPr>
      <w:color w:val="605E5C"/>
      <w:shd w:val="clear" w:color="auto" w:fill="E1DFDD"/>
    </w:rPr>
  </w:style>
  <w:style w:type="character" w:customStyle="1" w:styleId="105">
    <w:name w:val="未处理的提及2"/>
    <w:basedOn w:val="25"/>
    <w:semiHidden/>
    <w:unhideWhenUsed/>
    <w:qFormat/>
    <w:uiPriority w:val="99"/>
    <w:rPr>
      <w:color w:val="605E5C"/>
      <w:shd w:val="clear" w:color="auto" w:fill="E1DFDD"/>
    </w:rPr>
  </w:style>
  <w:style w:type="character" w:customStyle="1" w:styleId="106">
    <w:name w:val="Unresolved Mention"/>
    <w:basedOn w:val="25"/>
    <w:semiHidden/>
    <w:unhideWhenUsed/>
    <w:qFormat/>
    <w:uiPriority w:val="99"/>
    <w:rPr>
      <w:color w:val="605E5C"/>
      <w:shd w:val="clear" w:color="auto" w:fill="E1DFDD"/>
    </w:rPr>
  </w:style>
  <w:style w:type="character" w:customStyle="1" w:styleId="107">
    <w:name w:val="正文2 Char Char"/>
    <w:link w:val="98"/>
    <w:qFormat/>
    <w:uiPriority w:val="0"/>
    <w:rPr>
      <w:kern w:val="2"/>
      <w:sz w:val="24"/>
    </w:rPr>
  </w:style>
  <w:style w:type="table" w:customStyle="1" w:styleId="10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15"/>
    <w:basedOn w:val="25"/>
    <w:autoRedefine/>
    <w:qFormat/>
    <w:uiPriority w:val="0"/>
    <w:rPr>
      <w:rFonts w:hint="default" w:ascii="Calibri" w:hAnsi="Calibri" w:cs="Calibri"/>
      <w:b/>
    </w:rPr>
  </w:style>
  <w:style w:type="table" w:customStyle="1" w:styleId="110">
    <w:name w:val="网格型11"/>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27721</Words>
  <Characters>29052</Characters>
  <Lines>220</Lines>
  <Paragraphs>61</Paragraphs>
  <TotalTime>3</TotalTime>
  <ScaleCrop>false</ScaleCrop>
  <LinksUpToDate>false</LinksUpToDate>
  <CharactersWithSpaces>30084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温瑶</cp:lastModifiedBy>
  <cp:lastPrinted>2022-10-31T00:58:00Z</cp:lastPrinted>
  <dcterms:modified xsi:type="dcterms:W3CDTF">2024-11-22T02:12:07Z</dcterms:modified>
  <cp:revision>1053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B363B45C01FF4C5A8AB2573BD522DAF7</vt:lpwstr>
  </property>
</Properties>
</file>