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88" w:lineRule="auto"/>
        <w:ind w:right="62" w:firstLine="643" w:firstLineChars="200"/>
        <w:jc w:val="center"/>
        <w:outlineLvl w:val="0"/>
        <w:rPr>
          <w:rFonts w:ascii="宋体" w:hAnsi="宋体" w:cs="宋体"/>
          <w:spacing w:val="-6"/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采购需求</w:t>
      </w:r>
    </w:p>
    <w:p>
      <w:pPr>
        <w:adjustRightInd w:val="0"/>
        <w:snapToGrid w:val="0"/>
        <w:spacing w:line="288" w:lineRule="auto"/>
        <w:rPr>
          <w:rFonts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288" w:lineRule="auto"/>
        <w:outlineLvl w:val="1"/>
        <w:rPr>
          <w:rFonts w:ascii="宋体" w:hAnsi="宋体"/>
          <w:b/>
          <w:sz w:val="21"/>
          <w:szCs w:val="21"/>
          <w:highlight w:val="yellow"/>
        </w:rPr>
      </w:pPr>
      <w:r>
        <w:rPr>
          <w:rFonts w:hint="eastAsia" w:ascii="宋体" w:hAnsi="宋体"/>
          <w:b/>
          <w:sz w:val="21"/>
          <w:szCs w:val="21"/>
        </w:rPr>
        <w:t>一</w:t>
      </w:r>
      <w:r>
        <w:rPr>
          <w:rFonts w:ascii="宋体" w:hAnsi="宋体"/>
          <w:b/>
          <w:sz w:val="21"/>
          <w:szCs w:val="21"/>
        </w:rPr>
        <w:t>、</w:t>
      </w:r>
      <w:r>
        <w:rPr>
          <w:rFonts w:hint="eastAsia" w:ascii="宋体" w:hAnsi="宋体"/>
          <w:b/>
          <w:sz w:val="21"/>
          <w:szCs w:val="21"/>
        </w:rPr>
        <w:t>采购资金的支付方式、时间、条件：</w:t>
      </w:r>
    </w:p>
    <w:tbl>
      <w:tblPr>
        <w:tblStyle w:val="2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pacing w:val="-6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▲付款方式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工程竣工结算审定并报各方确认，出具审核报告后，成交供应商凭发票、审核报告等材料向采购人结算，采购人在15个工作日内将100%款项一次性打入成交供应商账户（支付基本费用不超过20.00万元）。</w:t>
            </w:r>
          </w:p>
        </w:tc>
      </w:tr>
    </w:tbl>
    <w:p>
      <w:pPr>
        <w:adjustRightInd w:val="0"/>
        <w:snapToGrid w:val="0"/>
        <w:spacing w:line="288" w:lineRule="auto"/>
        <w:ind w:left="238" w:hanging="238" w:hangingChars="113"/>
        <w:rPr>
          <w:rFonts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288" w:lineRule="auto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采购标的对应的中小企业划分标准所属行业：其他未列明行业</w:t>
      </w:r>
    </w:p>
    <w:p>
      <w:pPr>
        <w:adjustRightInd w:val="0"/>
        <w:snapToGrid w:val="0"/>
        <w:spacing w:line="288" w:lineRule="auto"/>
        <w:outlineLvl w:val="1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中小企业划型标准：从业人员300人以下的为中小微型企业。其中，从业人员100人及以上的为中型企业；从业人员10人及以上的为小型企业；从业人员10人以下的为微型企业。</w:t>
      </w:r>
    </w:p>
    <w:p>
      <w:pPr>
        <w:adjustRightInd w:val="0"/>
        <w:snapToGrid w:val="0"/>
        <w:spacing w:line="288" w:lineRule="auto"/>
        <w:outlineLvl w:val="1"/>
        <w:rPr>
          <w:rFonts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288" w:lineRule="auto"/>
        <w:outlineLvl w:val="1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二</w:t>
      </w:r>
      <w:r>
        <w:rPr>
          <w:rFonts w:ascii="宋体" w:hAnsi="宋体"/>
          <w:b/>
          <w:sz w:val="21"/>
          <w:szCs w:val="21"/>
        </w:rPr>
        <w:t>、</w:t>
      </w:r>
      <w:r>
        <w:rPr>
          <w:rFonts w:hint="eastAsia" w:ascii="宋体" w:hAnsi="宋体"/>
          <w:b/>
          <w:sz w:val="21"/>
          <w:szCs w:val="21"/>
        </w:rPr>
        <w:t>服务</w:t>
      </w:r>
      <w:r>
        <w:rPr>
          <w:rFonts w:ascii="宋体" w:hAnsi="宋体"/>
          <w:b/>
          <w:sz w:val="21"/>
          <w:szCs w:val="21"/>
        </w:rPr>
        <w:t>要求</w:t>
      </w:r>
      <w:r>
        <w:rPr>
          <w:rFonts w:hint="eastAsia" w:ascii="宋体" w:hAnsi="宋体"/>
          <w:b/>
          <w:sz w:val="21"/>
          <w:szCs w:val="21"/>
        </w:rPr>
        <w:t>（技术要求里另有注明的以技术要求为准）</w:t>
      </w:r>
      <w:r>
        <w:rPr>
          <w:rFonts w:ascii="宋体" w:hAnsi="宋体"/>
          <w:b/>
          <w:sz w:val="21"/>
          <w:szCs w:val="21"/>
        </w:rPr>
        <w:t>：</w:t>
      </w:r>
    </w:p>
    <w:p>
      <w:pPr>
        <w:adjustRightInd w:val="0"/>
        <w:snapToGrid w:val="0"/>
        <w:spacing w:line="288" w:lineRule="auto"/>
        <w:outlineLvl w:val="1"/>
        <w:rPr>
          <w:rFonts w:ascii="宋体" w:hAnsi="宋体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（一）项目概况</w:t>
      </w:r>
      <w:r>
        <w:rPr>
          <w:rFonts w:asciiTheme="minorEastAsia" w:hAnsiTheme="minorEastAsia" w:eastAsiaTheme="minorEastAsia"/>
          <w:b/>
          <w:sz w:val="21"/>
          <w:szCs w:val="21"/>
        </w:rPr>
        <w:t>: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sz w:val="21"/>
          <w:szCs w:val="21"/>
        </w:rPr>
        <w:t>本次采购主要内容为浙江工商大学文体中心场馆（亚运手球比赛馆）改造提升工程结算审核咨询服务。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浙江工商大学文体中心场馆（亚运手球比赛馆）改造提升工程，位于浙江工商大学下沙校区内西北角。该项目由浙江工商大学建设，建设项目总投资约为</w:t>
      </w:r>
      <w:r>
        <w:rPr>
          <w:rFonts w:asciiTheme="minorEastAsia" w:hAnsiTheme="minorEastAsia" w:eastAsiaTheme="minorEastAsia"/>
          <w:sz w:val="21"/>
          <w:szCs w:val="21"/>
        </w:rPr>
        <w:t>12312</w:t>
      </w:r>
      <w:r>
        <w:rPr>
          <w:rFonts w:hint="eastAsia" w:asciiTheme="minorEastAsia" w:hAnsiTheme="minorEastAsia" w:eastAsiaTheme="minorEastAsia"/>
          <w:sz w:val="21"/>
          <w:szCs w:val="21"/>
        </w:rPr>
        <w:t>万元，建安投资约</w:t>
      </w:r>
      <w:r>
        <w:rPr>
          <w:rFonts w:asciiTheme="minorEastAsia" w:hAnsiTheme="minorEastAsia" w:eastAsiaTheme="minorEastAsia"/>
          <w:sz w:val="21"/>
          <w:szCs w:val="21"/>
        </w:rPr>
        <w:t>9500</w:t>
      </w:r>
      <w:r>
        <w:rPr>
          <w:rFonts w:hint="eastAsia" w:asciiTheme="minorEastAsia" w:hAnsiTheme="minorEastAsia" w:eastAsiaTheme="minorEastAsia"/>
          <w:sz w:val="21"/>
          <w:szCs w:val="21"/>
        </w:rPr>
        <w:t>万元。总建筑面积为</w:t>
      </w:r>
      <w:r>
        <w:rPr>
          <w:rFonts w:asciiTheme="minorEastAsia" w:hAnsiTheme="minorEastAsia" w:eastAsiaTheme="minorEastAsia"/>
          <w:sz w:val="21"/>
          <w:szCs w:val="21"/>
        </w:rPr>
        <w:t>21149</w:t>
      </w:r>
      <w:r>
        <w:rPr>
          <w:rFonts w:hint="eastAsia" w:asciiTheme="minorEastAsia" w:hAnsiTheme="minorEastAsia" w:eastAsiaTheme="minorEastAsia"/>
          <w:sz w:val="21"/>
          <w:szCs w:val="21"/>
        </w:rPr>
        <w:t>㎡。本工程开工日期</w:t>
      </w:r>
      <w:r>
        <w:rPr>
          <w:rFonts w:asciiTheme="minorEastAsia" w:hAnsiTheme="minorEastAsia" w:eastAsiaTheme="minorEastAsia"/>
          <w:sz w:val="21"/>
          <w:szCs w:val="21"/>
        </w:rPr>
        <w:t>2020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月</w:t>
      </w:r>
      <w:r>
        <w:rPr>
          <w:rFonts w:asciiTheme="minorEastAsia" w:hAnsiTheme="minorEastAsia" w:eastAsia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</w:rPr>
        <w:t>日，计划竣工日期</w:t>
      </w:r>
      <w:r>
        <w:rPr>
          <w:rFonts w:asciiTheme="minorEastAsia" w:hAnsiTheme="minorEastAsia" w:eastAsiaTheme="minorEastAsia"/>
          <w:sz w:val="21"/>
          <w:szCs w:val="21"/>
        </w:rPr>
        <w:t>2023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</w:rPr>
        <w:t>月，总工期约</w:t>
      </w:r>
      <w:r>
        <w:rPr>
          <w:rFonts w:asciiTheme="minorEastAsia" w:hAnsiTheme="minorEastAsia" w:eastAsiaTheme="minorEastAsia"/>
          <w:sz w:val="21"/>
          <w:szCs w:val="21"/>
        </w:rPr>
        <w:t>1200</w:t>
      </w:r>
      <w:r>
        <w:rPr>
          <w:rFonts w:hint="eastAsia" w:asciiTheme="minorEastAsia" w:hAnsiTheme="minorEastAsia" w:eastAsiaTheme="minorEastAsia"/>
          <w:sz w:val="21"/>
          <w:szCs w:val="21"/>
        </w:rPr>
        <w:t>天。合同约定改建工程开工时间</w:t>
      </w:r>
      <w:r>
        <w:rPr>
          <w:rFonts w:asciiTheme="minorEastAsia" w:hAnsiTheme="minorEastAsia" w:eastAsiaTheme="minorEastAsia"/>
          <w:sz w:val="21"/>
          <w:szCs w:val="21"/>
        </w:rPr>
        <w:t>2020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月，竣工时间</w:t>
      </w:r>
      <w:r>
        <w:rPr>
          <w:rFonts w:asciiTheme="minorEastAsia" w:hAnsiTheme="minorEastAsia" w:eastAsiaTheme="minorEastAsia"/>
          <w:sz w:val="21"/>
          <w:szCs w:val="21"/>
        </w:rPr>
        <w:t>2021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月，恢复工程开工时间</w:t>
      </w:r>
      <w:r>
        <w:rPr>
          <w:rFonts w:asciiTheme="minorEastAsia" w:hAnsiTheme="minorEastAsia" w:eastAsiaTheme="minorEastAsia"/>
          <w:sz w:val="21"/>
          <w:szCs w:val="21"/>
        </w:rPr>
        <w:t>2022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10</w:t>
      </w:r>
      <w:r>
        <w:rPr>
          <w:rFonts w:hint="eastAsia" w:asciiTheme="minorEastAsia" w:hAnsiTheme="minorEastAsia" w:eastAsiaTheme="minorEastAsia"/>
          <w:sz w:val="21"/>
          <w:szCs w:val="21"/>
        </w:rPr>
        <w:t>月，竣工时间</w:t>
      </w:r>
      <w:r>
        <w:rPr>
          <w:rFonts w:asciiTheme="minorEastAsia" w:hAnsiTheme="minorEastAsia" w:eastAsiaTheme="minorEastAsia"/>
          <w:sz w:val="21"/>
          <w:szCs w:val="21"/>
        </w:rPr>
        <w:t>2023</w:t>
      </w:r>
      <w:r>
        <w:rPr>
          <w:rFonts w:hint="eastAsia" w:asciiTheme="minorEastAsia" w:hAnsiTheme="minorEastAsia" w:eastAsiaTheme="minorEastAsia"/>
          <w:sz w:val="21"/>
          <w:szCs w:val="21"/>
        </w:rPr>
        <w:t>年</w:t>
      </w:r>
      <w:r>
        <w:rPr>
          <w:rFonts w:asciiTheme="minorEastAsia" w:hAnsiTheme="minorEastAsia" w:eastAsia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</w:rPr>
        <w:t>月。施工合同价为</w:t>
      </w:r>
      <w:r>
        <w:rPr>
          <w:rFonts w:asciiTheme="minorEastAsia" w:hAnsiTheme="minorEastAsia" w:eastAsiaTheme="minorEastAsia"/>
          <w:sz w:val="21"/>
          <w:szCs w:val="21"/>
        </w:rPr>
        <w:t>9160.425</w:t>
      </w:r>
      <w:r>
        <w:rPr>
          <w:rFonts w:hint="eastAsia" w:asciiTheme="minorEastAsia" w:hAnsiTheme="minorEastAsia" w:eastAsiaTheme="minorEastAsia"/>
          <w:sz w:val="21"/>
          <w:szCs w:val="21"/>
        </w:rPr>
        <w:t>万元，建筑安装工程费</w:t>
      </w:r>
      <w:r>
        <w:rPr>
          <w:rFonts w:asciiTheme="minorEastAsia" w:hAnsiTheme="minorEastAsia" w:eastAsiaTheme="minorEastAsia"/>
          <w:sz w:val="21"/>
          <w:szCs w:val="21"/>
        </w:rPr>
        <w:t>8483.425</w:t>
      </w:r>
      <w:r>
        <w:rPr>
          <w:rFonts w:hint="eastAsia" w:asciiTheme="minorEastAsia" w:hAnsiTheme="minorEastAsia" w:eastAsiaTheme="minorEastAsia"/>
          <w:sz w:val="21"/>
          <w:szCs w:val="21"/>
        </w:rPr>
        <w:t>万元，合同约定采用</w:t>
      </w:r>
      <w:r>
        <w:rPr>
          <w:rFonts w:asciiTheme="minorEastAsia" w:hAnsiTheme="minorEastAsia" w:eastAsiaTheme="minorEastAsia"/>
          <w:sz w:val="21"/>
          <w:szCs w:val="21"/>
        </w:rPr>
        <w:t>EPC</w:t>
      </w:r>
      <w:r>
        <w:rPr>
          <w:rFonts w:hint="eastAsia" w:asciiTheme="minorEastAsia" w:hAnsiTheme="minorEastAsia" w:eastAsiaTheme="minorEastAsia"/>
          <w:sz w:val="21"/>
          <w:szCs w:val="21"/>
        </w:rPr>
        <w:t>结算模式。</w:t>
      </w:r>
    </w:p>
    <w:p>
      <w:pPr>
        <w:adjustRightInd w:val="0"/>
        <w:spacing w:line="288" w:lineRule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（二）项目总原则：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成交供应商应根据磋商文件的要求进行校核，校核内容包括总价承包的项目、设备、服务等是否满足合同的质量、安全、工期、功能、指标等，是否实现了总包合同的约定。本次招标，供应商应对拟安排本项目项目经理及主要协审人员情况、审核费用、响应时间、初稿准确率、审核误差率等作出承诺。</w:t>
      </w:r>
    </w:p>
    <w:p>
      <w:pPr>
        <w:adjustRightInd w:val="0"/>
        <w:spacing w:line="288" w:lineRule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（三）工作内容：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成交供应商应分四部分进行结算校核，一是</w:t>
      </w:r>
      <w:r>
        <w:rPr>
          <w:rFonts w:asciiTheme="minorEastAsia" w:hAnsiTheme="minorEastAsia" w:eastAsiaTheme="minorEastAsia"/>
          <w:sz w:val="21"/>
          <w:szCs w:val="21"/>
        </w:rPr>
        <w:t xml:space="preserve"> “</w:t>
      </w:r>
      <w:r>
        <w:rPr>
          <w:rFonts w:hint="eastAsia" w:asciiTheme="minorEastAsia" w:hAnsiTheme="minorEastAsia" w:eastAsiaTheme="minorEastAsia"/>
          <w:sz w:val="21"/>
          <w:szCs w:val="21"/>
        </w:rPr>
        <w:t>有无</w:t>
      </w:r>
      <w:r>
        <w:rPr>
          <w:rFonts w:asciiTheme="minorEastAsia" w:hAnsiTheme="minorEastAsia" w:eastAsiaTheme="minorEastAsia"/>
          <w:sz w:val="21"/>
          <w:szCs w:val="21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</w:rPr>
        <w:t>、</w:t>
      </w:r>
      <w:r>
        <w:rPr>
          <w:rFonts w:asciiTheme="minorEastAsia" w:hAnsiTheme="minorEastAsia" w:eastAsiaTheme="minorEastAsia"/>
          <w:sz w:val="21"/>
          <w:szCs w:val="21"/>
        </w:rPr>
        <w:t>“</w:t>
      </w:r>
      <w:r>
        <w:rPr>
          <w:rFonts w:hint="eastAsia" w:asciiTheme="minorEastAsia" w:hAnsiTheme="minorEastAsia" w:eastAsiaTheme="minorEastAsia"/>
          <w:sz w:val="21"/>
          <w:szCs w:val="21"/>
        </w:rPr>
        <w:t>差异</w:t>
      </w:r>
      <w:r>
        <w:rPr>
          <w:rFonts w:asciiTheme="minorEastAsia" w:hAnsiTheme="minorEastAsia" w:eastAsiaTheme="minorEastAsia"/>
          <w:sz w:val="21"/>
          <w:szCs w:val="21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</w:rPr>
        <w:t>的校核，二是建安工程结算校核，三是变更（业主指令）的校核，四是其他费用、奖罚考核校核。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1.“</w:t>
      </w:r>
      <w:r>
        <w:rPr>
          <w:rFonts w:hint="eastAsia" w:asciiTheme="minorEastAsia" w:hAnsiTheme="minorEastAsia" w:eastAsiaTheme="minorEastAsia"/>
          <w:sz w:val="21"/>
          <w:szCs w:val="21"/>
        </w:rPr>
        <w:t>有无</w:t>
      </w:r>
      <w:r>
        <w:rPr>
          <w:rFonts w:asciiTheme="minorEastAsia" w:hAnsiTheme="minorEastAsia" w:eastAsiaTheme="minorEastAsia"/>
          <w:sz w:val="21"/>
          <w:szCs w:val="21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</w:rPr>
        <w:t>、</w:t>
      </w:r>
      <w:r>
        <w:rPr>
          <w:rFonts w:asciiTheme="minorEastAsia" w:hAnsiTheme="minorEastAsia" w:eastAsiaTheme="minorEastAsia"/>
          <w:sz w:val="21"/>
          <w:szCs w:val="21"/>
        </w:rPr>
        <w:t>“</w:t>
      </w:r>
      <w:r>
        <w:rPr>
          <w:rFonts w:hint="eastAsia" w:asciiTheme="minorEastAsia" w:hAnsiTheme="minorEastAsia" w:eastAsiaTheme="minorEastAsia"/>
          <w:sz w:val="21"/>
          <w:szCs w:val="21"/>
        </w:rPr>
        <w:t>差异</w:t>
      </w:r>
      <w:r>
        <w:rPr>
          <w:rFonts w:asciiTheme="minorEastAsia" w:hAnsiTheme="minorEastAsia" w:eastAsiaTheme="minorEastAsia"/>
          <w:sz w:val="21"/>
          <w:szCs w:val="21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</w:rPr>
        <w:t>的校核：根据设计任务书、施工图、竣工图，结合现场实际完成工作情况，总价承包范围内有，而实际没有发生的项目，结算时应予以扣除；根据总包合同对施工图与招标条件是否有差异，校核差异项目。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建安工程结算校核：工程结算校核主要是工程量计算是否正确、单价的套用是否合理、费用的计取是否准确三方面为重点，在图审图、竣工图的基础上结合合同、招投标文件、协议、会议纪要、现场勘察资料及材料设备价格签证等工程资料，按照有关规定进行计算核实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/>
          <w:sz w:val="21"/>
          <w:szCs w:val="21"/>
        </w:rPr>
        <w:t>变更（业主指令）的校核：根据总包合同对变更的规定，校核设计变更结算。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4.</w:t>
      </w:r>
      <w:r>
        <w:rPr>
          <w:rFonts w:hint="eastAsia" w:asciiTheme="minorEastAsia" w:hAnsiTheme="minorEastAsia" w:eastAsiaTheme="minorEastAsia"/>
          <w:sz w:val="21"/>
          <w:szCs w:val="21"/>
        </w:rPr>
        <w:t>其他费用、奖罚考核校核：依据总包合同对其他费用的承包范围（勘察、设计、前后期手续办理等），根据总包实际工作完成情况，对其他费用进行校核；依据总包合同对质量、工期、安全等工程管理的奖罚规定，根据监理及采购人对奖励及处罚情况进行结算校核。</w:t>
      </w:r>
    </w:p>
    <w:p>
      <w:pPr>
        <w:widowControl/>
        <w:adjustRightInd w:val="0"/>
        <w:spacing w:line="288" w:lineRule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（四）双方的权利和义务：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（一）采购人的权利和义务：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sz w:val="21"/>
          <w:szCs w:val="21"/>
        </w:rPr>
        <w:t>有权向成交供应商询问工作进展情况及相关的内容。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有权阐述对具体问题的意见和建议。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/>
          <w:sz w:val="21"/>
          <w:szCs w:val="21"/>
        </w:rPr>
        <w:t>有权要求成交供应商更换不称职或与投标文件不相符的编制人员。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4.</w:t>
      </w:r>
      <w:r>
        <w:rPr>
          <w:rFonts w:hint="eastAsia" w:asciiTheme="minorEastAsia" w:hAnsiTheme="minorEastAsia" w:eastAsiaTheme="minorEastAsia"/>
          <w:sz w:val="21"/>
          <w:szCs w:val="21"/>
        </w:rPr>
        <w:t>有权要求成交供应商对工程参考编审情况进行说明，对结算审核书作出解释。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5.</w:t>
      </w:r>
      <w:r>
        <w:rPr>
          <w:rFonts w:hint="eastAsia" w:asciiTheme="minorEastAsia" w:hAnsiTheme="minorEastAsia" w:eastAsiaTheme="minorEastAsia"/>
          <w:sz w:val="21"/>
          <w:szCs w:val="21"/>
        </w:rPr>
        <w:t>有权考核成交供应商的咨询业务质量，监督成交供应商的履约情况。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6.</w:t>
      </w:r>
      <w:r>
        <w:rPr>
          <w:rFonts w:hint="eastAsia" w:asciiTheme="minorEastAsia" w:hAnsiTheme="minorEastAsia" w:eastAsiaTheme="minorEastAsia"/>
          <w:sz w:val="21"/>
          <w:szCs w:val="21"/>
        </w:rPr>
        <w:t>按照成交供应商的要求提供送审资料。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7.</w:t>
      </w:r>
      <w:r>
        <w:rPr>
          <w:rFonts w:hint="eastAsia" w:asciiTheme="minorEastAsia" w:hAnsiTheme="minorEastAsia" w:eastAsiaTheme="minorEastAsia"/>
          <w:sz w:val="21"/>
          <w:szCs w:val="21"/>
        </w:rPr>
        <w:t>对成交供应商提出的问题和业务需求，予以配合。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8.</w:t>
      </w:r>
      <w:r>
        <w:rPr>
          <w:rFonts w:hint="eastAsia" w:asciiTheme="minorEastAsia" w:hAnsiTheme="minorEastAsia" w:eastAsiaTheme="minorEastAsia"/>
          <w:sz w:val="21"/>
          <w:szCs w:val="21"/>
        </w:rPr>
        <w:t>按照合同及时支付给成交供应商咨询费用。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（二）成交供应商的权利和义务：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sz w:val="21"/>
          <w:szCs w:val="21"/>
        </w:rPr>
        <w:t>有权按照国家相关法律法规和制度、采购人规定的工作程序和要求开展咨询服务业务。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在咨询过程中，如采购人提供的资料不明确时可向采购人提出书面报告。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/>
          <w:sz w:val="21"/>
          <w:szCs w:val="21"/>
        </w:rPr>
        <w:t>在咨询过程中，有权对第三人提出与本咨询业务有关的问题进行核对或查问。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4.</w:t>
      </w:r>
      <w:r>
        <w:rPr>
          <w:rFonts w:hint="eastAsia" w:asciiTheme="minorEastAsia" w:hAnsiTheme="minorEastAsia" w:eastAsiaTheme="minorEastAsia"/>
          <w:sz w:val="21"/>
          <w:szCs w:val="21"/>
        </w:rPr>
        <w:t>咨询人在咨询过程中，有到工程现场勘察的权利。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5.</w:t>
      </w:r>
      <w:r>
        <w:rPr>
          <w:rFonts w:hint="eastAsia" w:asciiTheme="minorEastAsia" w:hAnsiTheme="minorEastAsia" w:eastAsiaTheme="minorEastAsia"/>
          <w:sz w:val="21"/>
          <w:szCs w:val="21"/>
        </w:rPr>
        <w:t>不得将咨询业务转包、分包给其他单位或个人。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6.</w:t>
      </w:r>
      <w:r>
        <w:rPr>
          <w:rFonts w:hint="eastAsia" w:asciiTheme="minorEastAsia" w:hAnsiTheme="minorEastAsia" w:eastAsiaTheme="minorEastAsia"/>
          <w:sz w:val="21"/>
          <w:szCs w:val="21"/>
        </w:rPr>
        <w:t>在接到送审资料后，及时落实相关人员（相关人员为投标文件中的项目组成员，若更换协审人员需经甲方同意），按时完成咨询业务工作，成交供应商在采购人要求的时间内完成工程项目造价审核初稿。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7.</w:t>
      </w:r>
      <w:r>
        <w:rPr>
          <w:rFonts w:hint="eastAsia" w:asciiTheme="minorEastAsia" w:hAnsiTheme="minorEastAsia" w:eastAsiaTheme="minorEastAsia"/>
          <w:sz w:val="21"/>
          <w:szCs w:val="21"/>
        </w:rPr>
        <w:t>实事求是、公正廉洁地按照审核方案和审核程序开展相关业务。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8.</w:t>
      </w:r>
      <w:r>
        <w:rPr>
          <w:rFonts w:hint="eastAsia" w:asciiTheme="minorEastAsia" w:hAnsiTheme="minorEastAsia" w:eastAsiaTheme="minorEastAsia"/>
          <w:sz w:val="21"/>
          <w:szCs w:val="21"/>
        </w:rPr>
        <w:t>对采购人或第三人所提出的问题不能及时核对或答复，导致合同不能全部或部分履行，咨询人应承担责任。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9.</w:t>
      </w:r>
      <w:r>
        <w:rPr>
          <w:rFonts w:hint="eastAsia" w:asciiTheme="minorEastAsia" w:hAnsiTheme="minorEastAsia" w:eastAsiaTheme="minorEastAsia"/>
          <w:sz w:val="21"/>
          <w:szCs w:val="21"/>
        </w:rPr>
        <w:t>因成交供应商的单方过失导致审核结果错误或无法完成委托业务，给采购人带来损失的，采购人可要求成交供应商赔偿损失。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10.</w:t>
      </w:r>
      <w:r>
        <w:rPr>
          <w:rFonts w:hint="eastAsia" w:asciiTheme="minorEastAsia" w:hAnsiTheme="minorEastAsia" w:eastAsiaTheme="minorEastAsia"/>
          <w:sz w:val="21"/>
          <w:szCs w:val="21"/>
        </w:rPr>
        <w:t>不得无故推诿采购人分派的任务，如确有特殊原因，应在二日内以书面材料的形式报送采购人，采购人在二日内给予答复。</w:t>
      </w:r>
    </w:p>
    <w:p>
      <w:pPr>
        <w:adjustRightInd w:val="0"/>
        <w:spacing w:line="288" w:lineRule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五、结算原则：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以浙江工商大学工程项目各项建安工程送审工程造价作为基数，按照《浙江省建设工程造价咨询服务基准收费标准》（浙价服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[2009] 84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号文）规定的基准收费标准报折扣，最终确定本工程结算审核咨询费。完成结算审核工作，出具审核报告后支付相应的审核费用，总基本费用不超过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20.00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万元。注：结算费率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法定费率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投标折扣。</w:t>
      </w:r>
    </w:p>
    <w:p>
      <w:pPr>
        <w:adjustRightInd w:val="0"/>
        <w:spacing w:line="288" w:lineRule="auto"/>
        <w:ind w:firstLine="420" w:firstLineChars="2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工程结算审核中的基本费用由建设单位支付，追加费用由施工单位支付，追加费用按浙价服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[2009]84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号文规定的基准收费标准计取。追加费用由施工单位支付给成交供应商（不在本次报价中）。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2C95"/>
    <w:rsid w:val="62E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2021-10-22T04:53:00Z</dcterms:created>
  <dc:creator>amander</dc:creator>
  <cp:lastModifiedBy>amander</cp:lastModifiedBy>
  <dcterms:modified xsi:type="dcterms:W3CDTF">2021-10-22T04:53:48Z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C7480FB8965542EBA3202697DD491A56</vt:lpwstr>
  </property>
</Properties>
</file>