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60522">
      <w:pPr>
        <w:adjustRightInd w:val="0"/>
        <w:snapToGrid w:val="0"/>
        <w:spacing w:line="288" w:lineRule="auto"/>
        <w:rPr>
          <w:rFonts w:hint="eastAsia" w:ascii="楷体" w:hAnsi="楷体" w:eastAsia="楷体" w:cs="Times New Roman"/>
          <w:b/>
          <w:spacing w:val="-6"/>
          <w:sz w:val="44"/>
          <w:szCs w:val="44"/>
        </w:rPr>
      </w:pPr>
    </w:p>
    <w:p w14:paraId="16FFB6FB">
      <w:pPr>
        <w:adjustRightInd w:val="0"/>
        <w:snapToGrid w:val="0"/>
        <w:spacing w:line="288" w:lineRule="auto"/>
        <w:rPr>
          <w:rFonts w:hint="eastAsia" w:ascii="楷体" w:hAnsi="楷体" w:eastAsia="楷体" w:cs="Times New Roman"/>
          <w:b/>
          <w:spacing w:val="-6"/>
          <w:sz w:val="44"/>
          <w:szCs w:val="44"/>
        </w:rPr>
      </w:pPr>
    </w:p>
    <w:p w14:paraId="6B1B758D">
      <w:pPr>
        <w:adjustRightInd w:val="0"/>
        <w:snapToGrid w:val="0"/>
        <w:spacing w:line="288" w:lineRule="auto"/>
        <w:rPr>
          <w:rFonts w:hint="eastAsia" w:ascii="楷体" w:hAnsi="楷体" w:eastAsia="楷体" w:cs="Times New Roman"/>
          <w:b/>
          <w:spacing w:val="-6"/>
          <w:sz w:val="44"/>
          <w:szCs w:val="44"/>
        </w:rPr>
      </w:pPr>
    </w:p>
    <w:p w14:paraId="17798F2C">
      <w:pPr>
        <w:adjustRightInd w:val="0"/>
        <w:snapToGrid w:val="0"/>
        <w:spacing w:line="288" w:lineRule="auto"/>
        <w:jc w:val="center"/>
        <w:rPr>
          <w:rFonts w:hint="eastAsia" w:ascii="楷体" w:hAnsi="楷体" w:eastAsia="楷体" w:cs="Times New Roman"/>
          <w:b/>
          <w:spacing w:val="-6"/>
          <w:sz w:val="48"/>
          <w:szCs w:val="48"/>
        </w:rPr>
      </w:pPr>
      <w:r>
        <w:rPr>
          <w:rFonts w:hint="eastAsia" w:ascii="楷体" w:hAnsi="楷体" w:eastAsia="楷体" w:cs="Times New Roman"/>
          <w:b/>
          <w:spacing w:val="-6"/>
          <w:sz w:val="48"/>
          <w:szCs w:val="48"/>
        </w:rPr>
        <w:t>浙江工商大学未来营养健康与共同富裕计算设备更新-共同富裕计算设备（第一批）</w:t>
      </w:r>
    </w:p>
    <w:p w14:paraId="2D7642A8">
      <w:pPr>
        <w:adjustRightInd w:val="0"/>
        <w:snapToGrid w:val="0"/>
        <w:spacing w:line="288" w:lineRule="auto"/>
        <w:jc w:val="center"/>
        <w:rPr>
          <w:rFonts w:hint="eastAsia" w:ascii="楷体" w:hAnsi="楷体" w:eastAsia="楷体" w:cs="Times New Roman"/>
          <w:b/>
          <w:spacing w:val="-6"/>
          <w:sz w:val="48"/>
          <w:szCs w:val="48"/>
        </w:rPr>
      </w:pPr>
    </w:p>
    <w:p w14:paraId="2CE7FF4C">
      <w:pPr>
        <w:adjustRightInd w:val="0"/>
        <w:snapToGrid w:val="0"/>
        <w:spacing w:line="288" w:lineRule="auto"/>
        <w:jc w:val="center"/>
        <w:rPr>
          <w:rFonts w:hint="eastAsia" w:ascii="楷体" w:hAnsi="楷体" w:eastAsia="楷体" w:cs="Times New Roman"/>
          <w:b/>
          <w:spacing w:val="-6"/>
          <w:sz w:val="48"/>
          <w:szCs w:val="48"/>
        </w:rPr>
      </w:pPr>
    </w:p>
    <w:p w14:paraId="5B39DF66">
      <w:pPr>
        <w:adjustRightInd w:val="0"/>
        <w:snapToGrid w:val="0"/>
        <w:spacing w:line="288" w:lineRule="auto"/>
        <w:jc w:val="center"/>
        <w:rPr>
          <w:rFonts w:hint="eastAsia" w:ascii="楷体" w:hAnsi="楷体" w:eastAsia="楷体" w:cs="Times New Roman"/>
          <w:b/>
          <w:spacing w:val="-6"/>
          <w:sz w:val="72"/>
          <w:szCs w:val="72"/>
        </w:rPr>
      </w:pPr>
      <w:r>
        <w:rPr>
          <w:rFonts w:hint="eastAsia" w:ascii="楷体" w:hAnsi="楷体" w:eastAsia="楷体" w:cs="Times New Roman"/>
          <w:b/>
          <w:spacing w:val="-6"/>
          <w:sz w:val="72"/>
          <w:szCs w:val="72"/>
        </w:rPr>
        <w:t>招 标 文 件</w:t>
      </w:r>
    </w:p>
    <w:p w14:paraId="563C2F42">
      <w:pPr>
        <w:widowControl/>
        <w:adjustRightInd w:val="0"/>
        <w:snapToGrid w:val="0"/>
        <w:spacing w:line="288" w:lineRule="auto"/>
        <w:ind w:right="-2"/>
        <w:jc w:val="center"/>
        <w:rPr>
          <w:rFonts w:hint="eastAsia" w:ascii="楷体" w:hAnsi="楷体" w:eastAsia="楷体" w:cs="Times New Roman"/>
          <w:b/>
          <w:sz w:val="36"/>
          <w:szCs w:val="24"/>
        </w:rPr>
      </w:pPr>
      <w:r>
        <w:rPr>
          <w:rFonts w:hint="eastAsia" w:ascii="楷体" w:hAnsi="楷体" w:eastAsia="楷体" w:cs="Times New Roman"/>
          <w:b/>
          <w:sz w:val="36"/>
          <w:szCs w:val="24"/>
        </w:rPr>
        <w:t>（线上电子招投标）</w:t>
      </w:r>
    </w:p>
    <w:p w14:paraId="5DEDE3B2">
      <w:pPr>
        <w:adjustRightInd w:val="0"/>
        <w:snapToGrid w:val="0"/>
        <w:spacing w:line="288" w:lineRule="auto"/>
        <w:jc w:val="center"/>
        <w:rPr>
          <w:rFonts w:hint="eastAsia" w:ascii="楷体" w:hAnsi="楷体" w:eastAsia="楷体" w:cs="Times New Roman"/>
          <w:sz w:val="44"/>
          <w:szCs w:val="44"/>
        </w:rPr>
      </w:pPr>
    </w:p>
    <w:p w14:paraId="0A451303">
      <w:pPr>
        <w:adjustRightInd w:val="0"/>
        <w:snapToGrid w:val="0"/>
        <w:spacing w:line="288" w:lineRule="auto"/>
        <w:jc w:val="center"/>
        <w:rPr>
          <w:rFonts w:hint="eastAsia" w:ascii="楷体" w:hAnsi="楷体" w:eastAsia="楷体" w:cs="Times New Roman"/>
          <w:sz w:val="44"/>
          <w:szCs w:val="44"/>
        </w:rPr>
      </w:pPr>
    </w:p>
    <w:p w14:paraId="16F70A6C">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项目名称：浙江工商大学未来营养健康与共同富裕计算设备更新-共同富裕计算设备（第一批）</w:t>
      </w:r>
    </w:p>
    <w:p w14:paraId="1E578AC8">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项目编号：QSZB-Z(H)-C24374(GK)</w:t>
      </w:r>
    </w:p>
    <w:p w14:paraId="1F73E151">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采 购 人：浙江工商大学</w:t>
      </w:r>
    </w:p>
    <w:p w14:paraId="3B979EEB">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采购代理机构：浙江求是招标代理有限公司</w:t>
      </w:r>
    </w:p>
    <w:p w14:paraId="42B86394">
      <w:pPr>
        <w:adjustRightInd w:val="0"/>
        <w:snapToGrid w:val="0"/>
        <w:spacing w:line="288" w:lineRule="auto"/>
        <w:rPr>
          <w:rFonts w:hint="eastAsia" w:ascii="楷体" w:hAnsi="楷体" w:eastAsia="楷体" w:cs="Times New Roman"/>
          <w:b/>
          <w:spacing w:val="-6"/>
          <w:sz w:val="30"/>
          <w:szCs w:val="30"/>
        </w:rPr>
      </w:pPr>
      <w:r>
        <w:rPr>
          <w:rFonts w:ascii="楷体" w:hAnsi="楷体" w:eastAsia="楷体" w:cs="Times New Roman"/>
          <w:b/>
          <w:spacing w:val="-6"/>
          <w:sz w:val="30"/>
          <w:szCs w:val="30"/>
        </w:rPr>
        <w:t>采购计划文号：</w:t>
      </w:r>
      <w:r>
        <w:rPr>
          <w:rFonts w:hint="eastAsia" w:ascii="楷体" w:hAnsi="楷体" w:eastAsia="楷体" w:cs="Times New Roman"/>
          <w:b/>
          <w:spacing w:val="-6"/>
          <w:sz w:val="30"/>
          <w:szCs w:val="30"/>
        </w:rPr>
        <w:t>[2024]71847号、[2024]71848号、临[2024]73495号</w:t>
      </w:r>
    </w:p>
    <w:p w14:paraId="36D1062C">
      <w:pPr>
        <w:adjustRightInd w:val="0"/>
        <w:snapToGrid w:val="0"/>
        <w:spacing w:line="288" w:lineRule="auto"/>
        <w:rPr>
          <w:rFonts w:hint="eastAsia" w:ascii="楷体" w:hAnsi="楷体" w:eastAsia="楷体" w:cs="Times New Roman"/>
          <w:b/>
          <w:szCs w:val="21"/>
        </w:rPr>
      </w:pPr>
    </w:p>
    <w:p w14:paraId="01C06ACD">
      <w:pPr>
        <w:adjustRightInd w:val="0"/>
        <w:snapToGrid w:val="0"/>
        <w:spacing w:line="288" w:lineRule="auto"/>
        <w:rPr>
          <w:rFonts w:hint="eastAsia" w:ascii="楷体" w:hAnsi="楷体" w:eastAsia="楷体" w:cs="Times New Roman"/>
          <w:b/>
          <w:szCs w:val="21"/>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14:paraId="2A51AA88">
      <w:pPr>
        <w:adjustRightInd w:val="0"/>
        <w:snapToGrid w:val="0"/>
        <w:spacing w:line="288" w:lineRule="auto"/>
        <w:rPr>
          <w:rFonts w:hint="eastAsia" w:ascii="楷体" w:hAnsi="楷体" w:eastAsia="楷体" w:cs="Times New Roman"/>
          <w:b/>
          <w:sz w:val="30"/>
          <w:szCs w:val="30"/>
        </w:rPr>
      </w:pPr>
    </w:p>
    <w:p w14:paraId="1A07F11C">
      <w:pPr>
        <w:adjustRightInd w:val="0"/>
        <w:snapToGrid w:val="0"/>
        <w:spacing w:line="288" w:lineRule="auto"/>
        <w:jc w:val="center"/>
        <w:outlineLvl w:val="0"/>
        <w:rPr>
          <w:rFonts w:hint="eastAsia" w:ascii="楷体" w:hAnsi="楷体" w:eastAsia="楷体" w:cs="Times New Roman"/>
          <w:b/>
          <w:sz w:val="30"/>
          <w:szCs w:val="30"/>
        </w:rPr>
      </w:pPr>
      <w:r>
        <w:rPr>
          <w:rFonts w:ascii="楷体" w:hAnsi="楷体" w:eastAsia="楷体" w:cs="Times New Roman"/>
          <w:b/>
          <w:sz w:val="30"/>
          <w:szCs w:val="30"/>
        </w:rPr>
        <w:t>目</w:t>
      </w:r>
      <w:r>
        <w:rPr>
          <w:rFonts w:hint="eastAsia" w:ascii="楷体" w:hAnsi="楷体" w:eastAsia="楷体" w:cs="Times New Roman"/>
          <w:b/>
          <w:sz w:val="30"/>
          <w:szCs w:val="30"/>
        </w:rPr>
        <w:t xml:space="preserve">    </w:t>
      </w:r>
      <w:r>
        <w:rPr>
          <w:rFonts w:ascii="楷体" w:hAnsi="楷体" w:eastAsia="楷体" w:cs="Times New Roman"/>
          <w:b/>
          <w:sz w:val="30"/>
          <w:szCs w:val="30"/>
        </w:rPr>
        <w:t>录</w:t>
      </w:r>
    </w:p>
    <w:p w14:paraId="3DB98083">
      <w:pPr>
        <w:adjustRightInd w:val="0"/>
        <w:snapToGrid w:val="0"/>
        <w:spacing w:line="288" w:lineRule="auto"/>
        <w:rPr>
          <w:rFonts w:hint="eastAsia" w:ascii="楷体" w:hAnsi="楷体" w:eastAsia="楷体" w:cs="Times New Roman"/>
          <w:b/>
          <w:sz w:val="30"/>
          <w:szCs w:val="30"/>
        </w:rPr>
      </w:pPr>
    </w:p>
    <w:p w14:paraId="1083E40E">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第一章  投标邀请</w:t>
      </w:r>
    </w:p>
    <w:p w14:paraId="2ED0A4FC">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第二章  采购需求</w:t>
      </w:r>
    </w:p>
    <w:p w14:paraId="15561E5B">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第三章  投标人须知</w:t>
      </w:r>
    </w:p>
    <w:p w14:paraId="23D7557D">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第四章  评标方法和评标标准</w:t>
      </w:r>
    </w:p>
    <w:p w14:paraId="16F75A61">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第五章  拟签订的合同文本</w:t>
      </w:r>
    </w:p>
    <w:p w14:paraId="2A52F708">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第六章  投标文件格式</w:t>
      </w:r>
    </w:p>
    <w:p w14:paraId="4BDBC5CC">
      <w:pPr>
        <w:widowControl/>
        <w:adjustRightInd w:val="0"/>
        <w:snapToGrid w:val="0"/>
        <w:spacing w:line="288" w:lineRule="auto"/>
        <w:jc w:val="left"/>
        <w:rPr>
          <w:rFonts w:hint="eastAsia" w:ascii="宋体" w:hAnsi="宋体" w:eastAsia="宋体" w:cs="Times New Roman"/>
          <w:szCs w:val="21"/>
        </w:rPr>
      </w:pPr>
    </w:p>
    <w:p w14:paraId="47B2B4D3">
      <w:pPr>
        <w:widowControl/>
        <w:adjustRightInd w:val="0"/>
        <w:snapToGrid w:val="0"/>
        <w:spacing w:line="288" w:lineRule="auto"/>
        <w:jc w:val="left"/>
        <w:rPr>
          <w:rFonts w:hint="eastAsia" w:ascii="宋体" w:hAnsi="宋体" w:eastAsia="宋体" w:cs="Times New Roman"/>
          <w:szCs w:val="21"/>
        </w:rPr>
        <w:sectPr>
          <w:footerReference r:id="rId5" w:type="default"/>
          <w:pgSz w:w="11906" w:h="16838"/>
          <w:pgMar w:top="1247" w:right="1247" w:bottom="1247" w:left="1247" w:header="0" w:footer="694" w:gutter="0"/>
          <w:cols w:space="720" w:num="1"/>
          <w:docGrid w:linePitch="381" w:charSpace="0"/>
        </w:sectPr>
      </w:pPr>
    </w:p>
    <w:p w14:paraId="3736A3AF">
      <w:pPr>
        <w:adjustRightInd w:val="0"/>
        <w:snapToGrid w:val="0"/>
        <w:spacing w:line="288" w:lineRule="auto"/>
        <w:jc w:val="center"/>
        <w:outlineLvl w:val="0"/>
        <w:rPr>
          <w:rFonts w:hint="eastAsia" w:ascii="宋体" w:hAnsi="宋体" w:eastAsia="宋体" w:cs="Times New Roman"/>
          <w:b/>
          <w:spacing w:val="-6"/>
          <w:sz w:val="32"/>
          <w:szCs w:val="32"/>
        </w:rPr>
      </w:pPr>
      <w:r>
        <w:rPr>
          <w:rFonts w:ascii="宋体" w:hAnsi="宋体" w:eastAsia="宋体" w:cs="Times New Roman"/>
          <w:b/>
          <w:spacing w:val="-6"/>
          <w:sz w:val="32"/>
          <w:szCs w:val="32"/>
        </w:rPr>
        <w:t>第一章  投标邀请</w:t>
      </w:r>
    </w:p>
    <w:p w14:paraId="4632350F">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hint="eastAsia" w:ascii="宋体" w:hAnsi="宋体" w:eastAsia="宋体" w:cs="Times New Roman"/>
          <w:b/>
          <w:szCs w:val="21"/>
        </w:rPr>
      </w:pPr>
      <w:r>
        <w:rPr>
          <w:rFonts w:hint="eastAsia" w:ascii="宋体" w:hAnsi="宋体" w:eastAsia="宋体" w:cs="Times New Roman"/>
          <w:b/>
          <w:szCs w:val="21"/>
        </w:rPr>
        <w:t>项目概况</w:t>
      </w:r>
    </w:p>
    <w:p w14:paraId="0F2A5B0A">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u w:val="single"/>
        </w:rPr>
        <w:t xml:space="preserve"> 浙江工商大学未来营养健康与共同富裕计算设备更新-共同富裕计算设备（第一批） </w:t>
      </w:r>
      <w:r>
        <w:rPr>
          <w:rFonts w:hint="eastAsia" w:ascii="宋体" w:hAnsi="宋体" w:eastAsia="宋体" w:cs="Times New Roman"/>
          <w:b/>
          <w:szCs w:val="21"/>
        </w:rPr>
        <w:t>招标项目的潜在投标人应在</w:t>
      </w:r>
      <w:r>
        <w:rPr>
          <w:rFonts w:hint="eastAsia" w:ascii="宋体" w:hAnsi="宋体" w:eastAsia="宋体" w:cs="Times New Roman"/>
          <w:b/>
          <w:szCs w:val="21"/>
          <w:u w:val="single"/>
        </w:rPr>
        <w:t xml:space="preserve"> 政府采购云平台（https://www.zcygov.cn）</w:t>
      </w:r>
      <w:r>
        <w:rPr>
          <w:rFonts w:hint="eastAsia" w:ascii="宋体" w:hAnsi="宋体" w:eastAsia="宋体" w:cs="Times New Roman"/>
          <w:b/>
          <w:szCs w:val="21"/>
        </w:rPr>
        <w:t>获取（下载）招标文件，并于</w:t>
      </w:r>
      <w:r>
        <w:rPr>
          <w:rFonts w:hint="eastAsia" w:ascii="宋体" w:hAnsi="宋体" w:eastAsia="宋体" w:cs="Times New Roman"/>
          <w:b/>
          <w:szCs w:val="21"/>
          <w:u w:val="single"/>
          <w:lang w:eastAsia="zh-CN"/>
        </w:rPr>
        <w:t>2024年11月21日13:30:00</w:t>
      </w:r>
      <w:r>
        <w:rPr>
          <w:rFonts w:hint="eastAsia" w:ascii="宋体" w:hAnsi="宋体" w:eastAsia="宋体" w:cs="Times New Roman"/>
          <w:b/>
          <w:szCs w:val="21"/>
          <w:u w:val="single"/>
        </w:rPr>
        <w:t>（北京时间）</w:t>
      </w:r>
      <w:r>
        <w:rPr>
          <w:rFonts w:hint="eastAsia" w:ascii="宋体" w:hAnsi="宋体" w:eastAsia="宋体" w:cs="Times New Roman"/>
          <w:b/>
          <w:bCs/>
          <w:szCs w:val="21"/>
        </w:rPr>
        <w:t>前递交（上传）投标</w:t>
      </w:r>
      <w:r>
        <w:rPr>
          <w:rFonts w:ascii="宋体" w:hAnsi="宋体" w:eastAsia="宋体" w:cs="Times New Roman"/>
          <w:b/>
          <w:bCs/>
          <w:szCs w:val="21"/>
        </w:rPr>
        <w:t>文件</w:t>
      </w:r>
      <w:r>
        <w:rPr>
          <w:rFonts w:hint="eastAsia" w:ascii="宋体" w:hAnsi="宋体" w:eastAsia="宋体" w:cs="Times New Roman"/>
          <w:b/>
          <w:szCs w:val="21"/>
        </w:rPr>
        <w:t>。</w:t>
      </w:r>
    </w:p>
    <w:p w14:paraId="66F35942">
      <w:pPr>
        <w:adjustRightInd w:val="0"/>
        <w:snapToGrid w:val="0"/>
        <w:spacing w:line="288" w:lineRule="auto"/>
        <w:rPr>
          <w:rFonts w:hint="eastAsia" w:ascii="宋体" w:hAnsi="宋体" w:eastAsia="宋体" w:cs="宋体"/>
          <w:b/>
          <w:szCs w:val="21"/>
        </w:rPr>
      </w:pPr>
      <w:bookmarkStart w:id="0" w:name="_Toc35393790"/>
      <w:bookmarkStart w:id="1" w:name="_Toc28359002"/>
      <w:bookmarkStart w:id="2" w:name="_Toc35393621"/>
      <w:bookmarkStart w:id="3" w:name="_Toc28359079"/>
      <w:bookmarkStart w:id="4" w:name="_Hlk24379207"/>
      <w:r>
        <w:rPr>
          <w:rFonts w:hint="eastAsia" w:ascii="宋体" w:hAnsi="宋体" w:eastAsia="宋体" w:cs="宋体"/>
          <w:b/>
          <w:szCs w:val="21"/>
        </w:rPr>
        <w:t>一、项目基本情况</w:t>
      </w:r>
      <w:bookmarkEnd w:id="0"/>
      <w:bookmarkEnd w:id="1"/>
      <w:bookmarkEnd w:id="2"/>
      <w:bookmarkEnd w:id="3"/>
    </w:p>
    <w:p w14:paraId="20B435E2">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1.项目编号：QSZB-Z(H)-C24374(GK)</w:t>
      </w:r>
    </w:p>
    <w:p w14:paraId="3C83F113">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.项目名称：浙江工商大学未来营养健康与共同富裕计算设备更新-共同富裕计算设备（第一批）</w:t>
      </w:r>
    </w:p>
    <w:bookmarkEnd w:id="4"/>
    <w:p w14:paraId="2CC434CE">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.预算金额：700万元（标项一：290.00万元；标项二：210.00万元；标项三：150.00万元；标项四：50.00万元）</w:t>
      </w:r>
    </w:p>
    <w:p w14:paraId="7E2A8093">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.最高限价：700万元（标项一：290.00万元；标项二：210.00万元；标项三：150.00万元；标项四：50.00万元）</w:t>
      </w:r>
    </w:p>
    <w:p w14:paraId="3F937B04">
      <w:pPr>
        <w:adjustRightInd w:val="0"/>
        <w:snapToGrid w:val="0"/>
        <w:spacing w:line="288" w:lineRule="auto"/>
        <w:ind w:firstLine="420" w:firstLineChars="200"/>
        <w:rPr>
          <w:rFonts w:hint="eastAsia" w:ascii="宋体" w:hAnsi="宋体" w:eastAsia="宋体" w:cs="Times New Roman"/>
          <w:szCs w:val="21"/>
          <w:u w:val="single"/>
        </w:rPr>
      </w:pPr>
      <w:r>
        <w:rPr>
          <w:rFonts w:ascii="宋体" w:hAnsi="宋体" w:eastAsia="宋体" w:cs="Times New Roman"/>
          <w:szCs w:val="21"/>
        </w:rPr>
        <w:t>5</w:t>
      </w:r>
      <w:r>
        <w:rPr>
          <w:rFonts w:hint="eastAsia" w:ascii="宋体" w:hAnsi="宋体" w:eastAsia="宋体" w:cs="Times New Roman"/>
          <w:szCs w:val="21"/>
        </w:rPr>
        <w:t>.合同履约期限：详见招标文件第二章 采购需求</w:t>
      </w:r>
    </w:p>
    <w:p w14:paraId="17E32CC9">
      <w:pPr>
        <w:adjustRightInd w:val="0"/>
        <w:snapToGrid w:val="0"/>
        <w:spacing w:line="288" w:lineRule="auto"/>
        <w:ind w:firstLine="420" w:firstLineChars="200"/>
        <w:rPr>
          <w:rFonts w:hint="eastAsia" w:ascii="宋体" w:hAnsi="宋体" w:eastAsia="宋体" w:cs="Times New Roman"/>
          <w:bCs/>
          <w:szCs w:val="21"/>
        </w:rPr>
      </w:pPr>
      <w:r>
        <w:rPr>
          <w:rFonts w:ascii="宋体" w:hAnsi="宋体" w:eastAsia="宋体" w:cs="Times New Roman"/>
          <w:bCs/>
          <w:szCs w:val="21"/>
        </w:rPr>
        <w:t>6</w:t>
      </w:r>
      <w:r>
        <w:rPr>
          <w:rFonts w:hint="eastAsia" w:ascii="宋体" w:hAnsi="宋体" w:eastAsia="宋体" w:cs="Times New Roman"/>
          <w:bCs/>
          <w:szCs w:val="21"/>
        </w:rPr>
        <w:t>.本项目（是）接受联合体投标。</w:t>
      </w:r>
    </w:p>
    <w:p w14:paraId="0139D6D1">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.采购需求：</w:t>
      </w:r>
    </w:p>
    <w:tbl>
      <w:tblPr>
        <w:tblStyle w:val="23"/>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006"/>
        <w:gridCol w:w="708"/>
        <w:gridCol w:w="709"/>
        <w:gridCol w:w="3119"/>
        <w:gridCol w:w="1276"/>
      </w:tblGrid>
      <w:tr w14:paraId="27CA9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675" w:type="dxa"/>
            <w:tcBorders>
              <w:tl2br w:val="nil"/>
              <w:tr2bl w:val="nil"/>
            </w:tcBorders>
            <w:vAlign w:val="center"/>
          </w:tcPr>
          <w:p w14:paraId="22F2C17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标项</w:t>
            </w:r>
          </w:p>
        </w:tc>
        <w:tc>
          <w:tcPr>
            <w:tcW w:w="3006" w:type="dxa"/>
            <w:tcBorders>
              <w:right w:val="single" w:color="auto" w:sz="4" w:space="0"/>
              <w:tl2br w:val="nil"/>
              <w:tr2bl w:val="nil"/>
            </w:tcBorders>
            <w:vAlign w:val="center"/>
          </w:tcPr>
          <w:p w14:paraId="55F45B7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08" w:type="dxa"/>
            <w:tcBorders>
              <w:tl2br w:val="nil"/>
              <w:tr2bl w:val="nil"/>
            </w:tcBorders>
            <w:vAlign w:val="center"/>
          </w:tcPr>
          <w:p w14:paraId="1A654E1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数量</w:t>
            </w:r>
          </w:p>
        </w:tc>
        <w:tc>
          <w:tcPr>
            <w:tcW w:w="709" w:type="dxa"/>
            <w:tcBorders>
              <w:tl2br w:val="nil"/>
              <w:tr2bl w:val="nil"/>
            </w:tcBorders>
            <w:vAlign w:val="center"/>
          </w:tcPr>
          <w:p w14:paraId="3B719B8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单位</w:t>
            </w:r>
          </w:p>
        </w:tc>
        <w:tc>
          <w:tcPr>
            <w:tcW w:w="3119" w:type="dxa"/>
            <w:tcBorders>
              <w:right w:val="single" w:color="auto" w:sz="4" w:space="0"/>
              <w:tl2br w:val="nil"/>
              <w:tr2bl w:val="nil"/>
            </w:tcBorders>
            <w:vAlign w:val="center"/>
          </w:tcPr>
          <w:p w14:paraId="10685559">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简要技术需求或服务要求</w:t>
            </w:r>
          </w:p>
        </w:tc>
        <w:tc>
          <w:tcPr>
            <w:tcW w:w="1276" w:type="dxa"/>
            <w:tcBorders>
              <w:right w:val="single" w:color="auto" w:sz="4" w:space="0"/>
              <w:tl2br w:val="nil"/>
              <w:tr2bl w:val="nil"/>
            </w:tcBorders>
            <w:vAlign w:val="center"/>
          </w:tcPr>
          <w:p w14:paraId="0D9EFFDE">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szCs w:val="21"/>
              </w:rPr>
              <w:t>是否允许采购进口产品</w:t>
            </w:r>
          </w:p>
        </w:tc>
      </w:tr>
      <w:tr w14:paraId="060A5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21B0F7AE">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一</w:t>
            </w:r>
          </w:p>
        </w:tc>
        <w:tc>
          <w:tcPr>
            <w:tcW w:w="3006" w:type="dxa"/>
            <w:tcBorders>
              <w:right w:val="single" w:color="auto" w:sz="4" w:space="0"/>
              <w:tl2br w:val="nil"/>
              <w:tr2bl w:val="nil"/>
            </w:tcBorders>
            <w:vAlign w:val="center"/>
          </w:tcPr>
          <w:p w14:paraId="1D1A929F">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超模态行为洞察平台等</w:t>
            </w:r>
          </w:p>
        </w:tc>
        <w:tc>
          <w:tcPr>
            <w:tcW w:w="708" w:type="dxa"/>
            <w:tcBorders>
              <w:tl2br w:val="nil"/>
              <w:tr2bl w:val="nil"/>
            </w:tcBorders>
            <w:vAlign w:val="center"/>
          </w:tcPr>
          <w:p w14:paraId="1F77B162">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1</w:t>
            </w:r>
          </w:p>
        </w:tc>
        <w:tc>
          <w:tcPr>
            <w:tcW w:w="709" w:type="dxa"/>
            <w:tcBorders>
              <w:tl2br w:val="nil"/>
              <w:tr2bl w:val="nil"/>
            </w:tcBorders>
            <w:vAlign w:val="center"/>
          </w:tcPr>
          <w:p w14:paraId="4DDCCB5A">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批</w:t>
            </w:r>
          </w:p>
        </w:tc>
        <w:tc>
          <w:tcPr>
            <w:tcW w:w="3119" w:type="dxa"/>
            <w:tcBorders>
              <w:right w:val="single" w:color="auto" w:sz="4" w:space="0"/>
              <w:tl2br w:val="nil"/>
              <w:tr2bl w:val="nil"/>
            </w:tcBorders>
            <w:vAlign w:val="center"/>
          </w:tcPr>
          <w:p w14:paraId="2A7211DD">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包含超模态行为洞察平台、便携式行为观察记录分析系统、视觉动态追踪系统、遥测式生理信号采集分析系统，详见招标文件第二章 采购需求。</w:t>
            </w:r>
          </w:p>
        </w:tc>
        <w:tc>
          <w:tcPr>
            <w:tcW w:w="1276" w:type="dxa"/>
            <w:tcBorders>
              <w:right w:val="single" w:color="auto" w:sz="4" w:space="0"/>
              <w:tl2br w:val="nil"/>
              <w:tr2bl w:val="nil"/>
            </w:tcBorders>
            <w:vAlign w:val="center"/>
          </w:tcPr>
          <w:p w14:paraId="752420C7">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否</w:t>
            </w:r>
          </w:p>
        </w:tc>
      </w:tr>
      <w:tr w14:paraId="5DE4D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558A5557">
            <w:pPr>
              <w:adjustRightInd w:val="0"/>
              <w:snapToGrid w:val="0"/>
              <w:spacing w:line="288" w:lineRule="auto"/>
              <w:jc w:val="center"/>
              <w:rPr>
                <w:rFonts w:hint="eastAsia" w:ascii="宋体" w:hAnsi="宋体" w:eastAsia="宋体" w:cs="宋体"/>
                <w:bCs/>
                <w:szCs w:val="21"/>
              </w:rPr>
            </w:pPr>
            <w:bookmarkStart w:id="5" w:name="_Toc28359003"/>
            <w:bookmarkStart w:id="6" w:name="_Toc28359080"/>
            <w:bookmarkStart w:id="7" w:name="_Toc35393791"/>
            <w:bookmarkStart w:id="8" w:name="_Toc35393622"/>
            <w:r>
              <w:rPr>
                <w:rFonts w:hint="eastAsia" w:ascii="宋体" w:hAnsi="宋体" w:eastAsia="宋体" w:cs="宋体"/>
                <w:bCs/>
                <w:szCs w:val="21"/>
              </w:rPr>
              <w:t>二</w:t>
            </w:r>
          </w:p>
        </w:tc>
        <w:tc>
          <w:tcPr>
            <w:tcW w:w="3006" w:type="dxa"/>
            <w:tcBorders>
              <w:right w:val="single" w:color="auto" w:sz="4" w:space="0"/>
              <w:tl2br w:val="nil"/>
              <w:tr2bl w:val="nil"/>
            </w:tcBorders>
            <w:vAlign w:val="center"/>
          </w:tcPr>
          <w:p w14:paraId="36F8C977">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共同富裕数据采集系统等</w:t>
            </w:r>
          </w:p>
        </w:tc>
        <w:tc>
          <w:tcPr>
            <w:tcW w:w="708" w:type="dxa"/>
            <w:tcBorders>
              <w:tl2br w:val="nil"/>
              <w:tr2bl w:val="nil"/>
            </w:tcBorders>
            <w:vAlign w:val="center"/>
          </w:tcPr>
          <w:p w14:paraId="0155B26D">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1</w:t>
            </w:r>
          </w:p>
        </w:tc>
        <w:tc>
          <w:tcPr>
            <w:tcW w:w="709" w:type="dxa"/>
            <w:tcBorders>
              <w:tl2br w:val="nil"/>
              <w:tr2bl w:val="nil"/>
            </w:tcBorders>
            <w:vAlign w:val="center"/>
          </w:tcPr>
          <w:p w14:paraId="4FAAAB0E">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批</w:t>
            </w:r>
          </w:p>
        </w:tc>
        <w:tc>
          <w:tcPr>
            <w:tcW w:w="3119" w:type="dxa"/>
            <w:tcBorders>
              <w:right w:val="single" w:color="auto" w:sz="4" w:space="0"/>
              <w:tl2br w:val="nil"/>
              <w:tr2bl w:val="nil"/>
            </w:tcBorders>
            <w:vAlign w:val="center"/>
          </w:tcPr>
          <w:p w14:paraId="61711F69">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包含共同富裕数据采集系统、“数字+”驾驶舱平台，详见招标文件第二章 采购需求。</w:t>
            </w:r>
          </w:p>
        </w:tc>
        <w:tc>
          <w:tcPr>
            <w:tcW w:w="1276" w:type="dxa"/>
            <w:tcBorders>
              <w:right w:val="single" w:color="auto" w:sz="4" w:space="0"/>
              <w:tl2br w:val="nil"/>
              <w:tr2bl w:val="nil"/>
            </w:tcBorders>
            <w:vAlign w:val="center"/>
          </w:tcPr>
          <w:p w14:paraId="4BCEF6F4">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否</w:t>
            </w:r>
          </w:p>
        </w:tc>
      </w:tr>
      <w:tr w14:paraId="26F8E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2F786B00">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三</w:t>
            </w:r>
          </w:p>
        </w:tc>
        <w:tc>
          <w:tcPr>
            <w:tcW w:w="3006" w:type="dxa"/>
            <w:tcBorders>
              <w:right w:val="single" w:color="auto" w:sz="4" w:space="0"/>
              <w:tl2br w:val="nil"/>
              <w:tr2bl w:val="nil"/>
            </w:tcBorders>
            <w:vAlign w:val="center"/>
          </w:tcPr>
          <w:p w14:paraId="39ADA9A1">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“共同富裕智慧大脑”私有数据模型训练服务平台等</w:t>
            </w:r>
          </w:p>
        </w:tc>
        <w:tc>
          <w:tcPr>
            <w:tcW w:w="708" w:type="dxa"/>
            <w:tcBorders>
              <w:tl2br w:val="nil"/>
              <w:tr2bl w:val="nil"/>
            </w:tcBorders>
            <w:vAlign w:val="center"/>
          </w:tcPr>
          <w:p w14:paraId="56515C08">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1</w:t>
            </w:r>
          </w:p>
        </w:tc>
        <w:tc>
          <w:tcPr>
            <w:tcW w:w="709" w:type="dxa"/>
            <w:tcBorders>
              <w:tl2br w:val="nil"/>
              <w:tr2bl w:val="nil"/>
            </w:tcBorders>
            <w:vAlign w:val="center"/>
          </w:tcPr>
          <w:p w14:paraId="0A4470E2">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批</w:t>
            </w:r>
          </w:p>
        </w:tc>
        <w:tc>
          <w:tcPr>
            <w:tcW w:w="3119" w:type="dxa"/>
            <w:tcBorders>
              <w:right w:val="single" w:color="auto" w:sz="4" w:space="0"/>
              <w:tl2br w:val="nil"/>
              <w:tr2bl w:val="nil"/>
            </w:tcBorders>
            <w:vAlign w:val="center"/>
          </w:tcPr>
          <w:p w14:paraId="7EAB36A2">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大模型私有化实施服务系统、“共同富裕智慧大脑”私有数据模型训练服务平台，详见招标文件第二章 采购需求。</w:t>
            </w:r>
          </w:p>
        </w:tc>
        <w:tc>
          <w:tcPr>
            <w:tcW w:w="1276" w:type="dxa"/>
            <w:tcBorders>
              <w:right w:val="single" w:color="auto" w:sz="4" w:space="0"/>
              <w:tl2br w:val="nil"/>
              <w:tr2bl w:val="nil"/>
            </w:tcBorders>
            <w:vAlign w:val="center"/>
          </w:tcPr>
          <w:p w14:paraId="095BEF53">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否</w:t>
            </w:r>
          </w:p>
        </w:tc>
      </w:tr>
      <w:tr w14:paraId="37B4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363765E3">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四</w:t>
            </w:r>
          </w:p>
        </w:tc>
        <w:tc>
          <w:tcPr>
            <w:tcW w:w="3006" w:type="dxa"/>
            <w:tcBorders>
              <w:right w:val="single" w:color="auto" w:sz="4" w:space="0"/>
              <w:tl2br w:val="nil"/>
              <w:tr2bl w:val="nil"/>
            </w:tcBorders>
            <w:vAlign w:val="center"/>
          </w:tcPr>
          <w:p w14:paraId="064C90A8">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智能人机交互界面开发服务平台</w:t>
            </w:r>
          </w:p>
        </w:tc>
        <w:tc>
          <w:tcPr>
            <w:tcW w:w="708" w:type="dxa"/>
            <w:tcBorders>
              <w:tl2br w:val="nil"/>
              <w:tr2bl w:val="nil"/>
            </w:tcBorders>
            <w:vAlign w:val="center"/>
          </w:tcPr>
          <w:p w14:paraId="425632AE">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1</w:t>
            </w:r>
          </w:p>
        </w:tc>
        <w:tc>
          <w:tcPr>
            <w:tcW w:w="709" w:type="dxa"/>
            <w:tcBorders>
              <w:tl2br w:val="nil"/>
              <w:tr2bl w:val="nil"/>
            </w:tcBorders>
            <w:vAlign w:val="center"/>
          </w:tcPr>
          <w:p w14:paraId="7FE31925">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套</w:t>
            </w:r>
          </w:p>
        </w:tc>
        <w:tc>
          <w:tcPr>
            <w:tcW w:w="3119" w:type="dxa"/>
            <w:tcBorders>
              <w:right w:val="single" w:color="auto" w:sz="4" w:space="0"/>
              <w:tl2br w:val="nil"/>
              <w:tr2bl w:val="nil"/>
            </w:tcBorders>
            <w:vAlign w:val="center"/>
          </w:tcPr>
          <w:p w14:paraId="46489BC6">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包括但不限于：数字人终端1台。详见招标文件第二章 采购需求。</w:t>
            </w:r>
          </w:p>
        </w:tc>
        <w:tc>
          <w:tcPr>
            <w:tcW w:w="1276" w:type="dxa"/>
            <w:tcBorders>
              <w:right w:val="single" w:color="auto" w:sz="4" w:space="0"/>
              <w:tl2br w:val="nil"/>
              <w:tr2bl w:val="nil"/>
            </w:tcBorders>
            <w:vAlign w:val="center"/>
          </w:tcPr>
          <w:p w14:paraId="6A8CD42B">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否</w:t>
            </w:r>
          </w:p>
        </w:tc>
      </w:tr>
    </w:tbl>
    <w:p w14:paraId="1D44BD6D">
      <w:pPr>
        <w:adjustRightInd w:val="0"/>
        <w:snapToGrid w:val="0"/>
        <w:spacing w:line="288" w:lineRule="auto"/>
        <w:rPr>
          <w:rFonts w:hint="eastAsia" w:ascii="宋体" w:hAnsi="宋体" w:eastAsia="宋体" w:cs="宋体"/>
          <w:b/>
          <w:szCs w:val="21"/>
        </w:rPr>
      </w:pPr>
      <w:r>
        <w:rPr>
          <w:rFonts w:hint="eastAsia" w:ascii="宋体" w:hAnsi="宋体" w:eastAsia="宋体" w:cs="宋体"/>
          <w:b/>
          <w:szCs w:val="21"/>
        </w:rPr>
        <w:t>二、申请人的资格要求：</w:t>
      </w:r>
      <w:bookmarkEnd w:id="5"/>
      <w:bookmarkEnd w:id="6"/>
      <w:bookmarkEnd w:id="7"/>
      <w:bookmarkEnd w:id="8"/>
    </w:p>
    <w:p w14:paraId="7123C9D3">
      <w:pPr>
        <w:adjustRightInd w:val="0"/>
        <w:snapToGrid w:val="0"/>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1.满足《中华人民共和国政府采购法》第二十二条规定，未被“信用中国”（www.creditchina.gov.cn）</w:t>
      </w:r>
      <w:r>
        <w:rPr>
          <w:rFonts w:ascii="宋体" w:hAnsi="宋体" w:eastAsia="宋体" w:cs="Times New Roman"/>
          <w:bCs/>
          <w:szCs w:val="21"/>
        </w:rPr>
        <w:t>、中国政府采购网（www.ccgp.gov.cn）列入失信被执行人、重大税收违法案件当事人名单、政府采购严重违法失信行为记录名单</w:t>
      </w:r>
      <w:r>
        <w:rPr>
          <w:rFonts w:hint="eastAsia" w:ascii="宋体" w:hAnsi="宋体" w:eastAsia="宋体" w:cs="Times New Roman"/>
          <w:bCs/>
          <w:szCs w:val="21"/>
        </w:rPr>
        <w:t>；</w:t>
      </w:r>
    </w:p>
    <w:p w14:paraId="05028B95">
      <w:pPr>
        <w:adjustRightInd w:val="0"/>
        <w:snapToGrid w:val="0"/>
        <w:spacing w:line="288" w:lineRule="auto"/>
        <w:ind w:firstLine="420" w:firstLineChars="200"/>
        <w:rPr>
          <w:rFonts w:hint="eastAsia" w:ascii="宋体" w:hAnsi="宋体" w:eastAsia="宋体" w:cs="Times New Roman"/>
          <w:szCs w:val="21"/>
        </w:rPr>
      </w:pPr>
      <w:bookmarkStart w:id="9" w:name="_Toc28359004"/>
      <w:bookmarkStart w:id="10" w:name="_Toc28359081"/>
      <w:r>
        <w:rPr>
          <w:rFonts w:hint="eastAsia" w:ascii="宋体" w:hAnsi="宋体" w:eastAsia="宋体" w:cs="Times New Roman"/>
          <w:szCs w:val="21"/>
        </w:rPr>
        <w:t>2.落实政府采购政策需满足的资格要求：无</w:t>
      </w:r>
    </w:p>
    <w:p w14:paraId="4DB18435">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3.本项目的特定资格要求：无</w:t>
      </w:r>
    </w:p>
    <w:p w14:paraId="2E29BE1F">
      <w:pPr>
        <w:adjustRightInd w:val="0"/>
        <w:snapToGrid w:val="0"/>
        <w:spacing w:line="288" w:lineRule="auto"/>
        <w:rPr>
          <w:rFonts w:hint="eastAsia" w:ascii="宋体" w:hAnsi="宋体" w:eastAsia="宋体" w:cs="宋体"/>
          <w:b/>
          <w:szCs w:val="21"/>
        </w:rPr>
      </w:pPr>
      <w:bookmarkStart w:id="11" w:name="_Toc35393792"/>
      <w:bookmarkStart w:id="12" w:name="_Toc35393623"/>
      <w:r>
        <w:rPr>
          <w:rFonts w:hint="eastAsia" w:ascii="宋体" w:hAnsi="宋体" w:eastAsia="宋体" w:cs="宋体"/>
          <w:b/>
          <w:szCs w:val="21"/>
        </w:rPr>
        <w:t>三、获取招标文件</w:t>
      </w:r>
      <w:bookmarkEnd w:id="9"/>
      <w:bookmarkEnd w:id="10"/>
      <w:bookmarkEnd w:id="11"/>
      <w:bookmarkEnd w:id="12"/>
    </w:p>
    <w:p w14:paraId="126F6F13">
      <w:pPr>
        <w:adjustRightInd w:val="0"/>
        <w:snapToGrid w:val="0"/>
        <w:spacing w:line="288" w:lineRule="auto"/>
        <w:ind w:firstLine="420" w:firstLineChars="200"/>
        <w:rPr>
          <w:rFonts w:hint="eastAsia" w:ascii="宋体" w:hAnsi="宋体" w:eastAsia="宋体" w:cs="Times New Roman"/>
          <w:szCs w:val="21"/>
        </w:rPr>
      </w:pPr>
      <w:bookmarkStart w:id="13" w:name="_Toc28359005"/>
      <w:bookmarkStart w:id="14" w:name="_Toc28359082"/>
      <w:bookmarkStart w:id="15" w:name="_Toc35393624"/>
      <w:bookmarkStart w:id="16" w:name="_Toc35393793"/>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时间：</w:t>
      </w:r>
      <w:r>
        <w:rPr>
          <w:rFonts w:hint="eastAsia" w:ascii="宋体" w:hAnsi="宋体" w:eastAsia="宋体" w:cs="Times New Roman"/>
          <w:szCs w:val="21"/>
          <w:lang w:eastAsia="zh-CN"/>
        </w:rPr>
        <w:t>2024年10月31日至2024年11月21日</w:t>
      </w:r>
      <w:r>
        <w:rPr>
          <w:rFonts w:hint="eastAsia" w:ascii="宋体" w:hAnsi="宋体" w:eastAsia="宋体" w:cs="Times New Roman"/>
          <w:szCs w:val="21"/>
        </w:rPr>
        <w:t>，上午</w:t>
      </w:r>
      <w:r>
        <w:rPr>
          <w:rFonts w:hint="eastAsia" w:ascii="宋体" w:hAnsi="宋体" w:eastAsia="宋体" w:cs="Times New Roman"/>
          <w:bCs/>
          <w:szCs w:val="21"/>
        </w:rPr>
        <w:t>00:00至12:00，下午12:00至23:59（北京时间，线上获取法定节假日均可，线下获取文件法定节假日除外）</w:t>
      </w:r>
    </w:p>
    <w:p w14:paraId="5804EE23">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地点（网址）：政府采购云平台（https://www.zcygov.cn）</w:t>
      </w:r>
    </w:p>
    <w:p w14:paraId="5030A46F">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方式：供应商登录政采云平台（https://www.zcygov.cn）</w:t>
      </w:r>
      <w:r>
        <w:rPr>
          <w:rFonts w:ascii="宋体" w:hAnsi="宋体" w:eastAsia="宋体" w:cs="Times New Roman"/>
          <w:szCs w:val="21"/>
        </w:rPr>
        <w:t>在线申请获取采购文件（进入“项目采购”应用，在获取采购文件菜单中选择项目，申请获取采购文件）。</w:t>
      </w:r>
    </w:p>
    <w:p w14:paraId="7521097E">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售价（元）：0</w:t>
      </w:r>
    </w:p>
    <w:p w14:paraId="0F761871">
      <w:pPr>
        <w:adjustRightInd w:val="0"/>
        <w:snapToGrid w:val="0"/>
        <w:spacing w:line="288" w:lineRule="auto"/>
        <w:rPr>
          <w:rFonts w:hint="eastAsia" w:ascii="宋体" w:hAnsi="宋体" w:eastAsia="宋体" w:cs="宋体"/>
          <w:b/>
          <w:szCs w:val="21"/>
        </w:rPr>
      </w:pPr>
      <w:r>
        <w:rPr>
          <w:rFonts w:hint="eastAsia" w:ascii="宋体" w:hAnsi="宋体" w:eastAsia="宋体" w:cs="宋体"/>
          <w:b/>
          <w:szCs w:val="21"/>
        </w:rPr>
        <w:t>四、提交（上传）投标文件</w:t>
      </w:r>
      <w:bookmarkEnd w:id="13"/>
      <w:bookmarkEnd w:id="14"/>
      <w:r>
        <w:rPr>
          <w:rFonts w:hint="eastAsia" w:ascii="宋体" w:hAnsi="宋体" w:eastAsia="宋体" w:cs="宋体"/>
          <w:b/>
          <w:szCs w:val="21"/>
        </w:rPr>
        <w:t>截止时间、开标时间和地点</w:t>
      </w:r>
      <w:bookmarkEnd w:id="15"/>
      <w:bookmarkEnd w:id="16"/>
    </w:p>
    <w:p w14:paraId="40946FA8">
      <w:pPr>
        <w:adjustRightInd w:val="0"/>
        <w:snapToGrid w:val="0"/>
        <w:spacing w:line="288" w:lineRule="auto"/>
        <w:ind w:firstLine="420" w:firstLineChars="200"/>
        <w:rPr>
          <w:rFonts w:hint="eastAsia" w:ascii="宋体" w:hAnsi="宋体" w:eastAsia="宋体" w:cs="Times New Roman"/>
          <w:bCs/>
          <w:szCs w:val="21"/>
        </w:rPr>
      </w:pPr>
      <w:bookmarkStart w:id="17" w:name="_Hlk81212057"/>
      <w:r>
        <w:rPr>
          <w:rFonts w:hint="eastAsia" w:ascii="宋体" w:hAnsi="宋体" w:eastAsia="宋体" w:cs="Times New Roman"/>
          <w:bCs/>
          <w:szCs w:val="21"/>
        </w:rPr>
        <w:t>提交投标文件截止时间：</w:t>
      </w:r>
      <w:r>
        <w:rPr>
          <w:rFonts w:hint="eastAsia" w:ascii="宋体" w:hAnsi="宋体" w:eastAsia="宋体" w:cs="Times New Roman"/>
          <w:bCs/>
          <w:szCs w:val="21"/>
          <w:lang w:eastAsia="zh-CN"/>
        </w:rPr>
        <w:t>2024年11月21日13:30:00</w:t>
      </w:r>
      <w:r>
        <w:rPr>
          <w:rFonts w:hint="eastAsia" w:ascii="宋体" w:hAnsi="宋体" w:eastAsia="宋体" w:cs="Times New Roman"/>
          <w:bCs/>
          <w:szCs w:val="21"/>
        </w:rPr>
        <w:t>（北京时间）</w:t>
      </w:r>
    </w:p>
    <w:p w14:paraId="198C5A3F">
      <w:pPr>
        <w:adjustRightInd w:val="0"/>
        <w:snapToGrid w:val="0"/>
        <w:spacing w:line="288" w:lineRule="auto"/>
        <w:ind w:firstLine="420" w:firstLineChars="200"/>
        <w:rPr>
          <w:rFonts w:hint="eastAsia" w:ascii="宋体" w:hAnsi="宋体" w:eastAsia="宋体" w:cs="Times New Roman"/>
          <w:bCs/>
          <w:szCs w:val="21"/>
        </w:rPr>
      </w:pPr>
      <w:r>
        <w:rPr>
          <w:rFonts w:ascii="宋体" w:hAnsi="宋体" w:eastAsia="宋体" w:cs="Times New Roman"/>
          <w:bCs/>
          <w:szCs w:val="21"/>
        </w:rPr>
        <w:t>投标地点（网址）：</w:t>
      </w:r>
      <w:r>
        <w:rPr>
          <w:rFonts w:hint="eastAsia" w:ascii="宋体" w:hAnsi="宋体" w:eastAsia="宋体" w:cs="Times New Roman"/>
          <w:szCs w:val="21"/>
        </w:rPr>
        <w:t>政府采购云平台（https://www.zcygov.cn）</w:t>
      </w:r>
    </w:p>
    <w:p w14:paraId="386EF10A">
      <w:pPr>
        <w:adjustRightInd w:val="0"/>
        <w:snapToGrid w:val="0"/>
        <w:spacing w:line="288" w:lineRule="auto"/>
        <w:ind w:firstLine="420" w:firstLineChars="200"/>
        <w:rPr>
          <w:rFonts w:hint="eastAsia" w:ascii="宋体" w:hAnsi="宋体" w:eastAsia="宋体" w:cs="Times New Roman"/>
          <w:bCs/>
          <w:szCs w:val="21"/>
        </w:rPr>
      </w:pPr>
      <w:r>
        <w:rPr>
          <w:rFonts w:ascii="宋体" w:hAnsi="宋体" w:eastAsia="宋体" w:cs="Times New Roman"/>
          <w:bCs/>
          <w:szCs w:val="21"/>
        </w:rPr>
        <w:t>开标时间：</w:t>
      </w:r>
      <w:r>
        <w:rPr>
          <w:rFonts w:hint="eastAsia" w:ascii="宋体" w:hAnsi="宋体" w:eastAsia="宋体" w:cs="Times New Roman"/>
          <w:bCs/>
          <w:szCs w:val="21"/>
          <w:lang w:eastAsia="zh-CN"/>
        </w:rPr>
        <w:t>2024年11月21日13:30:00</w:t>
      </w:r>
      <w:r>
        <w:rPr>
          <w:rFonts w:hint="eastAsia" w:ascii="宋体" w:hAnsi="宋体" w:eastAsia="宋体" w:cs="Times New Roman"/>
          <w:bCs/>
          <w:szCs w:val="21"/>
        </w:rPr>
        <w:t>（北京时间）</w:t>
      </w:r>
    </w:p>
    <w:p w14:paraId="1321D16C">
      <w:pPr>
        <w:adjustRightInd w:val="0"/>
        <w:snapToGrid w:val="0"/>
        <w:spacing w:line="288" w:lineRule="auto"/>
        <w:ind w:firstLine="420" w:firstLineChars="200"/>
        <w:rPr>
          <w:rFonts w:hint="eastAsia" w:ascii="宋体" w:hAnsi="宋体" w:eastAsia="宋体" w:cs="Times New Roman"/>
          <w:bCs/>
          <w:szCs w:val="21"/>
          <w:lang w:eastAsia="zh-CN"/>
        </w:rPr>
      </w:pPr>
      <w:r>
        <w:rPr>
          <w:rFonts w:ascii="宋体" w:hAnsi="宋体" w:eastAsia="宋体" w:cs="Times New Roman"/>
          <w:bCs/>
          <w:szCs w:val="21"/>
        </w:rPr>
        <w:t>开标地点（网址）：</w:t>
      </w:r>
      <w:r>
        <w:rPr>
          <w:rFonts w:hint="eastAsia" w:ascii="宋体" w:hAnsi="宋体" w:eastAsia="宋体" w:cs="Times New Roman"/>
          <w:szCs w:val="21"/>
        </w:rPr>
        <w:t>政府采购云平台（https://www.zcygov.cn）</w:t>
      </w:r>
      <w:bookmarkStart w:id="18" w:name="_Hlk81212131"/>
      <w:r>
        <w:rPr>
          <w:rFonts w:hint="eastAsia" w:ascii="宋体" w:hAnsi="宋体" w:eastAsia="宋体" w:cs="Times New Roman"/>
          <w:szCs w:val="21"/>
        </w:rPr>
        <w:t>/</w:t>
      </w:r>
      <w:bookmarkEnd w:id="18"/>
      <w:r>
        <w:rPr>
          <w:rFonts w:hint="eastAsia" w:ascii="宋体" w:hAnsi="宋体" w:eastAsia="宋体" w:cs="Times New Roman"/>
          <w:szCs w:val="21"/>
          <w:lang w:eastAsia="zh-CN"/>
        </w:rPr>
        <w:t>杭州市西湖区玉古路173号中田大厦21楼（求是招标会议室1）</w:t>
      </w:r>
    </w:p>
    <w:bookmarkEnd w:id="17"/>
    <w:p w14:paraId="136BC5F9">
      <w:pPr>
        <w:adjustRightInd w:val="0"/>
        <w:snapToGrid w:val="0"/>
        <w:spacing w:line="288" w:lineRule="auto"/>
        <w:rPr>
          <w:rFonts w:hint="eastAsia" w:ascii="宋体" w:hAnsi="宋体" w:eastAsia="宋体" w:cs="宋体"/>
          <w:b/>
          <w:szCs w:val="21"/>
        </w:rPr>
      </w:pPr>
      <w:bookmarkStart w:id="19" w:name="_Toc35393625"/>
      <w:bookmarkStart w:id="20" w:name="_Toc28359084"/>
      <w:bookmarkStart w:id="21" w:name="_Toc28359007"/>
      <w:bookmarkStart w:id="22" w:name="_Toc35393794"/>
      <w:r>
        <w:rPr>
          <w:rFonts w:hint="eastAsia" w:ascii="宋体" w:hAnsi="宋体" w:eastAsia="宋体" w:cs="宋体"/>
          <w:b/>
          <w:szCs w:val="21"/>
        </w:rPr>
        <w:t>五、公告期限</w:t>
      </w:r>
      <w:bookmarkEnd w:id="19"/>
      <w:bookmarkEnd w:id="20"/>
      <w:bookmarkEnd w:id="21"/>
      <w:bookmarkEnd w:id="22"/>
    </w:p>
    <w:p w14:paraId="28969B9A">
      <w:pPr>
        <w:adjustRightInd w:val="0"/>
        <w:snapToGrid w:val="0"/>
        <w:spacing w:line="288"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自本公告发布之日起5个工作日。</w:t>
      </w:r>
    </w:p>
    <w:p w14:paraId="34DC3AFD">
      <w:pPr>
        <w:adjustRightInd w:val="0"/>
        <w:snapToGrid w:val="0"/>
        <w:spacing w:line="288" w:lineRule="auto"/>
        <w:rPr>
          <w:rFonts w:hint="eastAsia" w:ascii="宋体" w:hAnsi="宋体" w:eastAsia="宋体" w:cs="宋体"/>
          <w:b/>
          <w:szCs w:val="21"/>
        </w:rPr>
      </w:pPr>
      <w:bookmarkStart w:id="23" w:name="_Toc35393626"/>
      <w:bookmarkStart w:id="24" w:name="_Toc35393795"/>
      <w:r>
        <w:rPr>
          <w:rFonts w:hint="eastAsia" w:ascii="宋体" w:hAnsi="宋体" w:eastAsia="宋体" w:cs="宋体"/>
          <w:b/>
          <w:szCs w:val="21"/>
        </w:rPr>
        <w:t>六、其他补充事宜</w:t>
      </w:r>
      <w:bookmarkEnd w:id="23"/>
      <w:bookmarkEnd w:id="24"/>
    </w:p>
    <w:p w14:paraId="7FCFBFCB">
      <w:pPr>
        <w:adjustRightInd w:val="0"/>
        <w:snapToGrid w:val="0"/>
        <w:spacing w:line="288" w:lineRule="auto"/>
        <w:ind w:firstLine="420" w:firstLineChars="200"/>
        <w:rPr>
          <w:rFonts w:hint="eastAsia" w:ascii="宋体" w:hAnsi="宋体" w:eastAsia="宋体" w:cs="Times New Roman"/>
          <w:szCs w:val="21"/>
        </w:rPr>
      </w:pPr>
      <w:bookmarkStart w:id="25" w:name="_Hlk92271231"/>
      <w:r>
        <w:rPr>
          <w:rFonts w:ascii="宋体" w:hAnsi="宋体" w:eastAsia="宋体" w:cs="Times New Roman"/>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FFDBE50">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47AEEBD">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B257CD0">
      <w:pPr>
        <w:adjustRightInd w:val="0"/>
        <w:snapToGrid w:val="0"/>
        <w:spacing w:line="288" w:lineRule="auto"/>
        <w:ind w:firstLine="420" w:firstLineChars="200"/>
        <w:rPr>
          <w:rFonts w:hint="eastAsia" w:ascii="宋体" w:hAnsi="宋体" w:eastAsia="宋体" w:cs="Times New Roman"/>
          <w:szCs w:val="21"/>
          <w:highlight w:val="cyan"/>
        </w:rPr>
      </w:pPr>
      <w:r>
        <w:rPr>
          <w:rFonts w:ascii="宋体" w:hAnsi="宋体" w:eastAsia="宋体" w:cs="Times New Roman"/>
          <w:szCs w:val="21"/>
        </w:rPr>
        <w:t>4.其他事项：</w:t>
      </w:r>
      <w:bookmarkStart w:id="26" w:name="_Hlk92271331"/>
    </w:p>
    <w:p w14:paraId="0831FB3A">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需要落实的政府采购政策：包括节约资源、保护环境、</w:t>
      </w:r>
      <w:bookmarkStart w:id="27" w:name="_Hlk106877787"/>
      <w:r>
        <w:rPr>
          <w:rFonts w:hint="eastAsia" w:ascii="宋体" w:hAnsi="宋体" w:eastAsia="宋体" w:cs="Times New Roman"/>
          <w:szCs w:val="21"/>
        </w:rPr>
        <w:t>支持科技创新、</w:t>
      </w:r>
      <w:bookmarkEnd w:id="27"/>
      <w:r>
        <w:rPr>
          <w:rFonts w:ascii="宋体" w:hAnsi="宋体" w:eastAsia="宋体" w:cs="Times New Roman"/>
          <w:szCs w:val="21"/>
        </w:rPr>
        <w:t>促进中小企业发展等。详见招标文件的第</w:t>
      </w:r>
      <w:r>
        <w:rPr>
          <w:rFonts w:hint="eastAsia" w:ascii="宋体" w:hAnsi="宋体" w:eastAsia="宋体" w:cs="Times New Roman"/>
          <w:szCs w:val="21"/>
        </w:rPr>
        <w:t>三章-采购项目需要落实的政府采购政策</w:t>
      </w:r>
      <w:r>
        <w:rPr>
          <w:rFonts w:ascii="宋体" w:hAnsi="宋体" w:eastAsia="宋体" w:cs="Times New Roman"/>
          <w:szCs w:val="21"/>
        </w:rPr>
        <w:t>。</w:t>
      </w:r>
    </w:p>
    <w:p w14:paraId="007F9460">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w:t>
      </w:r>
      <w:bookmarkStart w:id="28" w:name="_Hlk92271072"/>
      <w:r>
        <w:rPr>
          <w:rFonts w:hint="eastAsia" w:ascii="宋体" w:hAnsi="宋体" w:eastAsia="宋体" w:cs="Times New Roman"/>
          <w:szCs w:val="21"/>
        </w:rPr>
        <w:t>（2）</w:t>
      </w:r>
      <w:r>
        <w:rPr>
          <w:rFonts w:ascii="宋体" w:hAnsi="宋体" w:eastAsia="宋体" w:cs="Times New Roman"/>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bookmarkEnd w:id="25"/>
    <w:bookmarkEnd w:id="26"/>
    <w:p w14:paraId="396BD21C">
      <w:pPr>
        <w:adjustRightInd w:val="0"/>
        <w:snapToGrid w:val="0"/>
        <w:spacing w:line="288" w:lineRule="auto"/>
        <w:rPr>
          <w:rFonts w:hint="eastAsia" w:ascii="宋体" w:hAnsi="宋体" w:eastAsia="宋体" w:cs="Times New Roman"/>
          <w:b/>
          <w:szCs w:val="21"/>
        </w:rPr>
      </w:pPr>
      <w:bookmarkStart w:id="29" w:name="_Toc35393627"/>
      <w:bookmarkStart w:id="30" w:name="_Toc28359085"/>
      <w:bookmarkStart w:id="31" w:name="_Toc28359008"/>
      <w:bookmarkStart w:id="32" w:name="_Toc35393796"/>
      <w:r>
        <w:rPr>
          <w:rFonts w:hint="eastAsia" w:ascii="宋体" w:hAnsi="宋体" w:eastAsia="宋体" w:cs="宋体"/>
          <w:b/>
          <w:szCs w:val="21"/>
        </w:rPr>
        <w:t>七、对本次招标提出询问、质疑、投诉请按</w:t>
      </w:r>
      <w:r>
        <w:rPr>
          <w:rFonts w:ascii="宋体" w:hAnsi="宋体" w:eastAsia="宋体" w:cs="宋体"/>
          <w:b/>
          <w:szCs w:val="21"/>
        </w:rPr>
        <w:t>以下方式</w:t>
      </w:r>
      <w:r>
        <w:rPr>
          <w:rFonts w:hint="eastAsia" w:ascii="宋体" w:hAnsi="宋体" w:eastAsia="宋体" w:cs="宋体"/>
          <w:b/>
          <w:szCs w:val="21"/>
        </w:rPr>
        <w:t>联系</w:t>
      </w:r>
      <w:bookmarkEnd w:id="29"/>
      <w:bookmarkEnd w:id="30"/>
      <w:bookmarkEnd w:id="31"/>
      <w:bookmarkEnd w:id="32"/>
    </w:p>
    <w:p w14:paraId="78684E97">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1.采购人信息</w:t>
      </w:r>
    </w:p>
    <w:p w14:paraId="549BFB07">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名称：浙江工商大学</w:t>
      </w:r>
    </w:p>
    <w:p w14:paraId="7EFA2543">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地址：浙江省杭州市下沙高教园区学正街18号</w:t>
      </w:r>
    </w:p>
    <w:p w14:paraId="5D7486DB">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传真：/</w:t>
      </w:r>
    </w:p>
    <w:p w14:paraId="5A6661CA">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项目联系人（询问）：耿老师</w:t>
      </w:r>
    </w:p>
    <w:p w14:paraId="24C2613E">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项目联系方式（询问）：0571-28872509</w:t>
      </w:r>
    </w:p>
    <w:p w14:paraId="50195FB7">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质疑联系人：陈老师</w:t>
      </w:r>
    </w:p>
    <w:p w14:paraId="7879C14D">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质疑联系方式：0571-28877292</w:t>
      </w:r>
    </w:p>
    <w:p w14:paraId="71F98E4C">
      <w:pPr>
        <w:adjustRightInd w:val="0"/>
        <w:snapToGrid w:val="0"/>
        <w:spacing w:line="288" w:lineRule="auto"/>
        <w:ind w:firstLine="424" w:firstLineChars="202"/>
        <w:rPr>
          <w:rFonts w:hint="eastAsia" w:ascii="宋体" w:hAnsi="宋体" w:eastAsia="宋体" w:cs="Times New Roman"/>
          <w:szCs w:val="21"/>
        </w:rPr>
      </w:pPr>
    </w:p>
    <w:p w14:paraId="0DD4E609">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2.采购代理机构信息</w:t>
      </w:r>
    </w:p>
    <w:p w14:paraId="3B899474">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名称：浙江求是招标代理有限公司</w:t>
      </w:r>
    </w:p>
    <w:p w14:paraId="2810EDEC">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地址：杭州市西湖区玉古路173号中田大厦21楼</w:t>
      </w:r>
    </w:p>
    <w:p w14:paraId="2C845106">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传真：/</w:t>
      </w:r>
    </w:p>
    <w:p w14:paraId="6B25284C">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项目联系人（询问）：</w:t>
      </w:r>
      <w:r>
        <w:rPr>
          <w:rFonts w:hint="eastAsia" w:ascii="宋体" w:hAnsi="宋体" w:eastAsia="宋体" w:cs="Times New Roman"/>
          <w:bCs/>
          <w:spacing w:val="-6"/>
          <w:szCs w:val="21"/>
        </w:rPr>
        <w:t>李聪、温瑶、陈培特、陈丹妮、杜伟波</w:t>
      </w:r>
    </w:p>
    <w:p w14:paraId="0B87D2A4">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项目联系方式（询问）：0571-87666115</w:t>
      </w:r>
    </w:p>
    <w:p w14:paraId="74A887C3">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质疑联系人：周安琪</w:t>
      </w:r>
    </w:p>
    <w:p w14:paraId="006D27CC">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质疑联系方式：0571-81110356</w:t>
      </w:r>
    </w:p>
    <w:p w14:paraId="769C7C92">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质疑邮箱：</w:t>
      </w:r>
      <w:r>
        <w:rPr>
          <w:rFonts w:ascii="宋体" w:hAnsi="宋体" w:eastAsia="宋体" w:cs="Times New Roman"/>
          <w:szCs w:val="21"/>
        </w:rPr>
        <w:t>jdkh@qszb.net</w:t>
      </w:r>
    </w:p>
    <w:p w14:paraId="6C63E778">
      <w:pPr>
        <w:adjustRightInd w:val="0"/>
        <w:snapToGrid w:val="0"/>
        <w:spacing w:line="288" w:lineRule="auto"/>
        <w:ind w:firstLine="424" w:firstLineChars="202"/>
        <w:rPr>
          <w:rFonts w:hint="eastAsia" w:ascii="宋体" w:hAnsi="宋体" w:eastAsia="宋体" w:cs="Times New Roman"/>
          <w:szCs w:val="21"/>
        </w:rPr>
      </w:pPr>
      <w:bookmarkStart w:id="33" w:name="_Hlk124147873"/>
    </w:p>
    <w:p w14:paraId="4FB3EAB1">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3.同级政府采购监督管理部门</w:t>
      </w:r>
    </w:p>
    <w:p w14:paraId="443F6B22">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名称：浙江省财政厅政府采购监管处、浙江省政府采购行政裁决服务中心（杭州）</w:t>
      </w:r>
    </w:p>
    <w:p w14:paraId="4FFDC13B">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地址：</w:t>
      </w:r>
      <w:r>
        <w:rPr>
          <w:rFonts w:hint="eastAsia" w:ascii="宋体" w:hAnsi="宋体" w:eastAsia="宋体" w:cs="Times New Roman"/>
          <w:spacing w:val="-6"/>
          <w:szCs w:val="21"/>
        </w:rPr>
        <w:t>杭州市上城区清泰街549号城建综合大楼11楼（快递仅限ems或顺丰）</w:t>
      </w:r>
    </w:p>
    <w:p w14:paraId="54EAD205">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传真：/</w:t>
      </w:r>
    </w:p>
    <w:p w14:paraId="4F87DEA2">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联系人：朱女士、王女士</w:t>
      </w:r>
    </w:p>
    <w:p w14:paraId="2A74DE5F">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监督投诉电话：</w:t>
      </w:r>
      <w:r>
        <w:rPr>
          <w:rFonts w:hint="eastAsia" w:ascii="宋体" w:hAnsi="宋体" w:eastAsia="宋体" w:cs="Times New Roman"/>
          <w:spacing w:val="-6"/>
          <w:szCs w:val="21"/>
        </w:rPr>
        <w:t>0571-87227671,0571-87800218</w:t>
      </w:r>
    </w:p>
    <w:p w14:paraId="60839D1B">
      <w:pPr>
        <w:adjustRightInd w:val="0"/>
        <w:snapToGrid w:val="0"/>
        <w:spacing w:line="288" w:lineRule="auto"/>
        <w:ind w:firstLine="425" w:firstLineChars="215"/>
        <w:rPr>
          <w:rFonts w:hint="eastAsia" w:ascii="宋体" w:hAnsi="宋体" w:eastAsia="宋体" w:cs="Times New Roman"/>
          <w:spacing w:val="-6"/>
          <w:szCs w:val="21"/>
        </w:rPr>
      </w:pPr>
    </w:p>
    <w:p w14:paraId="342EF04C">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政策咨询：何一平、冯华，0571-87058424、87055741</w:t>
      </w:r>
    </w:p>
    <w:p w14:paraId="07C56523">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预算金额未达100万元的采购项目，由采购人处理采购争议。</w:t>
      </w:r>
    </w:p>
    <w:p w14:paraId="3AC594CE">
      <w:pPr>
        <w:adjustRightInd w:val="0"/>
        <w:snapToGrid w:val="0"/>
        <w:spacing w:line="288" w:lineRule="auto"/>
        <w:ind w:firstLine="370"/>
        <w:rPr>
          <w:rFonts w:hint="eastAsia" w:ascii="宋体" w:hAnsi="宋体" w:eastAsia="宋体" w:cs="Times New Roman"/>
          <w:spacing w:val="-6"/>
          <w:szCs w:val="21"/>
        </w:rPr>
      </w:pPr>
    </w:p>
    <w:p w14:paraId="48EA794E">
      <w:pPr>
        <w:adjustRightInd w:val="0"/>
        <w:snapToGrid w:val="0"/>
        <w:spacing w:line="288" w:lineRule="auto"/>
        <w:ind w:firstLine="420" w:firstLineChars="200"/>
        <w:rPr>
          <w:rFonts w:hint="eastAsia" w:ascii="宋体" w:hAnsi="宋体" w:eastAsia="宋体" w:cs="Times New Roman"/>
          <w:szCs w:val="21"/>
        </w:rPr>
      </w:pPr>
      <w:bookmarkStart w:id="34" w:name="_Hlk143604927"/>
      <w:r>
        <w:rPr>
          <w:rFonts w:hint="eastAsia" w:ascii="宋体" w:hAnsi="宋体" w:eastAsia="宋体" w:cs="Times New Roman"/>
          <w:szCs w:val="21"/>
        </w:rPr>
        <w:t>若对项目采购电子交易系统操作有疑问，可登录政采云（</w:t>
      </w:r>
      <w:r>
        <w:rPr>
          <w:rFonts w:ascii="宋体" w:hAnsi="宋体" w:eastAsia="宋体" w:cs="Times New Roman"/>
          <w:szCs w:val="21"/>
        </w:rPr>
        <w:t>https://www.zcygov.cn/），点击右侧咨询小采，获取采小蜜智能服务管家帮助，或拨打政采云服务热线95763获取热线服务帮助。</w:t>
      </w:r>
    </w:p>
    <w:p w14:paraId="663C7056">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CA问题联系电话（人工）：汇信CA 400-888-4636；天谷CA 400-087-8198。</w:t>
      </w:r>
    </w:p>
    <w:bookmarkEnd w:id="33"/>
    <w:bookmarkEnd w:id="34"/>
    <w:p w14:paraId="37AE8CA0">
      <w:pPr>
        <w:adjustRightInd w:val="0"/>
        <w:snapToGrid w:val="0"/>
        <w:spacing w:line="288" w:lineRule="auto"/>
        <w:ind w:left="238"/>
        <w:jc w:val="center"/>
        <w:outlineLvl w:val="0"/>
        <w:rPr>
          <w:rFonts w:hint="eastAsia" w:ascii="宋体" w:hAnsi="宋体" w:eastAsia="宋体" w:cs="Times New Roman"/>
          <w:b/>
          <w:bCs/>
          <w:sz w:val="32"/>
          <w:szCs w:val="32"/>
        </w:rPr>
      </w:pPr>
      <w:r>
        <w:rPr>
          <w:rFonts w:hint="eastAsia" w:ascii="宋体" w:hAnsi="宋体" w:eastAsia="宋体" w:cs="Times New Roman"/>
          <w:szCs w:val="21"/>
        </w:rPr>
        <w:br w:type="page"/>
      </w:r>
      <w:r>
        <w:rPr>
          <w:rFonts w:hint="eastAsia" w:ascii="宋体" w:hAnsi="宋体" w:eastAsia="宋体" w:cs="Times New Roman"/>
          <w:b/>
          <w:sz w:val="32"/>
          <w:szCs w:val="32"/>
        </w:rPr>
        <w:t xml:space="preserve">第二章  </w:t>
      </w:r>
      <w:r>
        <w:rPr>
          <w:rFonts w:hint="eastAsia" w:ascii="宋体" w:hAnsi="宋体" w:eastAsia="宋体" w:cs="Times New Roman"/>
          <w:b/>
          <w:bCs/>
          <w:sz w:val="32"/>
          <w:szCs w:val="32"/>
        </w:rPr>
        <w:t>采购需求</w:t>
      </w:r>
    </w:p>
    <w:p w14:paraId="3E55B9DB">
      <w:pPr>
        <w:adjustRightInd w:val="0"/>
        <w:snapToGrid w:val="0"/>
        <w:spacing w:line="288" w:lineRule="auto"/>
        <w:outlineLvl w:val="1"/>
        <w:rPr>
          <w:rFonts w:hint="eastAsia" w:ascii="宋体" w:hAnsi="宋体" w:eastAsia="宋体" w:cs="Times New Roman"/>
          <w:b/>
          <w:szCs w:val="21"/>
        </w:rPr>
      </w:pPr>
      <w:r>
        <w:rPr>
          <w:rFonts w:hint="eastAsia" w:ascii="宋体" w:hAnsi="宋体" w:eastAsia="宋体" w:cs="Times New Roman"/>
          <w:b/>
          <w:szCs w:val="21"/>
        </w:rPr>
        <w:t>一、为落实政府采购政策需满足的要求</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0B67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9C7D754">
            <w:pPr>
              <w:adjustRightInd w:val="0"/>
              <w:snapToGrid w:val="0"/>
              <w:spacing w:line="288" w:lineRule="auto"/>
              <w:jc w:val="center"/>
              <w:rPr>
                <w:rFonts w:hint="eastAsia" w:ascii="宋体" w:hAnsi="宋体" w:eastAsia="宋体" w:cs="宋体"/>
                <w:b/>
                <w:bCs/>
                <w:szCs w:val="21"/>
              </w:rPr>
            </w:pPr>
            <w:bookmarkStart w:id="35" w:name="_Hlk45005599"/>
            <w:r>
              <w:rPr>
                <w:rFonts w:hint="eastAsia" w:ascii="宋体" w:hAnsi="宋体" w:eastAsia="宋体" w:cs="宋体"/>
                <w:b/>
                <w:bCs/>
                <w:szCs w:val="21"/>
              </w:rPr>
              <w:t>序号</w:t>
            </w:r>
          </w:p>
        </w:tc>
        <w:tc>
          <w:tcPr>
            <w:tcW w:w="3256" w:type="dxa"/>
            <w:vAlign w:val="center"/>
          </w:tcPr>
          <w:p w14:paraId="029CAA6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政策名称</w:t>
            </w:r>
          </w:p>
        </w:tc>
        <w:tc>
          <w:tcPr>
            <w:tcW w:w="5529" w:type="dxa"/>
            <w:vAlign w:val="center"/>
          </w:tcPr>
          <w:p w14:paraId="4F40FE4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内容</w:t>
            </w:r>
          </w:p>
        </w:tc>
      </w:tr>
      <w:tr w14:paraId="5116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13CC4138">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szCs w:val="21"/>
              </w:rPr>
              <w:t>1</w:t>
            </w:r>
          </w:p>
        </w:tc>
        <w:tc>
          <w:tcPr>
            <w:tcW w:w="3256" w:type="dxa"/>
            <w:vAlign w:val="center"/>
          </w:tcPr>
          <w:p w14:paraId="1DEEC442">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政府采购进口产品</w:t>
            </w:r>
          </w:p>
        </w:tc>
        <w:tc>
          <w:tcPr>
            <w:tcW w:w="5529" w:type="dxa"/>
            <w:vAlign w:val="center"/>
          </w:tcPr>
          <w:p w14:paraId="6BEBD351">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不允许采购进口产品</w:t>
            </w:r>
          </w:p>
        </w:tc>
      </w:tr>
      <w:tr w14:paraId="1BDA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1995D8B">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szCs w:val="21"/>
              </w:rPr>
              <w:t>2</w:t>
            </w:r>
          </w:p>
        </w:tc>
        <w:tc>
          <w:tcPr>
            <w:tcW w:w="3256" w:type="dxa"/>
            <w:vAlign w:val="center"/>
          </w:tcPr>
          <w:p w14:paraId="23A69A07">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政府强制采购节能产品</w:t>
            </w:r>
          </w:p>
        </w:tc>
        <w:tc>
          <w:tcPr>
            <w:tcW w:w="5529" w:type="dxa"/>
            <w:vAlign w:val="center"/>
          </w:tcPr>
          <w:p w14:paraId="496FD430">
            <w:pPr>
              <w:adjustRightInd w:val="0"/>
              <w:snapToGrid w:val="0"/>
              <w:jc w:val="left"/>
              <w:rPr>
                <w:rFonts w:hint="eastAsia" w:ascii="宋体" w:hAnsi="宋体" w:eastAsia="宋体" w:cs="宋体"/>
                <w:b/>
                <w:bCs/>
                <w:szCs w:val="21"/>
                <w:lang w:bidi="ar"/>
              </w:rPr>
            </w:pPr>
            <w:r>
              <w:rPr>
                <w:rFonts w:hint="eastAsia" w:ascii="宋体" w:hAnsi="宋体" w:eastAsia="宋体" w:cs="Times New Roman"/>
                <w:b/>
                <w:spacing w:val="-6"/>
                <w:szCs w:val="21"/>
              </w:rPr>
              <w:t>▲</w:t>
            </w:r>
            <w:r>
              <w:rPr>
                <w:rFonts w:hint="eastAsia" w:ascii="宋体" w:hAnsi="宋体" w:eastAsia="宋体" w:cs="宋体"/>
                <w:b/>
                <w:bCs/>
                <w:szCs w:val="21"/>
                <w:lang w:bidi="ar"/>
              </w:rPr>
              <w:t>本项目采购需求中：</w:t>
            </w:r>
          </w:p>
          <w:p w14:paraId="622C0084">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标项一：</w:t>
            </w:r>
          </w:p>
          <w:p w14:paraId="4D1CA1F1">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“超模态行为洞察平台”中相关组件：专用台式工作站</w:t>
            </w:r>
          </w:p>
          <w:p w14:paraId="5E7D7A28">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“便携式行为观察记录分析系统”中相关组件：专用便携式工作站</w:t>
            </w:r>
          </w:p>
          <w:p w14:paraId="0EC4480C">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“视觉动态追踪系统”中相关组件：专用便携式工作站</w:t>
            </w:r>
          </w:p>
          <w:p w14:paraId="1B0C9CF9">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“遥测式生理信号采集分析系统”中相关组件：专用台式工作站</w:t>
            </w:r>
          </w:p>
          <w:p w14:paraId="4DEEC12A">
            <w:pPr>
              <w:adjustRightInd w:val="0"/>
              <w:snapToGrid w:val="0"/>
              <w:jc w:val="left"/>
              <w:rPr>
                <w:rFonts w:hint="eastAsia" w:ascii="宋体" w:hAnsi="宋体" w:eastAsia="宋体" w:cs="宋体"/>
                <w:b/>
                <w:bCs/>
                <w:szCs w:val="21"/>
                <w:lang w:bidi="ar"/>
              </w:rPr>
            </w:pPr>
          </w:p>
          <w:p w14:paraId="5B7557C0">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标项二：</w:t>
            </w:r>
          </w:p>
          <w:p w14:paraId="3FB44561">
            <w:pPr>
              <w:adjustRightInd w:val="0"/>
              <w:snapToGrid w:val="0"/>
              <w:jc w:val="left"/>
              <w:rPr>
                <w:rFonts w:hint="eastAsia" w:ascii="宋体" w:hAnsi="宋体" w:eastAsia="宋体" w:cs="宋体"/>
                <w:b/>
                <w:bCs/>
                <w:szCs w:val="21"/>
                <w:lang w:bidi="ar"/>
              </w:rPr>
            </w:pPr>
            <w:r>
              <w:rPr>
                <w:rFonts w:hint="eastAsia" w:ascii="宋体" w:hAnsi="宋体" w:eastAsia="宋体" w:cs="宋体"/>
                <w:b/>
                <w:bCs/>
                <w:szCs w:val="21"/>
                <w:lang w:bidi="ar"/>
              </w:rPr>
              <w:t>““数字+”驾驶舱平台”中相关组件：专用工作站</w:t>
            </w:r>
          </w:p>
          <w:p w14:paraId="01D671E9">
            <w:pPr>
              <w:adjustRightInd w:val="0"/>
              <w:snapToGrid w:val="0"/>
              <w:jc w:val="left"/>
              <w:rPr>
                <w:rFonts w:hint="eastAsia" w:ascii="宋体" w:hAnsi="宋体" w:eastAsia="宋体" w:cs="Times New Roman"/>
                <w:spacing w:val="-6"/>
                <w:szCs w:val="21"/>
              </w:rPr>
            </w:pPr>
            <w:r>
              <w:rPr>
                <w:rFonts w:hint="eastAsia" w:ascii="宋体" w:hAnsi="宋体" w:eastAsia="宋体" w:cs="宋体"/>
                <w:szCs w:val="21"/>
                <w:lang w:bidi="ar"/>
              </w:rPr>
              <w:t>属于</w:t>
            </w:r>
            <w:r>
              <w:rPr>
                <w:rFonts w:ascii="宋体" w:hAnsi="宋体" w:eastAsia="宋体" w:cs="Times New Roman"/>
                <w:spacing w:val="-6"/>
                <w:szCs w:val="21"/>
              </w:rPr>
              <w:t>政府强制采购的节能产品品目清单范围，</w:t>
            </w:r>
            <w:r>
              <w:rPr>
                <w:rFonts w:hint="eastAsia" w:ascii="宋体" w:hAnsi="宋体" w:eastAsia="宋体" w:cs="Times New Roman"/>
                <w:spacing w:val="-6"/>
                <w:szCs w:val="21"/>
              </w:rPr>
              <w:t>清单详见“附件：节能产品政府采购品目清单”，</w:t>
            </w:r>
            <w:r>
              <w:rPr>
                <w:rFonts w:ascii="宋体" w:hAnsi="宋体" w:eastAsia="宋体" w:cs="Times New Roman"/>
                <w:spacing w:val="-6"/>
                <w:szCs w:val="21"/>
              </w:rPr>
              <w:t>如有冲突，以节能产品政府采购品目清单为准。</w:t>
            </w:r>
          </w:p>
          <w:p w14:paraId="1ADC98B1">
            <w:pPr>
              <w:adjustRightInd w:val="0"/>
              <w:snapToGrid w:val="0"/>
              <w:spacing w:line="288" w:lineRule="auto"/>
              <w:jc w:val="left"/>
              <w:rPr>
                <w:rFonts w:hint="eastAsia" w:ascii="宋体" w:hAnsi="宋体" w:eastAsia="宋体" w:cs="宋体"/>
                <w:b/>
                <w:bCs/>
                <w:szCs w:val="21"/>
              </w:rPr>
            </w:pPr>
            <w:r>
              <w:rPr>
                <w:rFonts w:ascii="宋体" w:hAnsi="宋体" w:eastAsia="宋体" w:cs="Times New Roman"/>
                <w:spacing w:val="-6"/>
                <w:szCs w:val="21"/>
              </w:rPr>
              <w:t>投标人</w:t>
            </w:r>
            <w:r>
              <w:rPr>
                <w:rFonts w:hint="eastAsia" w:ascii="宋体" w:hAnsi="宋体" w:eastAsia="宋体" w:cs="Times New Roman"/>
                <w:spacing w:val="-6"/>
                <w:szCs w:val="21"/>
              </w:rPr>
              <w:t>应</w:t>
            </w:r>
            <w:r>
              <w:rPr>
                <w:rFonts w:ascii="宋体" w:hAnsi="宋体" w:eastAsia="宋体" w:cs="Times New Roman"/>
                <w:spacing w:val="-6"/>
                <w:szCs w:val="21"/>
              </w:rPr>
              <w:t>按招标文件要求提供国家确定的认证机构出具的、有效的节能产品认证证书的。</w:t>
            </w:r>
          </w:p>
        </w:tc>
      </w:tr>
      <w:tr w14:paraId="59A3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6E4211E">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szCs w:val="21"/>
              </w:rPr>
              <w:t>3</w:t>
            </w:r>
          </w:p>
        </w:tc>
        <w:tc>
          <w:tcPr>
            <w:tcW w:w="3256" w:type="dxa"/>
            <w:vAlign w:val="center"/>
          </w:tcPr>
          <w:p w14:paraId="18D731A0">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政府优先采购节能、环保产品</w:t>
            </w:r>
          </w:p>
        </w:tc>
        <w:tc>
          <w:tcPr>
            <w:tcW w:w="5529" w:type="dxa"/>
            <w:vAlign w:val="center"/>
          </w:tcPr>
          <w:p w14:paraId="129783AC">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提供材料详见招标文件第六章“商务和技术文件”</w:t>
            </w:r>
          </w:p>
        </w:tc>
      </w:tr>
      <w:tr w14:paraId="78A3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5E758E8E">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4</w:t>
            </w:r>
          </w:p>
        </w:tc>
        <w:tc>
          <w:tcPr>
            <w:tcW w:w="3256" w:type="dxa"/>
            <w:vAlign w:val="center"/>
          </w:tcPr>
          <w:p w14:paraId="5EEAD924">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政府采购支持科技创新</w:t>
            </w:r>
          </w:p>
        </w:tc>
        <w:tc>
          <w:tcPr>
            <w:tcW w:w="5529" w:type="dxa"/>
            <w:vAlign w:val="center"/>
          </w:tcPr>
          <w:p w14:paraId="72992812">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提供材料详见招标文件第六章“商务和技术文件”</w:t>
            </w:r>
          </w:p>
        </w:tc>
      </w:tr>
      <w:tr w14:paraId="7E8E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70BF40D">
            <w:pPr>
              <w:adjustRightInd w:val="0"/>
              <w:snapToGrid w:val="0"/>
              <w:spacing w:line="288" w:lineRule="auto"/>
              <w:jc w:val="center"/>
              <w:rPr>
                <w:rFonts w:hint="eastAsia" w:ascii="宋体" w:hAnsi="宋体" w:eastAsia="宋体" w:cs="宋体"/>
                <w:b/>
                <w:bCs/>
                <w:color w:val="FF0000"/>
                <w:szCs w:val="21"/>
              </w:rPr>
            </w:pPr>
            <w:r>
              <w:rPr>
                <w:rFonts w:hint="eastAsia" w:ascii="宋体" w:hAnsi="宋体" w:eastAsia="宋体" w:cs="宋体"/>
                <w:szCs w:val="21"/>
              </w:rPr>
              <w:t>5</w:t>
            </w:r>
          </w:p>
        </w:tc>
        <w:tc>
          <w:tcPr>
            <w:tcW w:w="3256" w:type="dxa"/>
            <w:vAlign w:val="center"/>
          </w:tcPr>
          <w:p w14:paraId="109E5DAF">
            <w:pPr>
              <w:adjustRightInd w:val="0"/>
              <w:snapToGrid w:val="0"/>
              <w:spacing w:line="288" w:lineRule="auto"/>
              <w:jc w:val="left"/>
              <w:rPr>
                <w:rFonts w:hint="eastAsia" w:ascii="宋体" w:hAnsi="宋体" w:eastAsia="宋体" w:cs="宋体"/>
                <w:color w:val="FF0000"/>
                <w:szCs w:val="21"/>
              </w:rPr>
            </w:pPr>
            <w:r>
              <w:rPr>
                <w:rFonts w:hint="eastAsia" w:ascii="宋体" w:hAnsi="宋体" w:eastAsia="宋体" w:cs="宋体"/>
                <w:szCs w:val="21"/>
              </w:rPr>
              <w:t>政府采购促进中小企业发展</w:t>
            </w:r>
          </w:p>
        </w:tc>
        <w:tc>
          <w:tcPr>
            <w:tcW w:w="5529" w:type="dxa"/>
            <w:vAlign w:val="center"/>
          </w:tcPr>
          <w:p w14:paraId="267CB694">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提供材料详见招标文件第六章“报价文件”</w:t>
            </w:r>
          </w:p>
          <w:p w14:paraId="1975017E">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本项目属性</w:t>
            </w:r>
            <w:r>
              <w:rPr>
                <w:rFonts w:hint="eastAsia" w:ascii="宋体" w:hAnsi="宋体" w:eastAsia="宋体" w:cs="Times New Roman"/>
                <w:b/>
                <w:bCs/>
                <w:color w:val="000000" w:themeColor="text1"/>
                <w:szCs w:val="21"/>
                <w14:textFill>
                  <w14:solidFill>
                    <w14:schemeClr w14:val="tx1"/>
                  </w14:solidFill>
                </w14:textFill>
              </w:rPr>
              <w:t>为：货物</w:t>
            </w:r>
          </w:p>
          <w:p w14:paraId="38C6FB51">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采购标的对应的中小企业划分标准所属行业：</w:t>
            </w:r>
          </w:p>
          <w:tbl>
            <w:tblPr>
              <w:tblStyle w:val="24"/>
              <w:tblW w:w="5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4188"/>
            </w:tblGrid>
            <w:tr w14:paraId="1923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14:paraId="44A42346">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标项</w:t>
                  </w:r>
                </w:p>
              </w:tc>
              <w:tc>
                <w:tcPr>
                  <w:tcW w:w="4188" w:type="dxa"/>
                </w:tcPr>
                <w:p w14:paraId="67EA0DE4">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对应的中小企业划分标准所属行业</w:t>
                  </w:r>
                </w:p>
              </w:tc>
            </w:tr>
            <w:tr w14:paraId="6423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14:paraId="103DA099">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标项一</w:t>
                  </w:r>
                </w:p>
              </w:tc>
              <w:tc>
                <w:tcPr>
                  <w:tcW w:w="4188" w:type="dxa"/>
                </w:tcPr>
                <w:p w14:paraId="2746D9F0">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软件和信息技术服务业</w:t>
                  </w:r>
                </w:p>
              </w:tc>
            </w:tr>
            <w:tr w14:paraId="52BC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14:paraId="416C885A">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标项二</w:t>
                  </w:r>
                </w:p>
              </w:tc>
              <w:tc>
                <w:tcPr>
                  <w:tcW w:w="4188" w:type="dxa"/>
                </w:tcPr>
                <w:p w14:paraId="7BB7BC35">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软件和信息技术服务业</w:t>
                  </w:r>
                </w:p>
              </w:tc>
            </w:tr>
            <w:tr w14:paraId="1D6C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14:paraId="1B7478E8">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标项三</w:t>
                  </w:r>
                </w:p>
              </w:tc>
              <w:tc>
                <w:tcPr>
                  <w:tcW w:w="4188" w:type="dxa"/>
                </w:tcPr>
                <w:p w14:paraId="5E4F25DC">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软件和信息技术服务业</w:t>
                  </w:r>
                </w:p>
              </w:tc>
            </w:tr>
            <w:tr w14:paraId="1ACF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tcPr>
                <w:p w14:paraId="5F6C2BF0">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标项四</w:t>
                  </w:r>
                </w:p>
              </w:tc>
              <w:tc>
                <w:tcPr>
                  <w:tcW w:w="4188" w:type="dxa"/>
                </w:tcPr>
                <w:p w14:paraId="53DE8634">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软件和信息技术服务业</w:t>
                  </w:r>
                </w:p>
              </w:tc>
            </w:tr>
          </w:tbl>
          <w:p w14:paraId="21D31D02">
            <w:pPr>
              <w:adjustRightInd w:val="0"/>
              <w:snapToGrid w:val="0"/>
              <w:spacing w:line="288" w:lineRule="auto"/>
              <w:jc w:val="left"/>
              <w:rPr>
                <w:rFonts w:hint="eastAsia" w:ascii="宋体" w:hAnsi="宋体" w:eastAsia="宋体" w:cs="Times New Roman"/>
                <w:b/>
                <w:bCs/>
                <w:szCs w:val="21"/>
              </w:rPr>
            </w:pPr>
          </w:p>
          <w:p w14:paraId="3B0C9FC2">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中小企业划型标准：</w:t>
            </w:r>
          </w:p>
          <w:p w14:paraId="6E599AA2">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软件和信息技术服务业。</w:t>
            </w:r>
            <w:r>
              <w:rPr>
                <w:rFonts w:hint="eastAsia" w:ascii="宋体" w:hAnsi="宋体" w:eastAsia="宋体" w:cs="Times New Roman"/>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03CF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F32D6CD">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6</w:t>
            </w:r>
          </w:p>
        </w:tc>
        <w:tc>
          <w:tcPr>
            <w:tcW w:w="3256" w:type="dxa"/>
            <w:vAlign w:val="center"/>
          </w:tcPr>
          <w:p w14:paraId="4C673809">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政府采购支持监狱企业发展</w:t>
            </w:r>
          </w:p>
        </w:tc>
        <w:tc>
          <w:tcPr>
            <w:tcW w:w="5529" w:type="dxa"/>
            <w:vAlign w:val="center"/>
          </w:tcPr>
          <w:p w14:paraId="2EDD88A3">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宋体"/>
                <w:szCs w:val="21"/>
              </w:rPr>
              <w:t>提供材料详见招标文件第六章“报价文件”</w:t>
            </w:r>
          </w:p>
        </w:tc>
      </w:tr>
      <w:tr w14:paraId="4677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8" w:type="dxa"/>
            <w:vAlign w:val="center"/>
          </w:tcPr>
          <w:p w14:paraId="504ACB77">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7</w:t>
            </w:r>
          </w:p>
        </w:tc>
        <w:tc>
          <w:tcPr>
            <w:tcW w:w="3256" w:type="dxa"/>
            <w:vAlign w:val="center"/>
          </w:tcPr>
          <w:p w14:paraId="606C7C74">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政府采购促进残疾人就业</w:t>
            </w:r>
          </w:p>
        </w:tc>
        <w:tc>
          <w:tcPr>
            <w:tcW w:w="5529" w:type="dxa"/>
            <w:vAlign w:val="center"/>
          </w:tcPr>
          <w:p w14:paraId="3CEF6161">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提供材料详见招标文件第六章“报价文件”</w:t>
            </w:r>
          </w:p>
        </w:tc>
      </w:tr>
      <w:bookmarkEnd w:id="35"/>
    </w:tbl>
    <w:p w14:paraId="785B98E1">
      <w:pPr>
        <w:adjustRightInd w:val="0"/>
        <w:snapToGrid w:val="0"/>
        <w:spacing w:line="288" w:lineRule="auto"/>
        <w:rPr>
          <w:rFonts w:hint="eastAsia" w:ascii="宋体" w:hAnsi="宋体" w:eastAsia="宋体" w:cs="Times New Roman"/>
          <w:b/>
          <w:spacing w:val="-4"/>
          <w:szCs w:val="21"/>
        </w:rPr>
      </w:pPr>
    </w:p>
    <w:p w14:paraId="6D04F03D">
      <w:pPr>
        <w:adjustRightInd w:val="0"/>
        <w:snapToGrid w:val="0"/>
        <w:spacing w:line="288" w:lineRule="auto"/>
        <w:outlineLvl w:val="1"/>
        <w:rPr>
          <w:rFonts w:hint="eastAsia" w:ascii="宋体" w:hAnsi="宋体" w:eastAsia="宋体" w:cs="Times New Roman"/>
          <w:b/>
          <w:szCs w:val="21"/>
        </w:rPr>
      </w:pPr>
      <w:r>
        <w:rPr>
          <w:rFonts w:hint="eastAsia" w:ascii="宋体" w:hAnsi="宋体" w:eastAsia="宋体" w:cs="Times New Roman"/>
          <w:b/>
          <w:szCs w:val="21"/>
        </w:rPr>
        <w:t>二、采购资金的支付方式、时间、条件</w:t>
      </w:r>
    </w:p>
    <w:tbl>
      <w:tblPr>
        <w:tblStyle w:val="23"/>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389F2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718141C7">
            <w:pPr>
              <w:spacing w:line="288" w:lineRule="auto"/>
              <w:jc w:val="center"/>
              <w:rPr>
                <w:rFonts w:hint="eastAsia" w:ascii="宋体" w:hAnsi="宋体" w:eastAsia="宋体" w:cs="宋体"/>
                <w:b/>
                <w:spacing w:val="-6"/>
                <w:szCs w:val="21"/>
              </w:rPr>
            </w:pPr>
            <w:bookmarkStart w:id="36" w:name="_Hlk45005608"/>
            <w:r>
              <w:rPr>
                <w:rFonts w:hint="eastAsia" w:ascii="宋体" w:hAnsi="宋体" w:eastAsia="宋体" w:cs="宋体"/>
                <w:szCs w:val="21"/>
              </w:rPr>
              <w:t>付款条件</w:t>
            </w:r>
          </w:p>
        </w:tc>
        <w:tc>
          <w:tcPr>
            <w:tcW w:w="7650" w:type="dxa"/>
            <w:tcBorders>
              <w:top w:val="single" w:color="auto" w:sz="4" w:space="0"/>
              <w:left w:val="single" w:color="auto" w:sz="4" w:space="0"/>
              <w:bottom w:val="single" w:color="auto" w:sz="4" w:space="0"/>
              <w:right w:val="single" w:color="auto" w:sz="4" w:space="0"/>
            </w:tcBorders>
            <w:vAlign w:val="center"/>
          </w:tcPr>
          <w:p w14:paraId="06C5659C">
            <w:pPr>
              <w:spacing w:line="288" w:lineRule="auto"/>
              <w:rPr>
                <w:rFonts w:hint="eastAsia" w:ascii="宋体" w:hAnsi="宋体" w:eastAsia="宋体" w:cs="宋体"/>
                <w:szCs w:val="21"/>
              </w:rPr>
            </w:pPr>
            <w:r>
              <w:rPr>
                <w:rFonts w:hint="eastAsia" w:ascii="宋体" w:hAnsi="宋体" w:eastAsia="宋体" w:cs="宋体"/>
                <w:szCs w:val="21"/>
              </w:rPr>
              <w:t>1.投标人提交银行、保险公司等金融机构出具的预付款保函（保函数额与预付款金额相同，保函有效期在验收合格日之后）；合同生效并具备实施条件后7个工作日内，采购人向中标人支付合同金额70%的预付款。剩余合同款项在验收合格后，凭验收合格证明材料、发票到采购人处结算。采购人在7个工作日内向投标人支付全部合同余款。</w:t>
            </w:r>
          </w:p>
          <w:p w14:paraId="5DD7BDF4">
            <w:pPr>
              <w:spacing w:line="288" w:lineRule="auto"/>
              <w:rPr>
                <w:rFonts w:hint="eastAsia" w:ascii="宋体" w:hAnsi="宋体" w:eastAsia="宋体" w:cs="宋体"/>
                <w:spacing w:val="-6"/>
                <w:kern w:val="0"/>
                <w:szCs w:val="21"/>
              </w:rPr>
            </w:pPr>
            <w:r>
              <w:rPr>
                <w:rFonts w:hint="eastAsia" w:ascii="宋体" w:hAnsi="宋体" w:eastAsia="宋体" w:cs="宋体"/>
                <w:szCs w:val="21"/>
              </w:rPr>
              <w:t>2.在签订合同前，投标人主动要求降低预付款比例的，按实际比例计。投标人明确表示无需预付款的，采用下述付款方式：验收合格后，凭验收合格证明材料、发票到采购人处结算合同金额的100%。采购人在7个工作日内向投标人支付合同货款。</w:t>
            </w:r>
          </w:p>
        </w:tc>
      </w:tr>
      <w:tr w14:paraId="593DC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4BBDB035">
            <w:pPr>
              <w:spacing w:line="288" w:lineRule="auto"/>
              <w:jc w:val="center"/>
              <w:rPr>
                <w:rFonts w:hint="eastAsia" w:ascii="宋体" w:hAnsi="宋体" w:eastAsia="宋体" w:cs="宋体"/>
                <w:b/>
                <w:spacing w:val="-6"/>
                <w:szCs w:val="21"/>
              </w:rPr>
            </w:pPr>
            <w:r>
              <w:rPr>
                <w:rFonts w:hint="eastAsia" w:ascii="宋体" w:hAnsi="宋体" w:eastAsia="宋体" w:cs="宋体"/>
                <w:szCs w:val="21"/>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14:paraId="471DB1E0">
            <w:pPr>
              <w:spacing w:line="288" w:lineRule="auto"/>
              <w:rPr>
                <w:rFonts w:hint="eastAsia" w:ascii="宋体" w:hAnsi="宋体" w:eastAsia="宋体" w:cs="宋体"/>
                <w:spacing w:val="-6"/>
                <w:kern w:val="0"/>
                <w:szCs w:val="21"/>
              </w:rPr>
            </w:pPr>
            <w:r>
              <w:rPr>
                <w:rFonts w:hint="eastAsia" w:ascii="宋体" w:hAnsi="宋体" w:eastAsia="宋体" w:cs="宋体"/>
                <w:szCs w:val="21"/>
              </w:rPr>
              <w:t>无</w:t>
            </w:r>
          </w:p>
        </w:tc>
      </w:tr>
      <w:bookmarkEnd w:id="36"/>
    </w:tbl>
    <w:p w14:paraId="32604A2B">
      <w:pPr>
        <w:adjustRightInd w:val="0"/>
        <w:snapToGrid w:val="0"/>
        <w:spacing w:line="288" w:lineRule="auto"/>
        <w:rPr>
          <w:rFonts w:hint="eastAsia" w:ascii="宋体" w:hAnsi="宋体" w:eastAsia="宋体" w:cs="Times New Roman"/>
          <w:spacing w:val="-4"/>
          <w:szCs w:val="21"/>
        </w:rPr>
      </w:pPr>
    </w:p>
    <w:p w14:paraId="330A1A21">
      <w:pPr>
        <w:numPr>
          <w:ilvl w:val="0"/>
          <w:numId w:val="2"/>
        </w:numPr>
        <w:adjustRightInd w:val="0"/>
        <w:snapToGrid w:val="0"/>
        <w:spacing w:line="288" w:lineRule="auto"/>
        <w:outlineLvl w:val="1"/>
        <w:rPr>
          <w:rFonts w:hint="eastAsia" w:ascii="宋体" w:hAnsi="宋体" w:eastAsia="宋体" w:cs="Times New Roman"/>
          <w:b/>
          <w:szCs w:val="21"/>
        </w:rPr>
      </w:pPr>
      <w:r>
        <w:rPr>
          <w:rFonts w:hint="eastAsia" w:ascii="宋体" w:hAnsi="宋体" w:eastAsia="宋体" w:cs="Times New Roman"/>
          <w:b/>
          <w:szCs w:val="21"/>
        </w:rPr>
        <w:t>服务要求（技术要求里另有注明的以技术要求为准）</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370"/>
        <w:gridCol w:w="7003"/>
      </w:tblGrid>
      <w:tr w14:paraId="0B98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Merge w:val="restart"/>
            <w:vAlign w:val="center"/>
          </w:tcPr>
          <w:p w14:paraId="25993AE8">
            <w:pPr>
              <w:spacing w:line="288" w:lineRule="auto"/>
              <w:jc w:val="center"/>
              <w:rPr>
                <w:rFonts w:hint="eastAsia" w:ascii="宋体" w:hAnsi="宋体" w:eastAsia="宋体" w:cs="宋体"/>
                <w:szCs w:val="21"/>
              </w:rPr>
            </w:pPr>
            <w:r>
              <w:rPr>
                <w:rFonts w:hint="eastAsia" w:ascii="宋体" w:hAnsi="宋体" w:eastAsia="宋体" w:cs="宋体"/>
                <w:szCs w:val="21"/>
              </w:rPr>
              <w:t>交付要求</w:t>
            </w:r>
          </w:p>
        </w:tc>
        <w:tc>
          <w:tcPr>
            <w:tcW w:w="712" w:type="pct"/>
            <w:vAlign w:val="center"/>
          </w:tcPr>
          <w:p w14:paraId="0275A4BC">
            <w:pPr>
              <w:spacing w:line="288" w:lineRule="auto"/>
              <w:jc w:val="center"/>
              <w:rPr>
                <w:rFonts w:hint="eastAsia" w:ascii="宋体" w:hAnsi="宋体" w:eastAsia="宋体" w:cs="宋体"/>
                <w:szCs w:val="21"/>
              </w:rPr>
            </w:pPr>
            <w:r>
              <w:rPr>
                <w:rFonts w:hint="eastAsia" w:ascii="宋体" w:hAnsi="宋体" w:eastAsia="宋体" w:cs="宋体"/>
                <w:szCs w:val="21"/>
              </w:rPr>
              <w:t>交付日期</w:t>
            </w:r>
          </w:p>
        </w:tc>
        <w:tc>
          <w:tcPr>
            <w:tcW w:w="3637" w:type="pct"/>
          </w:tcPr>
          <w:p w14:paraId="763D7A97">
            <w:pPr>
              <w:spacing w:line="288" w:lineRule="auto"/>
              <w:ind w:firstLine="422"/>
              <w:rPr>
                <w:rFonts w:hint="eastAsia" w:ascii="宋体" w:hAnsi="宋体" w:eastAsia="宋体" w:cs="宋体"/>
                <w:szCs w:val="21"/>
              </w:rPr>
            </w:pPr>
            <w:r>
              <w:rPr>
                <w:rFonts w:hint="eastAsia" w:ascii="宋体" w:hAnsi="宋体" w:eastAsia="宋体" w:cs="宋体"/>
                <w:b/>
                <w:bCs/>
                <w:szCs w:val="21"/>
              </w:rPr>
              <w:t>标项一与标项四：</w:t>
            </w:r>
            <w:r>
              <w:rPr>
                <w:rFonts w:hint="eastAsia" w:ascii="宋体" w:hAnsi="宋体" w:eastAsia="宋体" w:cs="宋体"/>
                <w:szCs w:val="21"/>
              </w:rPr>
              <w:t>设备合同签订后3个月内完成安装、调试，达到验收要求。</w:t>
            </w:r>
          </w:p>
          <w:p w14:paraId="2F94D8D6">
            <w:pPr>
              <w:spacing w:line="288" w:lineRule="auto"/>
              <w:ind w:firstLine="422"/>
              <w:rPr>
                <w:rFonts w:hint="eastAsia" w:ascii="宋体" w:hAnsi="宋体" w:eastAsia="宋体" w:cs="宋体"/>
                <w:szCs w:val="21"/>
              </w:rPr>
            </w:pPr>
            <w:r>
              <w:rPr>
                <w:rFonts w:hint="eastAsia" w:ascii="宋体" w:hAnsi="宋体" w:eastAsia="宋体" w:cs="宋体"/>
                <w:b/>
                <w:bCs/>
                <w:szCs w:val="21"/>
              </w:rPr>
              <w:t>标项二：</w:t>
            </w:r>
            <w:r>
              <w:rPr>
                <w:rFonts w:hint="eastAsia" w:ascii="宋体" w:hAnsi="宋体" w:eastAsia="宋体" w:cs="宋体"/>
                <w:szCs w:val="21"/>
              </w:rPr>
              <w:t>合同签订后</w:t>
            </w:r>
            <w:r>
              <w:rPr>
                <w:rFonts w:hint="eastAsia" w:ascii="宋体" w:hAnsi="宋体" w:eastAsia="宋体" w:cs="宋体"/>
                <w:szCs w:val="21"/>
                <w:lang w:eastAsia="zh"/>
              </w:rPr>
              <w:t>3</w:t>
            </w:r>
            <w:r>
              <w:rPr>
                <w:rFonts w:hint="eastAsia" w:ascii="宋体" w:hAnsi="宋体" w:eastAsia="宋体" w:cs="宋体"/>
                <w:szCs w:val="21"/>
              </w:rPr>
              <w:t>个月内，完成综合数据对接、共同富裕数据采集、共同富裕进程可视化建设及开发工作，并完成调试，达到数据采集验收要求。组件在合同签订后10个月内完成安装、调试，达到验收要求。</w:t>
            </w:r>
          </w:p>
          <w:p w14:paraId="7C4F5C62">
            <w:pPr>
              <w:spacing w:line="288" w:lineRule="auto"/>
              <w:ind w:firstLine="422"/>
              <w:rPr>
                <w:rFonts w:hint="eastAsia" w:ascii="宋体" w:hAnsi="宋体" w:eastAsia="宋体" w:cs="宋体"/>
                <w:szCs w:val="21"/>
              </w:rPr>
            </w:pPr>
            <w:r>
              <w:rPr>
                <w:rFonts w:hint="eastAsia" w:ascii="宋体" w:hAnsi="宋体" w:eastAsia="宋体" w:cs="宋体"/>
                <w:b/>
                <w:bCs/>
                <w:szCs w:val="21"/>
              </w:rPr>
              <w:t>标项三：</w:t>
            </w:r>
            <w:r>
              <w:rPr>
                <w:rFonts w:hint="eastAsia" w:ascii="宋体" w:hAnsi="宋体" w:eastAsia="宋体" w:cs="宋体"/>
                <w:szCs w:val="21"/>
              </w:rPr>
              <w:t>合同签订后8个月内，完成系统平台建设及开发工作，并完成调试，达到验收要求。</w:t>
            </w:r>
          </w:p>
        </w:tc>
      </w:tr>
      <w:tr w14:paraId="2482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Merge w:val="continue"/>
          </w:tcPr>
          <w:p w14:paraId="67720882">
            <w:pPr>
              <w:spacing w:line="288" w:lineRule="auto"/>
              <w:rPr>
                <w:rFonts w:hint="eastAsia" w:ascii="宋体" w:hAnsi="宋体" w:eastAsia="宋体" w:cs="宋体"/>
                <w:szCs w:val="21"/>
              </w:rPr>
            </w:pPr>
          </w:p>
        </w:tc>
        <w:tc>
          <w:tcPr>
            <w:tcW w:w="712" w:type="pct"/>
            <w:vAlign w:val="center"/>
          </w:tcPr>
          <w:p w14:paraId="1CBD41CA">
            <w:pPr>
              <w:spacing w:line="288" w:lineRule="auto"/>
              <w:jc w:val="center"/>
              <w:rPr>
                <w:rFonts w:hint="eastAsia" w:ascii="宋体" w:hAnsi="宋体" w:eastAsia="宋体" w:cs="宋体"/>
                <w:szCs w:val="21"/>
              </w:rPr>
            </w:pPr>
            <w:r>
              <w:rPr>
                <w:rFonts w:hint="eastAsia" w:ascii="宋体" w:hAnsi="宋体" w:eastAsia="宋体" w:cs="宋体"/>
                <w:szCs w:val="21"/>
              </w:rPr>
              <w:t>交付地址</w:t>
            </w:r>
          </w:p>
        </w:tc>
        <w:tc>
          <w:tcPr>
            <w:tcW w:w="3637" w:type="pct"/>
          </w:tcPr>
          <w:p w14:paraId="23919EB4">
            <w:pPr>
              <w:spacing w:line="288" w:lineRule="auto"/>
              <w:rPr>
                <w:rFonts w:hint="eastAsia" w:ascii="宋体" w:hAnsi="宋体" w:eastAsia="宋体" w:cs="宋体"/>
                <w:szCs w:val="21"/>
              </w:rPr>
            </w:pPr>
            <w:r>
              <w:rPr>
                <w:rFonts w:hint="eastAsia" w:ascii="宋体" w:hAnsi="宋体" w:eastAsia="宋体" w:cs="宋体"/>
                <w:szCs w:val="21"/>
              </w:rPr>
              <w:t>浙江工商大学，具体位置由采购人指定。</w:t>
            </w:r>
          </w:p>
        </w:tc>
      </w:tr>
      <w:tr w14:paraId="55A9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649" w:type="pct"/>
            <w:vAlign w:val="center"/>
          </w:tcPr>
          <w:p w14:paraId="2E5F71B5">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培训</w:t>
            </w:r>
          </w:p>
        </w:tc>
        <w:tc>
          <w:tcPr>
            <w:tcW w:w="4350" w:type="pct"/>
            <w:gridSpan w:val="2"/>
            <w:vAlign w:val="center"/>
          </w:tcPr>
          <w:p w14:paraId="1E9A00D3">
            <w:pPr>
              <w:autoSpaceDE w:val="0"/>
              <w:autoSpaceDN w:val="0"/>
              <w:adjustRightInd w:val="0"/>
              <w:snapToGrid w:val="0"/>
              <w:spacing w:line="288" w:lineRule="auto"/>
              <w:textAlignment w:val="bottom"/>
              <w:rPr>
                <w:rFonts w:hint="eastAsia" w:ascii="宋体" w:hAnsi="宋体" w:eastAsia="宋体" w:cs="宋体"/>
                <w:szCs w:val="21"/>
              </w:rPr>
            </w:pPr>
            <w:r>
              <w:rPr>
                <w:rFonts w:hint="eastAsia" w:ascii="宋体" w:hAnsi="宋体" w:eastAsia="宋体" w:cs="宋体"/>
                <w:szCs w:val="21"/>
              </w:rPr>
              <w:t>1.投标人须到采购人现场提供安装、调试设备，进行操作试验，直至运行正常并验收，为2名以上仪器操作人员提供上机操作及日常维护培训。</w:t>
            </w:r>
          </w:p>
          <w:p w14:paraId="151E70DA">
            <w:pPr>
              <w:spacing w:line="288" w:lineRule="auto"/>
              <w:jc w:val="left"/>
              <w:rPr>
                <w:rFonts w:hint="eastAsia" w:ascii="宋体" w:hAnsi="宋体" w:eastAsia="宋体" w:cs="宋体"/>
                <w:szCs w:val="21"/>
              </w:rPr>
            </w:pPr>
            <w:r>
              <w:rPr>
                <w:rFonts w:hint="eastAsia" w:ascii="宋体" w:hAnsi="宋体" w:eastAsia="宋体" w:cs="宋体"/>
                <w:szCs w:val="21"/>
              </w:rPr>
              <w:t>2.交货后进行3次以上软件原厂现场培训，委派的培训人员必须对系统的使用和功能有着丰富的经验和执行力，确保软件能正常使用和操作，后续提供不定期的仪器应用技术培训服务。</w:t>
            </w:r>
          </w:p>
          <w:p w14:paraId="4BDC18A3">
            <w:pPr>
              <w:autoSpaceDE w:val="0"/>
              <w:autoSpaceDN w:val="0"/>
              <w:adjustRightInd w:val="0"/>
              <w:snapToGrid w:val="0"/>
              <w:spacing w:line="288" w:lineRule="auto"/>
              <w:textAlignment w:val="bottom"/>
              <w:rPr>
                <w:rFonts w:hint="eastAsia" w:ascii="宋体" w:hAnsi="宋体" w:eastAsia="宋体" w:cs="宋体"/>
                <w:szCs w:val="21"/>
              </w:rPr>
            </w:pPr>
            <w:r>
              <w:rPr>
                <w:rFonts w:hint="eastAsia" w:ascii="宋体" w:hAnsi="宋体" w:eastAsia="宋体" w:cs="宋体"/>
                <w:szCs w:val="21"/>
              </w:rPr>
              <w:t>3.投标人应提供相应的培训计划。</w:t>
            </w:r>
          </w:p>
        </w:tc>
      </w:tr>
      <w:tr w14:paraId="5047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pct"/>
            <w:vAlign w:val="center"/>
          </w:tcPr>
          <w:p w14:paraId="755A1160">
            <w:pPr>
              <w:spacing w:line="288" w:lineRule="auto"/>
              <w:jc w:val="center"/>
              <w:rPr>
                <w:rFonts w:hint="eastAsia" w:ascii="宋体" w:hAnsi="宋体" w:eastAsia="宋体" w:cs="宋体"/>
                <w:szCs w:val="21"/>
              </w:rPr>
            </w:pPr>
            <w:bookmarkStart w:id="37" w:name="_Hlk180394746"/>
            <w:r>
              <w:rPr>
                <w:rFonts w:hint="eastAsia" w:ascii="宋体" w:hAnsi="宋体" w:eastAsia="宋体" w:cs="宋体"/>
                <w:szCs w:val="21"/>
              </w:rPr>
              <w:t>售后服务</w:t>
            </w:r>
          </w:p>
        </w:tc>
        <w:tc>
          <w:tcPr>
            <w:tcW w:w="4350" w:type="pct"/>
            <w:gridSpan w:val="2"/>
            <w:vAlign w:val="center"/>
          </w:tcPr>
          <w:p w14:paraId="1B598FEE">
            <w:pPr>
              <w:widowControl/>
              <w:autoSpaceDE w:val="0"/>
              <w:autoSpaceDN w:val="0"/>
              <w:adjustRightInd w:val="0"/>
              <w:snapToGrid w:val="0"/>
              <w:spacing w:line="288" w:lineRule="auto"/>
              <w:jc w:val="left"/>
              <w:textAlignment w:val="bottom"/>
              <w:rPr>
                <w:rFonts w:hint="eastAsia" w:ascii="宋体" w:hAnsi="宋体" w:eastAsia="宋体" w:cs="宋体"/>
                <w:szCs w:val="21"/>
              </w:rPr>
            </w:pPr>
            <w:r>
              <w:rPr>
                <w:rFonts w:hint="eastAsia" w:ascii="宋体" w:hAnsi="宋体" w:eastAsia="宋体" w:cs="宋体"/>
                <w:szCs w:val="21"/>
              </w:rPr>
              <w:t>1.质保期不少于</w:t>
            </w:r>
            <w:r>
              <w:rPr>
                <w:rFonts w:hint="eastAsia" w:ascii="宋体" w:hAnsi="宋体" w:eastAsia="宋体" w:cs="宋体"/>
                <w:szCs w:val="21"/>
                <w:lang w:eastAsia="zh"/>
              </w:rPr>
              <w:t>3</w:t>
            </w:r>
            <w:r>
              <w:rPr>
                <w:rFonts w:hint="eastAsia" w:ascii="宋体" w:hAnsi="宋体" w:eastAsia="宋体" w:cs="宋体"/>
                <w:szCs w:val="21"/>
              </w:rPr>
              <w:t>年（标一、标四）、不少于5年（标二、标三），质保期自验收合格之日算起。其中发生一切费用由投标人承担。质保期内出现故障导致停用的时间，要在质保期中追加。质保期内提供上门维修服务、确保软件升级到最新版本。</w:t>
            </w:r>
          </w:p>
          <w:p w14:paraId="55F36145">
            <w:pPr>
              <w:widowControl/>
              <w:autoSpaceDE w:val="0"/>
              <w:autoSpaceDN w:val="0"/>
              <w:adjustRightInd w:val="0"/>
              <w:snapToGrid w:val="0"/>
              <w:spacing w:line="288" w:lineRule="auto"/>
              <w:jc w:val="left"/>
              <w:textAlignment w:val="bottom"/>
              <w:rPr>
                <w:rFonts w:hint="eastAsia" w:ascii="宋体" w:hAnsi="宋体" w:eastAsia="宋体" w:cs="宋体"/>
                <w:szCs w:val="21"/>
              </w:rPr>
            </w:pPr>
            <w:r>
              <w:rPr>
                <w:rFonts w:hint="eastAsia" w:ascii="宋体" w:hAnsi="宋体" w:eastAsia="宋体" w:cs="宋体"/>
                <w:szCs w:val="21"/>
              </w:rPr>
              <w:t>2.根据采购人要求，确保软件按时保质保量安装到位。配置指定项目实施联系人和维保人员。</w:t>
            </w:r>
          </w:p>
          <w:p w14:paraId="74E77CAA">
            <w:pPr>
              <w:widowControl/>
              <w:autoSpaceDE w:val="0"/>
              <w:autoSpaceDN w:val="0"/>
              <w:adjustRightInd w:val="0"/>
              <w:snapToGrid w:val="0"/>
              <w:spacing w:line="288" w:lineRule="auto"/>
              <w:jc w:val="left"/>
              <w:textAlignment w:val="bottom"/>
              <w:rPr>
                <w:rFonts w:hint="eastAsia" w:ascii="宋体" w:hAnsi="宋体" w:eastAsia="宋体" w:cs="宋体"/>
                <w:szCs w:val="21"/>
              </w:rPr>
            </w:pPr>
            <w:r>
              <w:rPr>
                <w:rFonts w:hint="eastAsia" w:ascii="宋体" w:hAnsi="宋体" w:eastAsia="宋体" w:cs="宋体"/>
                <w:szCs w:val="21"/>
              </w:rPr>
              <w:t>3.质保期内系统运行发生故障时，投标人在接到采购人故障通知后4小时内线上响应，一般性故障问题8小时内解决，重大故障8小时内给出解决方案并提供临时应急措施。重大故障解决问题时间不超过24小时。其中发生一切费用由投标人承担。</w:t>
            </w:r>
          </w:p>
          <w:p w14:paraId="6FA67579">
            <w:pPr>
              <w:widowControl/>
              <w:autoSpaceDE w:val="0"/>
              <w:autoSpaceDN w:val="0"/>
              <w:adjustRightInd w:val="0"/>
              <w:snapToGrid w:val="0"/>
              <w:spacing w:line="288" w:lineRule="auto"/>
              <w:jc w:val="left"/>
              <w:textAlignment w:val="bottom"/>
              <w:rPr>
                <w:rFonts w:hint="eastAsia" w:ascii="宋体" w:hAnsi="宋体" w:eastAsia="宋体" w:cs="宋体"/>
                <w:szCs w:val="21"/>
              </w:rPr>
            </w:pPr>
            <w:r>
              <w:rPr>
                <w:rFonts w:hint="eastAsia" w:ascii="宋体" w:hAnsi="宋体" w:eastAsia="宋体" w:cs="宋体"/>
                <w:szCs w:val="21"/>
              </w:rPr>
              <w:t>4.质保期内投标人有责任对系统进行不定期的巡查维护。</w:t>
            </w:r>
          </w:p>
          <w:p w14:paraId="5FF59C90">
            <w:pPr>
              <w:widowControl/>
              <w:autoSpaceDE w:val="0"/>
              <w:autoSpaceDN w:val="0"/>
              <w:adjustRightInd w:val="0"/>
              <w:snapToGrid w:val="0"/>
              <w:spacing w:line="288" w:lineRule="auto"/>
              <w:textAlignment w:val="bottom"/>
              <w:rPr>
                <w:rFonts w:hint="eastAsia" w:ascii="宋体" w:hAnsi="宋体" w:eastAsia="宋体" w:cs="宋体"/>
                <w:szCs w:val="21"/>
              </w:rPr>
            </w:pPr>
            <w:r>
              <w:rPr>
                <w:rFonts w:hint="eastAsia" w:ascii="宋体" w:hAnsi="宋体" w:eastAsia="宋体" w:cs="宋体"/>
                <w:szCs w:val="21"/>
              </w:rPr>
              <w:t>5.知识产权：投标人应保证所提供的货物及含软件或其任何一部分均不会侵犯任何第三方的知识产权，否则投标人应承担包括但不限于侵权赔偿款、诉讼费、律师费、向采购人退还已付全款，并按合同总价款的20%向采购人支付违约金等责任。</w:t>
            </w:r>
          </w:p>
          <w:p w14:paraId="6C843905">
            <w:pPr>
              <w:widowControl/>
              <w:spacing w:line="288" w:lineRule="auto"/>
              <w:rPr>
                <w:rFonts w:hint="eastAsia" w:ascii="宋体" w:hAnsi="宋体" w:eastAsia="宋体" w:cs="宋体"/>
                <w:szCs w:val="21"/>
              </w:rPr>
            </w:pPr>
            <w:r>
              <w:rPr>
                <w:rFonts w:hint="eastAsia" w:ascii="宋体" w:hAnsi="宋体" w:eastAsia="宋体" w:cs="宋体"/>
                <w:szCs w:val="21"/>
              </w:rPr>
              <w:t>6.维护服务（标二、标三）：系统投入运行后需设专人保障系统运行；本项目业务需求复杂、投标人应建立相对稳定、有业务素养的技术支持与服务队伍，提供全面的技术支持服务。投标人需根据这一要求，制定切实可行的技术支持与服务方案，包含但不限于驻场实施服务、试运行的技术支持与服务、平台使用答疑及其他技术协助内容。投标人应提供7×24小时技术支持服务，在接到采购人技术支持服务要求时，应为平台使用人员提供平台使用方面的技术咨询服务。</w:t>
            </w:r>
          </w:p>
          <w:p w14:paraId="278C668F">
            <w:pPr>
              <w:widowControl/>
              <w:spacing w:line="288" w:lineRule="auto"/>
              <w:rPr>
                <w:rFonts w:hint="eastAsia" w:ascii="宋体" w:hAnsi="宋体" w:eastAsia="宋体" w:cs="宋体"/>
                <w:szCs w:val="21"/>
              </w:rPr>
            </w:pPr>
            <w:r>
              <w:rPr>
                <w:rFonts w:hint="eastAsia" w:ascii="宋体" w:hAnsi="宋体" w:eastAsia="宋体" w:cs="宋体"/>
                <w:szCs w:val="21"/>
              </w:rPr>
              <w:t>7.移机服务：质保期内提供一次移机服务（标一、标四）（因采购人需要）。</w:t>
            </w:r>
          </w:p>
        </w:tc>
      </w:tr>
      <w:bookmarkEnd w:id="37"/>
      <w:tr w14:paraId="355F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Align w:val="center"/>
          </w:tcPr>
          <w:p w14:paraId="5A2C09A4">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验收</w:t>
            </w:r>
          </w:p>
        </w:tc>
        <w:tc>
          <w:tcPr>
            <w:tcW w:w="4350" w:type="pct"/>
            <w:gridSpan w:val="2"/>
            <w:vAlign w:val="center"/>
          </w:tcPr>
          <w:p w14:paraId="667AC958">
            <w:pPr>
              <w:widowControl/>
              <w:autoSpaceDE w:val="0"/>
              <w:autoSpaceDN w:val="0"/>
              <w:adjustRightInd w:val="0"/>
              <w:snapToGrid w:val="0"/>
              <w:spacing w:line="288" w:lineRule="auto"/>
              <w:textAlignment w:val="bottom"/>
              <w:rPr>
                <w:rFonts w:hint="eastAsia" w:ascii="宋体" w:hAnsi="宋体" w:eastAsia="宋体" w:cs="宋体"/>
                <w:szCs w:val="21"/>
              </w:rPr>
            </w:pPr>
            <w:r>
              <w:rPr>
                <w:rFonts w:hint="eastAsia" w:ascii="宋体" w:hAnsi="宋体" w:eastAsia="宋体" w:cs="宋体"/>
                <w:szCs w:val="21"/>
              </w:rPr>
              <w:t>1.中标人应提供合同货物的有效检验文件，经采购人认可后，与货物的性能指标一起作为合同货物验收标准。采购人对合同货物验收合格后，双方共同签署验收合格材料，验收中发现合同货物达不到验收标准或合同规定的性能指标，中标人必须更换合同货物，并负担由此给采购人造成的损失，直到验收合格为止。</w:t>
            </w:r>
          </w:p>
          <w:p w14:paraId="0F8B1CF9">
            <w:pPr>
              <w:widowControl/>
              <w:autoSpaceDE w:val="0"/>
              <w:autoSpaceDN w:val="0"/>
              <w:adjustRightInd w:val="0"/>
              <w:snapToGrid w:val="0"/>
              <w:spacing w:line="288" w:lineRule="auto"/>
              <w:textAlignment w:val="bottom"/>
              <w:rPr>
                <w:rFonts w:hint="eastAsia" w:ascii="宋体" w:hAnsi="宋体" w:eastAsia="宋体" w:cs="宋体"/>
                <w:szCs w:val="21"/>
              </w:rPr>
            </w:pPr>
            <w:r>
              <w:rPr>
                <w:rFonts w:hint="eastAsia" w:ascii="宋体" w:hAnsi="宋体" w:eastAsia="宋体" w:cs="宋体"/>
                <w:szCs w:val="21"/>
              </w:rPr>
              <w:t>2.投标人应在投标文件中提供合同货物的验收标准和检测办法，并在验收中提供采购人认可的相应检测手段，验收标准应符合中国有关的国家、地方、行业的标准，如若中标，经采购人确认后作为验收的依据。</w:t>
            </w:r>
          </w:p>
          <w:p w14:paraId="66E3346D">
            <w:pPr>
              <w:widowControl/>
              <w:autoSpaceDE w:val="0"/>
              <w:autoSpaceDN w:val="0"/>
              <w:adjustRightInd w:val="0"/>
              <w:snapToGrid w:val="0"/>
              <w:spacing w:line="288" w:lineRule="auto"/>
              <w:textAlignment w:val="bottom"/>
              <w:rPr>
                <w:rFonts w:hint="eastAsia" w:ascii="宋体" w:hAnsi="宋体" w:eastAsia="宋体" w:cs="宋体"/>
                <w:szCs w:val="21"/>
              </w:rPr>
            </w:pPr>
            <w:r>
              <w:rPr>
                <w:rFonts w:hint="eastAsia" w:ascii="宋体" w:hAnsi="宋体" w:eastAsia="宋体" w:cs="宋体"/>
                <w:szCs w:val="21"/>
              </w:rPr>
              <w:t>3.软件产品验收时需由中标人提供原厂知识产权证书及授权书。</w:t>
            </w:r>
          </w:p>
        </w:tc>
      </w:tr>
      <w:tr w14:paraId="732A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pct"/>
            <w:vAlign w:val="center"/>
          </w:tcPr>
          <w:p w14:paraId="1F6A73F8">
            <w:pPr>
              <w:spacing w:line="288" w:lineRule="auto"/>
              <w:jc w:val="center"/>
              <w:rPr>
                <w:rFonts w:hint="eastAsia" w:ascii="宋体" w:hAnsi="宋体" w:eastAsia="宋体" w:cs="宋体"/>
                <w:szCs w:val="21"/>
              </w:rPr>
            </w:pPr>
            <w:r>
              <w:rPr>
                <w:rFonts w:hint="eastAsia" w:ascii="宋体" w:hAnsi="宋体" w:eastAsia="宋体" w:cs="宋体"/>
                <w:szCs w:val="21"/>
              </w:rPr>
              <w:t>备注</w:t>
            </w:r>
          </w:p>
        </w:tc>
        <w:tc>
          <w:tcPr>
            <w:tcW w:w="4350" w:type="pct"/>
            <w:gridSpan w:val="2"/>
            <w:vAlign w:val="center"/>
          </w:tcPr>
          <w:p w14:paraId="51EFAF6F">
            <w:pPr>
              <w:spacing w:line="288" w:lineRule="auto"/>
              <w:rPr>
                <w:rFonts w:hint="eastAsia" w:ascii="宋体" w:hAnsi="宋体" w:eastAsia="宋体" w:cs="宋体"/>
                <w:szCs w:val="21"/>
              </w:rPr>
            </w:pPr>
            <w:r>
              <w:rPr>
                <w:rFonts w:hint="eastAsia" w:ascii="宋体" w:hAnsi="宋体" w:eastAsia="宋体" w:cs="宋体"/>
                <w:szCs w:val="21"/>
              </w:rPr>
              <w:t>本项目实施所需的所有成本充分考虑，项目可能需要的线材、辅料、转换接口等，安装调试过程中按实际需要提供，任何缺项、漏项均由中标人自行承担，采购人不作任何追加。</w:t>
            </w:r>
          </w:p>
        </w:tc>
      </w:tr>
    </w:tbl>
    <w:p w14:paraId="304C87A7">
      <w:pPr>
        <w:adjustRightInd w:val="0"/>
        <w:snapToGrid w:val="0"/>
        <w:spacing w:line="288" w:lineRule="auto"/>
        <w:rPr>
          <w:rFonts w:hint="eastAsia" w:ascii="宋体" w:hAnsi="宋体" w:eastAsia="宋体" w:cs="Times New Roman"/>
          <w:b/>
          <w:szCs w:val="21"/>
        </w:rPr>
      </w:pPr>
    </w:p>
    <w:p w14:paraId="02FCF002">
      <w:pPr>
        <w:adjustRightInd w:val="0"/>
        <w:snapToGrid w:val="0"/>
        <w:spacing w:line="288" w:lineRule="auto"/>
        <w:outlineLvl w:val="1"/>
        <w:rPr>
          <w:rFonts w:hint="eastAsia" w:ascii="宋体" w:hAnsi="宋体" w:eastAsia="宋体" w:cs="Times New Roman"/>
          <w:szCs w:val="21"/>
        </w:rPr>
      </w:pPr>
      <w:r>
        <w:rPr>
          <w:rFonts w:hint="eastAsia" w:ascii="宋体" w:hAnsi="宋体" w:eastAsia="宋体" w:cs="Times New Roman"/>
          <w:b/>
          <w:szCs w:val="21"/>
        </w:rPr>
        <w:t>四、技术要求</w:t>
      </w:r>
      <w:bookmarkStart w:id="38" w:name="_Hlk45005556"/>
    </w:p>
    <w:bookmarkEnd w:id="38"/>
    <w:p w14:paraId="3C902424">
      <w:pPr>
        <w:adjustRightInd w:val="0"/>
        <w:snapToGrid w:val="0"/>
        <w:spacing w:line="288" w:lineRule="auto"/>
        <w:rPr>
          <w:rFonts w:hint="eastAsia" w:ascii="宋体" w:hAnsi="宋体" w:eastAsia="宋体" w:cs="宋体"/>
          <w:b/>
          <w:bCs/>
          <w:szCs w:val="21"/>
        </w:rPr>
      </w:pPr>
      <w:bookmarkStart w:id="39" w:name="_Hlk92271413"/>
      <w:r>
        <w:rPr>
          <w:rFonts w:hint="eastAsia" w:ascii="宋体" w:hAnsi="宋体" w:eastAsia="宋体" w:cs="宋体"/>
          <w:b/>
          <w:bCs/>
          <w:szCs w:val="21"/>
        </w:rPr>
        <w:t>1</w:t>
      </w:r>
      <w:r>
        <w:rPr>
          <w:rFonts w:ascii="宋体" w:hAnsi="宋体" w:eastAsia="宋体" w:cs="宋体"/>
          <w:b/>
          <w:bCs/>
          <w:szCs w:val="21"/>
        </w:rPr>
        <w:t>.</w:t>
      </w:r>
      <w:r>
        <w:rPr>
          <w:rFonts w:hint="eastAsia" w:ascii="宋体" w:hAnsi="宋体" w:eastAsia="宋体" w:cs="宋体"/>
          <w:b/>
          <w:bCs/>
          <w:szCs w:val="21"/>
        </w:rPr>
        <w:t>需执行的国家相关标准、行业标准、地方标准或者其他标准、规范：</w:t>
      </w:r>
      <w:bookmarkStart w:id="40" w:name="_Hlk94018176"/>
      <w:r>
        <w:rPr>
          <w:rFonts w:hint="eastAsia" w:ascii="宋体" w:hAnsi="宋体" w:eastAsia="宋体" w:cs="宋体"/>
          <w:szCs w:val="21"/>
        </w:rPr>
        <w:t>如技术要求中未注明需执行的国家相关标准、行业标准、地方标准或者其他标准、规范的，执行最新标准、规范。</w:t>
      </w:r>
      <w:bookmarkEnd w:id="40"/>
    </w:p>
    <w:bookmarkEnd w:id="39"/>
    <w:p w14:paraId="00C74164">
      <w:pPr>
        <w:adjustRightInd w:val="0"/>
        <w:snapToGrid w:val="0"/>
        <w:spacing w:line="288" w:lineRule="auto"/>
        <w:rPr>
          <w:rFonts w:hint="eastAsia" w:ascii="宋体" w:hAnsi="宋体" w:eastAsia="宋体" w:cs="宋体"/>
          <w:b/>
          <w:bCs/>
          <w:szCs w:val="21"/>
        </w:rPr>
      </w:pPr>
      <w:r>
        <w:rPr>
          <w:rFonts w:ascii="宋体" w:hAnsi="宋体" w:eastAsia="宋体" w:cs="宋体"/>
          <w:b/>
          <w:bCs/>
          <w:szCs w:val="21"/>
        </w:rPr>
        <w:t>2</w:t>
      </w:r>
      <w:r>
        <w:rPr>
          <w:rFonts w:hint="eastAsia" w:ascii="宋体" w:hAnsi="宋体" w:eastAsia="宋体" w:cs="宋体"/>
          <w:b/>
          <w:bCs/>
          <w:szCs w:val="21"/>
        </w:rPr>
        <w:t>.需实现的功能或者目标：满足浙江工商大学未来营养健康与共同富裕计算设备更新-共同富裕计算设备（第一批）采购要求。</w:t>
      </w:r>
    </w:p>
    <w:p w14:paraId="7724484E">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3.采购清单</w:t>
      </w:r>
    </w:p>
    <w:tbl>
      <w:tblPr>
        <w:tblStyle w:val="23"/>
        <w:tblW w:w="4997" w:type="pct"/>
        <w:jc w:val="center"/>
        <w:tblLayout w:type="autofit"/>
        <w:tblCellMar>
          <w:top w:w="0" w:type="dxa"/>
          <w:left w:w="108" w:type="dxa"/>
          <w:bottom w:w="0" w:type="dxa"/>
          <w:right w:w="108" w:type="dxa"/>
        </w:tblCellMar>
      </w:tblPr>
      <w:tblGrid>
        <w:gridCol w:w="756"/>
        <w:gridCol w:w="820"/>
        <w:gridCol w:w="3141"/>
        <w:gridCol w:w="1013"/>
        <w:gridCol w:w="892"/>
        <w:gridCol w:w="1500"/>
        <w:gridCol w:w="1500"/>
      </w:tblGrid>
      <w:tr w14:paraId="2E75C483">
        <w:trPr>
          <w:trHeight w:val="1089" w:hRule="atLeast"/>
          <w:jc w:val="center"/>
        </w:trPr>
        <w:tc>
          <w:tcPr>
            <w:tcW w:w="3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F6D445">
            <w:pPr>
              <w:jc w:val="center"/>
              <w:textAlignment w:val="center"/>
              <w:rPr>
                <w:rFonts w:hint="eastAsia" w:ascii="宋体" w:hAnsi="宋体" w:eastAsia="宋体" w:cs="宋体"/>
                <w:szCs w:val="21"/>
              </w:rPr>
            </w:pPr>
            <w:r>
              <w:rPr>
                <w:rFonts w:hint="eastAsia" w:ascii="宋体" w:hAnsi="宋体" w:eastAsia="宋体" w:cs="宋体"/>
                <w:szCs w:val="21"/>
                <w:lang w:bidi="ar"/>
              </w:rPr>
              <w:t>标项</w:t>
            </w:r>
          </w:p>
        </w:tc>
        <w:tc>
          <w:tcPr>
            <w:tcW w:w="426" w:type="pct"/>
            <w:tcBorders>
              <w:top w:val="single" w:color="000000" w:sz="8" w:space="0"/>
              <w:left w:val="nil"/>
              <w:bottom w:val="single" w:color="000000" w:sz="8" w:space="0"/>
              <w:right w:val="single" w:color="000000" w:sz="8" w:space="0"/>
            </w:tcBorders>
            <w:shd w:val="clear" w:color="auto" w:fill="auto"/>
            <w:vAlign w:val="center"/>
          </w:tcPr>
          <w:p w14:paraId="293A2AB8">
            <w:pPr>
              <w:jc w:val="center"/>
              <w:textAlignment w:val="center"/>
              <w:rPr>
                <w:rFonts w:hint="eastAsia" w:ascii="宋体" w:hAnsi="宋体" w:eastAsia="宋体" w:cs="宋体"/>
                <w:szCs w:val="21"/>
              </w:rPr>
            </w:pPr>
            <w:r>
              <w:rPr>
                <w:rFonts w:hint="eastAsia" w:ascii="宋体" w:hAnsi="宋体" w:eastAsia="宋体" w:cs="宋体"/>
                <w:szCs w:val="21"/>
                <w:lang w:bidi="ar"/>
              </w:rPr>
              <w:t>序号</w:t>
            </w:r>
          </w:p>
        </w:tc>
        <w:tc>
          <w:tcPr>
            <w:tcW w:w="1631" w:type="pct"/>
            <w:tcBorders>
              <w:top w:val="single" w:color="000000" w:sz="8" w:space="0"/>
              <w:left w:val="nil"/>
              <w:bottom w:val="single" w:color="000000" w:sz="8" w:space="0"/>
              <w:right w:val="single" w:color="000000" w:sz="8" w:space="0"/>
            </w:tcBorders>
            <w:shd w:val="clear" w:color="auto" w:fill="auto"/>
            <w:vAlign w:val="center"/>
          </w:tcPr>
          <w:p w14:paraId="37858B8B">
            <w:pPr>
              <w:jc w:val="center"/>
              <w:textAlignment w:val="center"/>
              <w:rPr>
                <w:rFonts w:hint="eastAsia" w:ascii="宋体" w:hAnsi="宋体" w:eastAsia="宋体" w:cs="宋体"/>
                <w:szCs w:val="21"/>
              </w:rPr>
            </w:pPr>
            <w:r>
              <w:rPr>
                <w:rFonts w:hint="eastAsia" w:ascii="宋体" w:hAnsi="宋体" w:eastAsia="宋体" w:cs="宋体"/>
                <w:szCs w:val="21"/>
                <w:lang w:bidi="ar"/>
              </w:rPr>
              <w:t>货物名称</w:t>
            </w:r>
          </w:p>
        </w:tc>
        <w:tc>
          <w:tcPr>
            <w:tcW w:w="526" w:type="pct"/>
            <w:tcBorders>
              <w:top w:val="single" w:color="000000" w:sz="8" w:space="0"/>
              <w:left w:val="nil"/>
              <w:bottom w:val="single" w:color="000000" w:sz="8" w:space="0"/>
              <w:right w:val="single" w:color="000000" w:sz="8" w:space="0"/>
            </w:tcBorders>
            <w:shd w:val="clear" w:color="auto" w:fill="auto"/>
            <w:vAlign w:val="center"/>
          </w:tcPr>
          <w:p w14:paraId="19471DE7">
            <w:pPr>
              <w:jc w:val="center"/>
              <w:textAlignment w:val="center"/>
              <w:rPr>
                <w:rFonts w:hint="eastAsia" w:ascii="宋体" w:hAnsi="宋体" w:eastAsia="宋体" w:cs="宋体"/>
                <w:szCs w:val="21"/>
              </w:rPr>
            </w:pPr>
            <w:r>
              <w:rPr>
                <w:rFonts w:hint="eastAsia" w:ascii="宋体" w:hAnsi="宋体" w:eastAsia="宋体" w:cs="宋体"/>
                <w:szCs w:val="21"/>
                <w:lang w:bidi="ar"/>
              </w:rPr>
              <w:t>计量单位</w:t>
            </w:r>
          </w:p>
        </w:tc>
        <w:tc>
          <w:tcPr>
            <w:tcW w:w="463" w:type="pct"/>
            <w:tcBorders>
              <w:top w:val="single" w:color="000000" w:sz="8" w:space="0"/>
              <w:left w:val="nil"/>
              <w:bottom w:val="single" w:color="000000" w:sz="8" w:space="0"/>
              <w:right w:val="single" w:color="000000" w:sz="8" w:space="0"/>
            </w:tcBorders>
            <w:shd w:val="clear" w:color="auto" w:fill="auto"/>
            <w:vAlign w:val="center"/>
          </w:tcPr>
          <w:p w14:paraId="5852E88E">
            <w:pPr>
              <w:jc w:val="center"/>
              <w:textAlignment w:val="center"/>
              <w:rPr>
                <w:rFonts w:hint="eastAsia" w:ascii="宋体" w:hAnsi="宋体" w:eastAsia="宋体" w:cs="宋体"/>
                <w:szCs w:val="21"/>
              </w:rPr>
            </w:pPr>
            <w:r>
              <w:rPr>
                <w:rFonts w:hint="eastAsia" w:ascii="宋体" w:hAnsi="宋体" w:eastAsia="宋体" w:cs="宋体"/>
                <w:szCs w:val="21"/>
                <w:lang w:bidi="ar"/>
              </w:rPr>
              <w:t>数量</w:t>
            </w:r>
          </w:p>
        </w:tc>
        <w:tc>
          <w:tcPr>
            <w:tcW w:w="779" w:type="pct"/>
            <w:tcBorders>
              <w:top w:val="single" w:color="000000" w:sz="8" w:space="0"/>
              <w:left w:val="nil"/>
              <w:bottom w:val="single" w:color="000000" w:sz="8" w:space="0"/>
              <w:right w:val="single" w:color="000000" w:sz="8" w:space="0"/>
            </w:tcBorders>
            <w:shd w:val="clear" w:color="auto" w:fill="auto"/>
            <w:vAlign w:val="center"/>
          </w:tcPr>
          <w:p w14:paraId="557365C1">
            <w:pPr>
              <w:jc w:val="center"/>
              <w:textAlignment w:val="center"/>
              <w:rPr>
                <w:rFonts w:hint="default" w:ascii="宋体" w:hAnsi="宋体" w:eastAsia="宋体" w:cs="宋体"/>
                <w:b/>
                <w:bCs/>
                <w:szCs w:val="21"/>
                <w:lang w:val="en-US" w:eastAsia="zh-CN" w:bidi="ar"/>
              </w:rPr>
            </w:pPr>
            <w:r>
              <w:rPr>
                <w:rFonts w:hint="eastAsia" w:ascii="宋体" w:hAnsi="宋体" w:eastAsia="宋体" w:cs="宋体"/>
                <w:b/>
                <w:bCs/>
                <w:szCs w:val="21"/>
                <w:lang w:val="en-US" w:eastAsia="zh-CN" w:bidi="ar"/>
              </w:rPr>
              <w:t>单价最高限价（万元）</w:t>
            </w:r>
          </w:p>
        </w:tc>
        <w:tc>
          <w:tcPr>
            <w:tcW w:w="779" w:type="pct"/>
            <w:tcBorders>
              <w:top w:val="single" w:color="000000" w:sz="8" w:space="0"/>
              <w:left w:val="nil"/>
              <w:bottom w:val="single" w:color="000000" w:sz="8" w:space="0"/>
              <w:right w:val="single" w:color="000000" w:sz="8" w:space="0"/>
            </w:tcBorders>
            <w:shd w:val="clear" w:color="auto" w:fill="auto"/>
            <w:vAlign w:val="center"/>
          </w:tcPr>
          <w:p w14:paraId="7FB06DEB">
            <w:pPr>
              <w:jc w:val="center"/>
              <w:textAlignment w:val="center"/>
              <w:rPr>
                <w:rFonts w:hint="eastAsia" w:ascii="宋体" w:hAnsi="宋体" w:eastAsia="宋体" w:cs="宋体"/>
                <w:szCs w:val="21"/>
                <w:lang w:bidi="ar"/>
              </w:rPr>
            </w:pPr>
            <w:r>
              <w:rPr>
                <w:rFonts w:hint="eastAsia" w:ascii="宋体" w:hAnsi="宋体" w:eastAsia="宋体" w:cs="宋体"/>
                <w:szCs w:val="21"/>
                <w:lang w:bidi="ar"/>
              </w:rPr>
              <w:t>预算金额（万元）</w:t>
            </w:r>
          </w:p>
        </w:tc>
      </w:tr>
      <w:tr w14:paraId="2B5924D6">
        <w:tblPrEx>
          <w:tblCellMar>
            <w:top w:w="0" w:type="dxa"/>
            <w:left w:w="108" w:type="dxa"/>
            <w:bottom w:w="0" w:type="dxa"/>
            <w:right w:w="108" w:type="dxa"/>
          </w:tblCellMar>
        </w:tblPrEx>
        <w:trPr>
          <w:trHeight w:val="20" w:hRule="atLeast"/>
          <w:jc w:val="center"/>
        </w:trPr>
        <w:tc>
          <w:tcPr>
            <w:tcW w:w="393" w:type="pct"/>
            <w:vMerge w:val="restart"/>
            <w:tcBorders>
              <w:top w:val="nil"/>
              <w:left w:val="single" w:color="000000" w:sz="8" w:space="0"/>
              <w:bottom w:val="single" w:color="000000" w:sz="8" w:space="0"/>
              <w:right w:val="single" w:color="000000" w:sz="8" w:space="0"/>
            </w:tcBorders>
            <w:shd w:val="clear" w:color="auto" w:fill="auto"/>
            <w:vAlign w:val="center"/>
          </w:tcPr>
          <w:p w14:paraId="77009E0B">
            <w:pPr>
              <w:jc w:val="center"/>
              <w:textAlignment w:val="center"/>
              <w:rPr>
                <w:rFonts w:hint="eastAsia" w:ascii="宋体" w:hAnsi="宋体" w:eastAsia="宋体" w:cs="宋体"/>
                <w:szCs w:val="21"/>
              </w:rPr>
            </w:pPr>
            <w:r>
              <w:rPr>
                <w:rFonts w:hint="eastAsia" w:ascii="宋体" w:hAnsi="宋体" w:eastAsia="宋体" w:cs="宋体"/>
                <w:szCs w:val="21"/>
                <w:lang w:bidi="ar"/>
              </w:rPr>
              <w:t>一</w:t>
            </w:r>
          </w:p>
        </w:tc>
        <w:tc>
          <w:tcPr>
            <w:tcW w:w="426" w:type="pct"/>
            <w:tcBorders>
              <w:top w:val="nil"/>
              <w:left w:val="nil"/>
              <w:bottom w:val="single" w:color="000000" w:sz="8" w:space="0"/>
              <w:right w:val="single" w:color="000000" w:sz="8" w:space="0"/>
            </w:tcBorders>
            <w:shd w:val="clear" w:color="auto" w:fill="auto"/>
            <w:vAlign w:val="center"/>
          </w:tcPr>
          <w:p w14:paraId="6DBBFEA2">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1631" w:type="pct"/>
            <w:tcBorders>
              <w:top w:val="single" w:color="000000" w:sz="8" w:space="0"/>
              <w:left w:val="nil"/>
              <w:bottom w:val="single" w:color="000000" w:sz="8" w:space="0"/>
              <w:right w:val="single" w:color="000000" w:sz="8" w:space="0"/>
            </w:tcBorders>
            <w:shd w:val="clear" w:color="auto" w:fill="auto"/>
            <w:vAlign w:val="center"/>
          </w:tcPr>
          <w:p w14:paraId="602489C1">
            <w:pPr>
              <w:jc w:val="center"/>
              <w:textAlignment w:val="center"/>
              <w:rPr>
                <w:rFonts w:hint="eastAsia" w:ascii="宋体" w:hAnsi="宋体" w:eastAsia="宋体" w:cs="宋体"/>
                <w:szCs w:val="21"/>
              </w:rPr>
            </w:pPr>
            <w:r>
              <w:rPr>
                <w:rFonts w:hint="eastAsia" w:ascii="宋体" w:hAnsi="宋体" w:eastAsia="宋体" w:cs="宋体"/>
                <w:b/>
                <w:bCs/>
                <w:szCs w:val="21"/>
                <w:lang w:bidi="ar"/>
              </w:rPr>
              <w:t>超模态行为洞察平台（核心产品）</w:t>
            </w:r>
          </w:p>
        </w:tc>
        <w:tc>
          <w:tcPr>
            <w:tcW w:w="526" w:type="pct"/>
            <w:tcBorders>
              <w:top w:val="nil"/>
              <w:left w:val="single" w:color="000000" w:sz="8" w:space="0"/>
              <w:bottom w:val="single" w:color="000000" w:sz="8" w:space="0"/>
              <w:right w:val="single" w:color="000000" w:sz="8" w:space="0"/>
            </w:tcBorders>
            <w:shd w:val="clear" w:color="auto" w:fill="auto"/>
            <w:vAlign w:val="center"/>
          </w:tcPr>
          <w:p w14:paraId="74C5A985">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5E054F8C">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2ACE52B4">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100</w:t>
            </w:r>
            <w:r>
              <w:rPr>
                <w:rFonts w:hint="eastAsia" w:ascii="Times New Roman" w:hAnsi="Times New Roman" w:cs="Times New Roman"/>
                <w:b/>
                <w:bCs/>
                <w:sz w:val="21"/>
                <w:szCs w:val="21"/>
                <w:lang w:bidi="ar"/>
              </w:rPr>
              <w:t>.00</w:t>
            </w:r>
          </w:p>
        </w:tc>
        <w:tc>
          <w:tcPr>
            <w:tcW w:w="779" w:type="pct"/>
            <w:vMerge w:val="restart"/>
            <w:tcBorders>
              <w:top w:val="nil"/>
              <w:left w:val="nil"/>
              <w:bottom w:val="single" w:color="000000" w:sz="8" w:space="0"/>
              <w:right w:val="single" w:color="000000" w:sz="8" w:space="0"/>
            </w:tcBorders>
            <w:shd w:val="clear" w:color="auto" w:fill="auto"/>
            <w:vAlign w:val="center"/>
          </w:tcPr>
          <w:p w14:paraId="0CC98DFF">
            <w:pPr>
              <w:jc w:val="center"/>
              <w:textAlignment w:val="center"/>
              <w:rPr>
                <w:rFonts w:hint="eastAsia" w:ascii="宋体" w:hAnsi="宋体" w:eastAsia="宋体" w:cs="宋体"/>
                <w:szCs w:val="21"/>
              </w:rPr>
            </w:pPr>
            <w:r>
              <w:rPr>
                <w:rFonts w:hint="eastAsia" w:ascii="宋体" w:hAnsi="宋体" w:eastAsia="宋体" w:cs="宋体"/>
                <w:szCs w:val="21"/>
                <w:lang w:bidi="ar"/>
              </w:rPr>
              <w:t>290.00</w:t>
            </w:r>
          </w:p>
        </w:tc>
      </w:tr>
      <w:tr w14:paraId="388B5ECC">
        <w:tblPrEx>
          <w:tblCellMar>
            <w:top w:w="0" w:type="dxa"/>
            <w:left w:w="108" w:type="dxa"/>
            <w:bottom w:w="0" w:type="dxa"/>
            <w:right w:w="108" w:type="dxa"/>
          </w:tblCellMar>
        </w:tblPrEx>
        <w:trPr>
          <w:trHeight w:val="2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vAlign w:val="center"/>
          </w:tcPr>
          <w:p w14:paraId="15E6FE3C">
            <w:pPr>
              <w:jc w:val="center"/>
              <w:rPr>
                <w:rFonts w:hint="eastAsia" w:ascii="宋体" w:hAnsi="宋体" w:eastAsia="宋体" w:cs="宋体"/>
                <w:szCs w:val="21"/>
              </w:rPr>
            </w:pPr>
          </w:p>
        </w:tc>
        <w:tc>
          <w:tcPr>
            <w:tcW w:w="426" w:type="pct"/>
            <w:tcBorders>
              <w:top w:val="nil"/>
              <w:left w:val="nil"/>
              <w:bottom w:val="single" w:color="000000" w:sz="8" w:space="0"/>
              <w:right w:val="single" w:color="000000" w:sz="8" w:space="0"/>
            </w:tcBorders>
            <w:shd w:val="clear" w:color="auto" w:fill="auto"/>
            <w:vAlign w:val="center"/>
          </w:tcPr>
          <w:p w14:paraId="59B40B21">
            <w:pPr>
              <w:jc w:val="center"/>
              <w:textAlignment w:val="center"/>
              <w:rPr>
                <w:rFonts w:hint="eastAsia" w:ascii="宋体" w:hAnsi="宋体" w:eastAsia="宋体" w:cs="宋体"/>
                <w:szCs w:val="21"/>
              </w:rPr>
            </w:pPr>
            <w:r>
              <w:rPr>
                <w:rFonts w:hint="eastAsia" w:ascii="宋体" w:hAnsi="宋体" w:eastAsia="宋体" w:cs="宋体"/>
                <w:szCs w:val="21"/>
                <w:lang w:bidi="ar"/>
              </w:rPr>
              <w:t>2</w:t>
            </w:r>
          </w:p>
        </w:tc>
        <w:tc>
          <w:tcPr>
            <w:tcW w:w="1631" w:type="pct"/>
            <w:tcBorders>
              <w:top w:val="nil"/>
              <w:left w:val="nil"/>
              <w:bottom w:val="single" w:color="000000" w:sz="8" w:space="0"/>
              <w:right w:val="single" w:color="000000" w:sz="8" w:space="0"/>
            </w:tcBorders>
            <w:shd w:val="clear" w:color="auto" w:fill="auto"/>
            <w:vAlign w:val="center"/>
          </w:tcPr>
          <w:p w14:paraId="6B1BC7D4">
            <w:pPr>
              <w:jc w:val="center"/>
              <w:textAlignment w:val="center"/>
              <w:rPr>
                <w:rFonts w:hint="eastAsia" w:ascii="宋体" w:hAnsi="宋体" w:eastAsia="宋体" w:cs="宋体"/>
                <w:szCs w:val="21"/>
              </w:rPr>
            </w:pPr>
            <w:r>
              <w:rPr>
                <w:rFonts w:hint="eastAsia" w:ascii="宋体" w:hAnsi="宋体" w:eastAsia="宋体" w:cs="宋体"/>
                <w:szCs w:val="21"/>
                <w:lang w:bidi="ar"/>
              </w:rPr>
              <w:t>便携式行为观察记录分析系统</w:t>
            </w:r>
          </w:p>
        </w:tc>
        <w:tc>
          <w:tcPr>
            <w:tcW w:w="526" w:type="pct"/>
            <w:tcBorders>
              <w:top w:val="nil"/>
              <w:left w:val="single" w:color="000000" w:sz="8" w:space="0"/>
              <w:bottom w:val="single" w:color="000000" w:sz="8" w:space="0"/>
              <w:right w:val="single" w:color="000000" w:sz="8" w:space="0"/>
            </w:tcBorders>
            <w:shd w:val="clear" w:color="auto" w:fill="auto"/>
            <w:vAlign w:val="center"/>
          </w:tcPr>
          <w:p w14:paraId="23CDFDDD">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3090C5DA">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6C4F8112">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60</w:t>
            </w:r>
            <w:r>
              <w:rPr>
                <w:rFonts w:hint="eastAsia" w:ascii="Times New Roman" w:hAnsi="Times New Roman" w:cs="Times New Roman"/>
                <w:b/>
                <w:bCs/>
                <w:sz w:val="21"/>
                <w:szCs w:val="21"/>
                <w:lang w:bidi="ar"/>
              </w:rPr>
              <w:t>.00</w:t>
            </w:r>
          </w:p>
        </w:tc>
        <w:tc>
          <w:tcPr>
            <w:tcW w:w="779" w:type="pct"/>
            <w:vMerge w:val="continue"/>
            <w:tcBorders>
              <w:top w:val="nil"/>
              <w:left w:val="nil"/>
              <w:bottom w:val="single" w:color="000000" w:sz="8" w:space="0"/>
              <w:right w:val="single" w:color="000000" w:sz="8" w:space="0"/>
            </w:tcBorders>
            <w:shd w:val="clear" w:color="auto" w:fill="auto"/>
            <w:vAlign w:val="center"/>
          </w:tcPr>
          <w:p w14:paraId="3E99B126">
            <w:pPr>
              <w:jc w:val="center"/>
              <w:rPr>
                <w:rFonts w:hint="eastAsia" w:ascii="宋体" w:hAnsi="宋体" w:eastAsia="宋体" w:cs="宋体"/>
                <w:szCs w:val="21"/>
              </w:rPr>
            </w:pPr>
          </w:p>
        </w:tc>
      </w:tr>
      <w:tr w14:paraId="00A6EE26">
        <w:tblPrEx>
          <w:tblCellMar>
            <w:top w:w="0" w:type="dxa"/>
            <w:left w:w="108" w:type="dxa"/>
            <w:bottom w:w="0" w:type="dxa"/>
            <w:right w:w="108" w:type="dxa"/>
          </w:tblCellMar>
        </w:tblPrEx>
        <w:trPr>
          <w:trHeight w:val="2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vAlign w:val="center"/>
          </w:tcPr>
          <w:p w14:paraId="55C0976B">
            <w:pPr>
              <w:jc w:val="center"/>
              <w:rPr>
                <w:rFonts w:hint="eastAsia" w:ascii="宋体" w:hAnsi="宋体" w:eastAsia="宋体" w:cs="宋体"/>
                <w:szCs w:val="21"/>
              </w:rPr>
            </w:pPr>
          </w:p>
        </w:tc>
        <w:tc>
          <w:tcPr>
            <w:tcW w:w="426" w:type="pct"/>
            <w:tcBorders>
              <w:top w:val="nil"/>
              <w:left w:val="nil"/>
              <w:bottom w:val="single" w:color="000000" w:sz="8" w:space="0"/>
              <w:right w:val="single" w:color="000000" w:sz="8" w:space="0"/>
            </w:tcBorders>
            <w:shd w:val="clear" w:color="auto" w:fill="auto"/>
            <w:vAlign w:val="center"/>
          </w:tcPr>
          <w:p w14:paraId="587DBF82">
            <w:pPr>
              <w:jc w:val="center"/>
              <w:textAlignment w:val="center"/>
              <w:rPr>
                <w:rFonts w:hint="eastAsia" w:ascii="宋体" w:hAnsi="宋体" w:eastAsia="宋体" w:cs="宋体"/>
                <w:szCs w:val="21"/>
              </w:rPr>
            </w:pPr>
            <w:r>
              <w:rPr>
                <w:rFonts w:hint="eastAsia" w:ascii="宋体" w:hAnsi="宋体" w:eastAsia="宋体" w:cs="宋体"/>
                <w:szCs w:val="21"/>
                <w:lang w:bidi="ar"/>
              </w:rPr>
              <w:t>3</w:t>
            </w:r>
          </w:p>
        </w:tc>
        <w:tc>
          <w:tcPr>
            <w:tcW w:w="1631" w:type="pct"/>
            <w:tcBorders>
              <w:top w:val="nil"/>
              <w:left w:val="nil"/>
              <w:bottom w:val="single" w:color="000000" w:sz="8" w:space="0"/>
              <w:right w:val="single" w:color="000000" w:sz="8" w:space="0"/>
            </w:tcBorders>
            <w:shd w:val="clear" w:color="auto" w:fill="auto"/>
            <w:vAlign w:val="center"/>
          </w:tcPr>
          <w:p w14:paraId="6B28BDAF">
            <w:pPr>
              <w:jc w:val="center"/>
              <w:textAlignment w:val="center"/>
              <w:rPr>
                <w:rFonts w:hint="eastAsia" w:ascii="宋体" w:hAnsi="宋体" w:eastAsia="宋体" w:cs="宋体"/>
                <w:szCs w:val="21"/>
              </w:rPr>
            </w:pPr>
            <w:r>
              <w:rPr>
                <w:rFonts w:hint="eastAsia" w:ascii="宋体" w:hAnsi="宋体" w:eastAsia="宋体" w:cs="宋体"/>
                <w:szCs w:val="21"/>
                <w:lang w:bidi="ar"/>
              </w:rPr>
              <w:t>视觉动态追踪系统</w:t>
            </w:r>
          </w:p>
        </w:tc>
        <w:tc>
          <w:tcPr>
            <w:tcW w:w="526" w:type="pct"/>
            <w:tcBorders>
              <w:top w:val="nil"/>
              <w:left w:val="single" w:color="000000" w:sz="8" w:space="0"/>
              <w:bottom w:val="single" w:color="000000" w:sz="8" w:space="0"/>
              <w:right w:val="single" w:color="000000" w:sz="8" w:space="0"/>
            </w:tcBorders>
            <w:shd w:val="clear" w:color="auto" w:fill="auto"/>
            <w:vAlign w:val="center"/>
          </w:tcPr>
          <w:p w14:paraId="1501CC27">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0101A51A">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41DFF465">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60</w:t>
            </w:r>
            <w:r>
              <w:rPr>
                <w:rFonts w:hint="eastAsia" w:ascii="Times New Roman" w:hAnsi="Times New Roman" w:cs="Times New Roman"/>
                <w:b/>
                <w:bCs/>
                <w:sz w:val="21"/>
                <w:szCs w:val="21"/>
                <w:lang w:bidi="ar"/>
              </w:rPr>
              <w:t>.00</w:t>
            </w:r>
          </w:p>
        </w:tc>
        <w:tc>
          <w:tcPr>
            <w:tcW w:w="779" w:type="pct"/>
            <w:vMerge w:val="continue"/>
            <w:tcBorders>
              <w:top w:val="nil"/>
              <w:left w:val="nil"/>
              <w:bottom w:val="single" w:color="000000" w:sz="8" w:space="0"/>
              <w:right w:val="single" w:color="000000" w:sz="8" w:space="0"/>
            </w:tcBorders>
            <w:shd w:val="clear" w:color="auto" w:fill="auto"/>
            <w:vAlign w:val="center"/>
          </w:tcPr>
          <w:p w14:paraId="7B85EB0C">
            <w:pPr>
              <w:jc w:val="center"/>
              <w:rPr>
                <w:rFonts w:hint="eastAsia" w:ascii="宋体" w:hAnsi="宋体" w:eastAsia="宋体" w:cs="宋体"/>
                <w:szCs w:val="21"/>
              </w:rPr>
            </w:pPr>
          </w:p>
        </w:tc>
      </w:tr>
      <w:tr w14:paraId="5EE77327">
        <w:tblPrEx>
          <w:tblCellMar>
            <w:top w:w="0" w:type="dxa"/>
            <w:left w:w="108" w:type="dxa"/>
            <w:bottom w:w="0" w:type="dxa"/>
            <w:right w:w="108" w:type="dxa"/>
          </w:tblCellMar>
        </w:tblPrEx>
        <w:trPr>
          <w:trHeight w:val="2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vAlign w:val="center"/>
          </w:tcPr>
          <w:p w14:paraId="1F0ACE65">
            <w:pPr>
              <w:jc w:val="center"/>
              <w:rPr>
                <w:rFonts w:hint="eastAsia" w:ascii="宋体" w:hAnsi="宋体" w:eastAsia="宋体" w:cs="宋体"/>
                <w:szCs w:val="21"/>
              </w:rPr>
            </w:pPr>
          </w:p>
        </w:tc>
        <w:tc>
          <w:tcPr>
            <w:tcW w:w="426" w:type="pct"/>
            <w:tcBorders>
              <w:top w:val="nil"/>
              <w:left w:val="nil"/>
              <w:bottom w:val="single" w:color="000000" w:sz="8" w:space="0"/>
              <w:right w:val="single" w:color="000000" w:sz="8" w:space="0"/>
            </w:tcBorders>
            <w:shd w:val="clear" w:color="auto" w:fill="auto"/>
            <w:vAlign w:val="center"/>
          </w:tcPr>
          <w:p w14:paraId="7C9CC112">
            <w:pPr>
              <w:jc w:val="center"/>
              <w:textAlignment w:val="center"/>
              <w:rPr>
                <w:rFonts w:hint="eastAsia" w:ascii="宋体" w:hAnsi="宋体" w:eastAsia="宋体" w:cs="宋体"/>
                <w:szCs w:val="21"/>
              </w:rPr>
            </w:pPr>
            <w:r>
              <w:rPr>
                <w:rFonts w:hint="eastAsia" w:ascii="宋体" w:hAnsi="宋体" w:eastAsia="宋体" w:cs="宋体"/>
                <w:szCs w:val="21"/>
                <w:lang w:bidi="ar"/>
              </w:rPr>
              <w:t>4</w:t>
            </w:r>
          </w:p>
        </w:tc>
        <w:tc>
          <w:tcPr>
            <w:tcW w:w="1631" w:type="pct"/>
            <w:tcBorders>
              <w:top w:val="nil"/>
              <w:left w:val="nil"/>
              <w:bottom w:val="single" w:color="000000" w:sz="8" w:space="0"/>
              <w:right w:val="single" w:color="000000" w:sz="8" w:space="0"/>
            </w:tcBorders>
            <w:shd w:val="clear" w:color="auto" w:fill="auto"/>
            <w:vAlign w:val="center"/>
          </w:tcPr>
          <w:p w14:paraId="24A7C6B7">
            <w:pPr>
              <w:jc w:val="center"/>
              <w:textAlignment w:val="center"/>
              <w:rPr>
                <w:rFonts w:hint="eastAsia" w:ascii="宋体" w:hAnsi="宋体" w:eastAsia="宋体" w:cs="宋体"/>
                <w:szCs w:val="21"/>
              </w:rPr>
            </w:pPr>
            <w:r>
              <w:rPr>
                <w:rFonts w:hint="eastAsia" w:ascii="宋体" w:hAnsi="宋体" w:eastAsia="宋体" w:cs="宋体"/>
                <w:szCs w:val="21"/>
                <w:lang w:bidi="ar"/>
              </w:rPr>
              <w:t>遥测式生理信号采集分析系统</w:t>
            </w:r>
          </w:p>
        </w:tc>
        <w:tc>
          <w:tcPr>
            <w:tcW w:w="526" w:type="pct"/>
            <w:tcBorders>
              <w:top w:val="nil"/>
              <w:left w:val="single" w:color="000000" w:sz="8" w:space="0"/>
              <w:bottom w:val="single" w:color="000000" w:sz="8" w:space="0"/>
              <w:right w:val="single" w:color="000000" w:sz="8" w:space="0"/>
            </w:tcBorders>
            <w:shd w:val="clear" w:color="auto" w:fill="auto"/>
            <w:vAlign w:val="center"/>
          </w:tcPr>
          <w:p w14:paraId="537F1D64">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4E976709">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76DCBD6B">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70</w:t>
            </w:r>
            <w:r>
              <w:rPr>
                <w:rFonts w:hint="eastAsia" w:ascii="Times New Roman" w:hAnsi="Times New Roman" w:cs="Times New Roman"/>
                <w:b/>
                <w:bCs/>
                <w:sz w:val="21"/>
                <w:szCs w:val="21"/>
                <w:lang w:bidi="ar"/>
              </w:rPr>
              <w:t>.00</w:t>
            </w:r>
          </w:p>
        </w:tc>
        <w:tc>
          <w:tcPr>
            <w:tcW w:w="779" w:type="pct"/>
            <w:vMerge w:val="continue"/>
            <w:tcBorders>
              <w:top w:val="nil"/>
              <w:left w:val="nil"/>
              <w:bottom w:val="single" w:color="000000" w:sz="8" w:space="0"/>
              <w:right w:val="single" w:color="000000" w:sz="8" w:space="0"/>
            </w:tcBorders>
            <w:shd w:val="clear" w:color="auto" w:fill="auto"/>
            <w:vAlign w:val="center"/>
          </w:tcPr>
          <w:p w14:paraId="08398E93">
            <w:pPr>
              <w:jc w:val="center"/>
              <w:rPr>
                <w:rFonts w:hint="eastAsia" w:ascii="宋体" w:hAnsi="宋体" w:eastAsia="宋体" w:cs="宋体"/>
                <w:szCs w:val="21"/>
              </w:rPr>
            </w:pPr>
          </w:p>
        </w:tc>
      </w:tr>
      <w:tr w14:paraId="311582CB">
        <w:tblPrEx>
          <w:tblCellMar>
            <w:top w:w="0" w:type="dxa"/>
            <w:left w:w="108" w:type="dxa"/>
            <w:bottom w:w="0" w:type="dxa"/>
            <w:right w:w="108" w:type="dxa"/>
          </w:tblCellMar>
        </w:tblPrEx>
        <w:trPr>
          <w:trHeight w:val="20" w:hRule="atLeast"/>
          <w:jc w:val="center"/>
        </w:trPr>
        <w:tc>
          <w:tcPr>
            <w:tcW w:w="393" w:type="pct"/>
            <w:vMerge w:val="restart"/>
            <w:tcBorders>
              <w:top w:val="nil"/>
              <w:left w:val="single" w:color="000000" w:sz="8" w:space="0"/>
              <w:bottom w:val="single" w:color="000000" w:sz="8" w:space="0"/>
              <w:right w:val="single" w:color="000000" w:sz="8" w:space="0"/>
            </w:tcBorders>
            <w:shd w:val="clear" w:color="auto" w:fill="auto"/>
            <w:vAlign w:val="center"/>
          </w:tcPr>
          <w:p w14:paraId="703994BA">
            <w:pPr>
              <w:jc w:val="center"/>
              <w:textAlignment w:val="center"/>
              <w:rPr>
                <w:rFonts w:hint="eastAsia" w:ascii="宋体" w:hAnsi="宋体" w:eastAsia="宋体" w:cs="宋体"/>
                <w:szCs w:val="21"/>
              </w:rPr>
            </w:pPr>
            <w:r>
              <w:rPr>
                <w:rFonts w:hint="eastAsia" w:ascii="宋体" w:hAnsi="宋体" w:eastAsia="宋体" w:cs="宋体"/>
                <w:szCs w:val="21"/>
                <w:lang w:bidi="ar"/>
              </w:rPr>
              <w:t>二</w:t>
            </w:r>
          </w:p>
        </w:tc>
        <w:tc>
          <w:tcPr>
            <w:tcW w:w="426" w:type="pct"/>
            <w:tcBorders>
              <w:top w:val="nil"/>
              <w:left w:val="nil"/>
              <w:bottom w:val="single" w:color="000000" w:sz="8" w:space="0"/>
              <w:right w:val="single" w:color="000000" w:sz="8" w:space="0"/>
            </w:tcBorders>
            <w:shd w:val="clear" w:color="auto" w:fill="auto"/>
            <w:vAlign w:val="center"/>
          </w:tcPr>
          <w:p w14:paraId="6C0BA38C">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1631" w:type="pct"/>
            <w:tcBorders>
              <w:top w:val="single" w:color="000000" w:sz="8" w:space="0"/>
              <w:left w:val="nil"/>
              <w:bottom w:val="single" w:color="000000" w:sz="8" w:space="0"/>
              <w:right w:val="single" w:color="000000" w:sz="8" w:space="0"/>
            </w:tcBorders>
            <w:shd w:val="clear" w:color="auto" w:fill="auto"/>
            <w:vAlign w:val="center"/>
          </w:tcPr>
          <w:p w14:paraId="158E14FE">
            <w:pPr>
              <w:jc w:val="center"/>
              <w:textAlignment w:val="center"/>
              <w:rPr>
                <w:rFonts w:hint="eastAsia" w:ascii="宋体" w:hAnsi="宋体" w:eastAsia="宋体" w:cs="宋体"/>
                <w:szCs w:val="21"/>
              </w:rPr>
            </w:pPr>
            <w:r>
              <w:rPr>
                <w:rFonts w:hint="eastAsia" w:ascii="宋体" w:hAnsi="宋体" w:eastAsia="宋体" w:cs="宋体"/>
                <w:b/>
                <w:bCs/>
                <w:szCs w:val="21"/>
                <w:lang w:bidi="ar"/>
              </w:rPr>
              <w:t>共同富裕数据采集系统（核心产品）</w:t>
            </w:r>
          </w:p>
        </w:tc>
        <w:tc>
          <w:tcPr>
            <w:tcW w:w="526" w:type="pct"/>
            <w:tcBorders>
              <w:top w:val="nil"/>
              <w:left w:val="nil"/>
              <w:bottom w:val="single" w:color="000000" w:sz="8" w:space="0"/>
              <w:right w:val="single" w:color="000000" w:sz="8" w:space="0"/>
            </w:tcBorders>
            <w:shd w:val="clear" w:color="auto" w:fill="auto"/>
            <w:vAlign w:val="center"/>
          </w:tcPr>
          <w:p w14:paraId="06C813BE">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44AA0DBB">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33E17992">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150</w:t>
            </w:r>
            <w:r>
              <w:rPr>
                <w:rFonts w:hint="eastAsia" w:ascii="Times New Roman" w:hAnsi="Times New Roman" w:cs="Times New Roman"/>
                <w:b/>
                <w:bCs/>
                <w:sz w:val="21"/>
                <w:szCs w:val="21"/>
                <w:lang w:bidi="ar"/>
              </w:rPr>
              <w:t>.00</w:t>
            </w:r>
          </w:p>
        </w:tc>
        <w:tc>
          <w:tcPr>
            <w:tcW w:w="779" w:type="pct"/>
            <w:vMerge w:val="restart"/>
            <w:tcBorders>
              <w:top w:val="nil"/>
              <w:left w:val="nil"/>
              <w:bottom w:val="single" w:color="000000" w:sz="8" w:space="0"/>
              <w:right w:val="single" w:color="000000" w:sz="8" w:space="0"/>
            </w:tcBorders>
            <w:shd w:val="clear" w:color="auto" w:fill="auto"/>
            <w:vAlign w:val="center"/>
          </w:tcPr>
          <w:p w14:paraId="4ADD9121">
            <w:pPr>
              <w:jc w:val="center"/>
              <w:textAlignment w:val="center"/>
              <w:rPr>
                <w:rFonts w:hint="eastAsia" w:ascii="宋体" w:hAnsi="宋体" w:eastAsia="宋体" w:cs="宋体"/>
                <w:szCs w:val="21"/>
              </w:rPr>
            </w:pPr>
            <w:r>
              <w:rPr>
                <w:rFonts w:hint="eastAsia" w:ascii="宋体" w:hAnsi="宋体" w:eastAsia="宋体" w:cs="宋体"/>
                <w:szCs w:val="21"/>
                <w:lang w:bidi="ar"/>
              </w:rPr>
              <w:t>210.00</w:t>
            </w:r>
          </w:p>
        </w:tc>
      </w:tr>
      <w:tr w14:paraId="5E215991">
        <w:tblPrEx>
          <w:tblCellMar>
            <w:top w:w="0" w:type="dxa"/>
            <w:left w:w="108" w:type="dxa"/>
            <w:bottom w:w="0" w:type="dxa"/>
            <w:right w:w="108" w:type="dxa"/>
          </w:tblCellMar>
        </w:tblPrEx>
        <w:trPr>
          <w:trHeight w:val="2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vAlign w:val="center"/>
          </w:tcPr>
          <w:p w14:paraId="21477D7D">
            <w:pPr>
              <w:jc w:val="center"/>
              <w:rPr>
                <w:rFonts w:hint="eastAsia" w:ascii="宋体" w:hAnsi="宋体" w:eastAsia="宋体" w:cs="宋体"/>
                <w:szCs w:val="21"/>
              </w:rPr>
            </w:pPr>
          </w:p>
        </w:tc>
        <w:tc>
          <w:tcPr>
            <w:tcW w:w="426" w:type="pct"/>
            <w:tcBorders>
              <w:top w:val="nil"/>
              <w:left w:val="nil"/>
              <w:bottom w:val="single" w:color="000000" w:sz="8" w:space="0"/>
              <w:right w:val="single" w:color="000000" w:sz="8" w:space="0"/>
            </w:tcBorders>
            <w:shd w:val="clear" w:color="auto" w:fill="auto"/>
            <w:vAlign w:val="center"/>
          </w:tcPr>
          <w:p w14:paraId="4EA5F2C9">
            <w:pPr>
              <w:jc w:val="center"/>
              <w:textAlignment w:val="center"/>
              <w:rPr>
                <w:rFonts w:hint="eastAsia" w:ascii="宋体" w:hAnsi="宋体" w:eastAsia="宋体" w:cs="宋体"/>
                <w:szCs w:val="21"/>
              </w:rPr>
            </w:pPr>
            <w:r>
              <w:rPr>
                <w:rFonts w:hint="eastAsia" w:ascii="宋体" w:hAnsi="宋体" w:eastAsia="宋体" w:cs="宋体"/>
                <w:szCs w:val="21"/>
                <w:lang w:bidi="ar"/>
              </w:rPr>
              <w:t>2</w:t>
            </w:r>
          </w:p>
        </w:tc>
        <w:tc>
          <w:tcPr>
            <w:tcW w:w="1631" w:type="pct"/>
            <w:tcBorders>
              <w:top w:val="nil"/>
              <w:left w:val="nil"/>
              <w:bottom w:val="single" w:color="000000" w:sz="8" w:space="0"/>
              <w:right w:val="single" w:color="000000" w:sz="8" w:space="0"/>
            </w:tcBorders>
            <w:shd w:val="clear" w:color="auto" w:fill="auto"/>
            <w:vAlign w:val="center"/>
          </w:tcPr>
          <w:p w14:paraId="4F5FE2B5">
            <w:pPr>
              <w:jc w:val="center"/>
              <w:textAlignment w:val="center"/>
              <w:rPr>
                <w:rFonts w:hint="eastAsia" w:ascii="宋体" w:hAnsi="宋体" w:eastAsia="宋体" w:cs="宋体"/>
                <w:szCs w:val="21"/>
              </w:rPr>
            </w:pPr>
            <w:r>
              <w:rPr>
                <w:rFonts w:hint="eastAsia" w:ascii="宋体" w:hAnsi="宋体" w:eastAsia="宋体" w:cs="宋体"/>
                <w:szCs w:val="21"/>
                <w:lang w:bidi="ar"/>
              </w:rPr>
              <w:t>“数字+”驾驶舱平台</w:t>
            </w:r>
          </w:p>
        </w:tc>
        <w:tc>
          <w:tcPr>
            <w:tcW w:w="526" w:type="pct"/>
            <w:tcBorders>
              <w:top w:val="nil"/>
              <w:left w:val="nil"/>
              <w:bottom w:val="single" w:color="000000" w:sz="8" w:space="0"/>
              <w:right w:val="single" w:color="000000" w:sz="8" w:space="0"/>
            </w:tcBorders>
            <w:shd w:val="clear" w:color="auto" w:fill="auto"/>
            <w:vAlign w:val="center"/>
          </w:tcPr>
          <w:p w14:paraId="2C8923DB">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243143D4">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092F8EE3">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60</w:t>
            </w:r>
            <w:r>
              <w:rPr>
                <w:rFonts w:hint="eastAsia" w:ascii="Times New Roman" w:hAnsi="Times New Roman" w:cs="Times New Roman"/>
                <w:b/>
                <w:bCs/>
                <w:sz w:val="21"/>
                <w:szCs w:val="21"/>
                <w:lang w:bidi="ar"/>
              </w:rPr>
              <w:t>.00</w:t>
            </w:r>
          </w:p>
        </w:tc>
        <w:tc>
          <w:tcPr>
            <w:tcW w:w="779" w:type="pct"/>
            <w:vMerge w:val="continue"/>
            <w:tcBorders>
              <w:top w:val="nil"/>
              <w:left w:val="nil"/>
              <w:bottom w:val="single" w:color="000000" w:sz="8" w:space="0"/>
              <w:right w:val="single" w:color="000000" w:sz="8" w:space="0"/>
            </w:tcBorders>
            <w:shd w:val="clear" w:color="auto" w:fill="auto"/>
            <w:vAlign w:val="center"/>
          </w:tcPr>
          <w:p w14:paraId="5EF12679">
            <w:pPr>
              <w:jc w:val="center"/>
              <w:rPr>
                <w:rFonts w:hint="eastAsia" w:ascii="宋体" w:hAnsi="宋体" w:eastAsia="宋体" w:cs="宋体"/>
                <w:szCs w:val="21"/>
              </w:rPr>
            </w:pPr>
          </w:p>
        </w:tc>
      </w:tr>
      <w:tr w14:paraId="433C0E97">
        <w:tblPrEx>
          <w:tblCellMar>
            <w:top w:w="0" w:type="dxa"/>
            <w:left w:w="108" w:type="dxa"/>
            <w:bottom w:w="0" w:type="dxa"/>
            <w:right w:w="108" w:type="dxa"/>
          </w:tblCellMar>
        </w:tblPrEx>
        <w:trPr>
          <w:trHeight w:val="90" w:hRule="atLeast"/>
          <w:jc w:val="center"/>
        </w:trPr>
        <w:tc>
          <w:tcPr>
            <w:tcW w:w="393" w:type="pct"/>
            <w:vMerge w:val="restart"/>
            <w:tcBorders>
              <w:top w:val="nil"/>
              <w:left w:val="single" w:color="000000" w:sz="8" w:space="0"/>
              <w:bottom w:val="single" w:color="000000" w:sz="8" w:space="0"/>
              <w:right w:val="single" w:color="000000" w:sz="8" w:space="0"/>
            </w:tcBorders>
            <w:shd w:val="clear" w:color="auto" w:fill="auto"/>
            <w:vAlign w:val="center"/>
          </w:tcPr>
          <w:p w14:paraId="407604DD">
            <w:pPr>
              <w:jc w:val="center"/>
              <w:textAlignment w:val="center"/>
              <w:rPr>
                <w:rFonts w:hint="eastAsia" w:ascii="宋体" w:hAnsi="宋体" w:eastAsia="宋体" w:cs="宋体"/>
                <w:szCs w:val="21"/>
              </w:rPr>
            </w:pPr>
            <w:r>
              <w:rPr>
                <w:rFonts w:hint="eastAsia" w:ascii="宋体" w:hAnsi="宋体" w:eastAsia="宋体" w:cs="宋体"/>
                <w:szCs w:val="21"/>
                <w:lang w:bidi="ar"/>
              </w:rPr>
              <w:t>三</w:t>
            </w:r>
          </w:p>
        </w:tc>
        <w:tc>
          <w:tcPr>
            <w:tcW w:w="426" w:type="pct"/>
            <w:tcBorders>
              <w:top w:val="nil"/>
              <w:left w:val="nil"/>
              <w:bottom w:val="single" w:color="000000" w:sz="8" w:space="0"/>
              <w:right w:val="single" w:color="000000" w:sz="8" w:space="0"/>
            </w:tcBorders>
            <w:shd w:val="clear" w:color="auto" w:fill="auto"/>
            <w:vAlign w:val="center"/>
          </w:tcPr>
          <w:p w14:paraId="0AA56F6D">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1631" w:type="pct"/>
            <w:tcBorders>
              <w:top w:val="nil"/>
              <w:left w:val="nil"/>
              <w:bottom w:val="single" w:color="000000" w:sz="8" w:space="0"/>
              <w:right w:val="single" w:color="000000" w:sz="8" w:space="0"/>
            </w:tcBorders>
            <w:shd w:val="clear" w:color="auto" w:fill="auto"/>
            <w:vAlign w:val="center"/>
          </w:tcPr>
          <w:p w14:paraId="07B0539C">
            <w:pPr>
              <w:jc w:val="center"/>
              <w:textAlignment w:val="center"/>
              <w:rPr>
                <w:rFonts w:hint="eastAsia" w:ascii="宋体" w:hAnsi="宋体" w:eastAsia="宋体" w:cs="宋体"/>
                <w:szCs w:val="21"/>
              </w:rPr>
            </w:pPr>
            <w:r>
              <w:rPr>
                <w:rFonts w:hint="eastAsia" w:ascii="宋体" w:hAnsi="宋体" w:eastAsia="宋体" w:cs="宋体"/>
                <w:szCs w:val="21"/>
                <w:lang w:bidi="ar"/>
              </w:rPr>
              <w:t>大模型私有化实施服务系统</w:t>
            </w:r>
          </w:p>
        </w:tc>
        <w:tc>
          <w:tcPr>
            <w:tcW w:w="526" w:type="pct"/>
            <w:tcBorders>
              <w:top w:val="nil"/>
              <w:left w:val="nil"/>
              <w:bottom w:val="single" w:color="000000" w:sz="8" w:space="0"/>
              <w:right w:val="single" w:color="000000" w:sz="8" w:space="0"/>
            </w:tcBorders>
            <w:shd w:val="clear" w:color="auto" w:fill="auto"/>
            <w:vAlign w:val="center"/>
          </w:tcPr>
          <w:p w14:paraId="12844531">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775F2125">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299FACAB">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40</w:t>
            </w:r>
            <w:r>
              <w:rPr>
                <w:rFonts w:hint="eastAsia" w:ascii="Times New Roman" w:hAnsi="Times New Roman" w:cs="Times New Roman"/>
                <w:b/>
                <w:bCs/>
                <w:sz w:val="21"/>
                <w:szCs w:val="21"/>
                <w:lang w:bidi="ar"/>
              </w:rPr>
              <w:t>.00</w:t>
            </w:r>
          </w:p>
        </w:tc>
        <w:tc>
          <w:tcPr>
            <w:tcW w:w="779" w:type="pct"/>
            <w:vMerge w:val="restart"/>
            <w:tcBorders>
              <w:top w:val="nil"/>
              <w:left w:val="nil"/>
              <w:bottom w:val="single" w:color="000000" w:sz="8" w:space="0"/>
              <w:right w:val="single" w:color="000000" w:sz="8" w:space="0"/>
            </w:tcBorders>
            <w:shd w:val="clear" w:color="auto" w:fill="auto"/>
            <w:vAlign w:val="center"/>
          </w:tcPr>
          <w:p w14:paraId="17877910">
            <w:pPr>
              <w:jc w:val="center"/>
              <w:textAlignment w:val="center"/>
              <w:rPr>
                <w:rFonts w:hint="eastAsia" w:ascii="宋体" w:hAnsi="宋体" w:eastAsia="宋体" w:cs="宋体"/>
                <w:szCs w:val="21"/>
              </w:rPr>
            </w:pPr>
            <w:r>
              <w:rPr>
                <w:rFonts w:hint="eastAsia" w:ascii="宋体" w:hAnsi="宋体" w:eastAsia="宋体" w:cs="宋体"/>
                <w:szCs w:val="21"/>
                <w:lang w:bidi="ar"/>
              </w:rPr>
              <w:t>150.00</w:t>
            </w:r>
          </w:p>
        </w:tc>
      </w:tr>
      <w:tr w14:paraId="1825BA8A">
        <w:tblPrEx>
          <w:tblCellMar>
            <w:top w:w="0" w:type="dxa"/>
            <w:left w:w="108" w:type="dxa"/>
            <w:bottom w:w="0" w:type="dxa"/>
            <w:right w:w="108" w:type="dxa"/>
          </w:tblCellMar>
        </w:tblPrEx>
        <w:trPr>
          <w:trHeight w:val="20" w:hRule="atLeast"/>
          <w:jc w:val="center"/>
        </w:trPr>
        <w:tc>
          <w:tcPr>
            <w:tcW w:w="393" w:type="pct"/>
            <w:vMerge w:val="continue"/>
            <w:tcBorders>
              <w:top w:val="nil"/>
              <w:left w:val="single" w:color="000000" w:sz="8" w:space="0"/>
              <w:bottom w:val="single" w:color="000000" w:sz="8" w:space="0"/>
              <w:right w:val="single" w:color="000000" w:sz="8" w:space="0"/>
            </w:tcBorders>
            <w:shd w:val="clear" w:color="auto" w:fill="auto"/>
            <w:vAlign w:val="center"/>
          </w:tcPr>
          <w:p w14:paraId="72087E09">
            <w:pPr>
              <w:jc w:val="center"/>
              <w:rPr>
                <w:rFonts w:hint="eastAsia" w:ascii="宋体" w:hAnsi="宋体" w:eastAsia="宋体" w:cs="宋体"/>
                <w:szCs w:val="21"/>
              </w:rPr>
            </w:pPr>
          </w:p>
        </w:tc>
        <w:tc>
          <w:tcPr>
            <w:tcW w:w="426" w:type="pct"/>
            <w:tcBorders>
              <w:top w:val="nil"/>
              <w:left w:val="nil"/>
              <w:bottom w:val="single" w:color="000000" w:sz="8" w:space="0"/>
              <w:right w:val="single" w:color="000000" w:sz="8" w:space="0"/>
            </w:tcBorders>
            <w:shd w:val="clear" w:color="auto" w:fill="auto"/>
            <w:vAlign w:val="center"/>
          </w:tcPr>
          <w:p w14:paraId="4AD80E8A">
            <w:pPr>
              <w:jc w:val="center"/>
              <w:textAlignment w:val="center"/>
              <w:rPr>
                <w:rFonts w:hint="eastAsia" w:ascii="宋体" w:hAnsi="宋体" w:eastAsia="宋体" w:cs="宋体"/>
                <w:szCs w:val="21"/>
              </w:rPr>
            </w:pPr>
            <w:r>
              <w:rPr>
                <w:rFonts w:hint="eastAsia" w:ascii="宋体" w:hAnsi="宋体" w:eastAsia="宋体" w:cs="宋体"/>
                <w:szCs w:val="21"/>
                <w:lang w:bidi="ar"/>
              </w:rPr>
              <w:t>2</w:t>
            </w:r>
          </w:p>
        </w:tc>
        <w:tc>
          <w:tcPr>
            <w:tcW w:w="1631" w:type="pct"/>
            <w:tcBorders>
              <w:top w:val="nil"/>
              <w:left w:val="nil"/>
              <w:bottom w:val="single" w:color="000000" w:sz="8" w:space="0"/>
              <w:right w:val="single" w:color="000000" w:sz="8" w:space="0"/>
            </w:tcBorders>
            <w:shd w:val="clear" w:color="auto" w:fill="auto"/>
            <w:vAlign w:val="center"/>
          </w:tcPr>
          <w:p w14:paraId="5DB293EE">
            <w:pPr>
              <w:jc w:val="center"/>
              <w:textAlignment w:val="center"/>
              <w:rPr>
                <w:rFonts w:hint="eastAsia" w:ascii="宋体" w:hAnsi="宋体" w:eastAsia="宋体" w:cs="宋体"/>
                <w:szCs w:val="21"/>
              </w:rPr>
            </w:pPr>
            <w:r>
              <w:rPr>
                <w:rFonts w:hint="eastAsia" w:ascii="宋体" w:hAnsi="宋体" w:eastAsia="宋体" w:cs="宋体"/>
                <w:b/>
                <w:bCs/>
                <w:szCs w:val="21"/>
                <w:lang w:bidi="ar"/>
              </w:rPr>
              <w:t>“共同富裕智慧大脑”私有数据模型训练服务平台（核心产品）</w:t>
            </w:r>
          </w:p>
        </w:tc>
        <w:tc>
          <w:tcPr>
            <w:tcW w:w="526" w:type="pct"/>
            <w:tcBorders>
              <w:top w:val="nil"/>
              <w:left w:val="nil"/>
              <w:bottom w:val="single" w:color="000000" w:sz="8" w:space="0"/>
              <w:right w:val="single" w:color="000000" w:sz="8" w:space="0"/>
            </w:tcBorders>
            <w:shd w:val="clear" w:color="auto" w:fill="auto"/>
            <w:vAlign w:val="center"/>
          </w:tcPr>
          <w:p w14:paraId="26E1FC76">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000000" w:sz="8" w:space="0"/>
              <w:right w:val="single" w:color="000000" w:sz="8" w:space="0"/>
            </w:tcBorders>
            <w:shd w:val="clear" w:color="auto" w:fill="auto"/>
            <w:vAlign w:val="center"/>
          </w:tcPr>
          <w:p w14:paraId="469EFD07">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000000" w:sz="8" w:space="0"/>
              <w:right w:val="single" w:color="000000" w:sz="8" w:space="0"/>
            </w:tcBorders>
            <w:shd w:val="clear" w:color="auto" w:fill="auto"/>
            <w:vAlign w:val="center"/>
          </w:tcPr>
          <w:p w14:paraId="391622B2">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110</w:t>
            </w:r>
            <w:r>
              <w:rPr>
                <w:rFonts w:hint="eastAsia" w:ascii="Times New Roman" w:hAnsi="Times New Roman" w:cs="Times New Roman"/>
                <w:b/>
                <w:bCs/>
                <w:sz w:val="21"/>
                <w:szCs w:val="21"/>
                <w:lang w:bidi="ar"/>
              </w:rPr>
              <w:t>.00</w:t>
            </w:r>
          </w:p>
        </w:tc>
        <w:tc>
          <w:tcPr>
            <w:tcW w:w="779" w:type="pct"/>
            <w:vMerge w:val="continue"/>
            <w:tcBorders>
              <w:top w:val="nil"/>
              <w:left w:val="nil"/>
              <w:bottom w:val="single" w:color="000000" w:sz="8" w:space="0"/>
              <w:right w:val="single" w:color="000000" w:sz="8" w:space="0"/>
            </w:tcBorders>
            <w:shd w:val="clear" w:color="auto" w:fill="auto"/>
            <w:vAlign w:val="center"/>
          </w:tcPr>
          <w:p w14:paraId="63249FF4">
            <w:pPr>
              <w:jc w:val="center"/>
              <w:rPr>
                <w:rFonts w:hint="eastAsia" w:ascii="宋体" w:hAnsi="宋体" w:eastAsia="宋体" w:cs="宋体"/>
                <w:szCs w:val="21"/>
              </w:rPr>
            </w:pPr>
          </w:p>
        </w:tc>
      </w:tr>
      <w:tr w14:paraId="19EE5A32">
        <w:tblPrEx>
          <w:tblCellMar>
            <w:top w:w="0" w:type="dxa"/>
            <w:left w:w="108" w:type="dxa"/>
            <w:bottom w:w="0" w:type="dxa"/>
            <w:right w:w="108" w:type="dxa"/>
          </w:tblCellMar>
        </w:tblPrEx>
        <w:trPr>
          <w:trHeight w:val="20" w:hRule="atLeast"/>
          <w:jc w:val="center"/>
        </w:trPr>
        <w:tc>
          <w:tcPr>
            <w:tcW w:w="393" w:type="pct"/>
            <w:tcBorders>
              <w:top w:val="nil"/>
              <w:left w:val="single" w:color="000000" w:sz="8" w:space="0"/>
              <w:bottom w:val="single" w:color="auto" w:sz="8" w:space="0"/>
              <w:right w:val="single" w:color="000000" w:sz="8" w:space="0"/>
            </w:tcBorders>
            <w:shd w:val="clear" w:color="auto" w:fill="auto"/>
            <w:vAlign w:val="center"/>
          </w:tcPr>
          <w:p w14:paraId="7A720B0F">
            <w:pPr>
              <w:jc w:val="center"/>
              <w:textAlignment w:val="center"/>
              <w:rPr>
                <w:rFonts w:hint="eastAsia" w:ascii="宋体" w:hAnsi="宋体" w:eastAsia="宋体" w:cs="宋体"/>
                <w:szCs w:val="21"/>
              </w:rPr>
            </w:pPr>
            <w:r>
              <w:rPr>
                <w:rFonts w:hint="eastAsia" w:ascii="宋体" w:hAnsi="宋体" w:eastAsia="宋体" w:cs="宋体"/>
                <w:szCs w:val="21"/>
                <w:lang w:bidi="ar"/>
              </w:rPr>
              <w:t>四</w:t>
            </w:r>
          </w:p>
        </w:tc>
        <w:tc>
          <w:tcPr>
            <w:tcW w:w="426" w:type="pct"/>
            <w:tcBorders>
              <w:top w:val="nil"/>
              <w:left w:val="nil"/>
              <w:bottom w:val="single" w:color="auto" w:sz="8" w:space="0"/>
              <w:right w:val="single" w:color="000000" w:sz="8" w:space="0"/>
            </w:tcBorders>
            <w:shd w:val="clear" w:color="auto" w:fill="auto"/>
            <w:vAlign w:val="center"/>
          </w:tcPr>
          <w:p w14:paraId="041F30DE">
            <w:pPr>
              <w:jc w:val="center"/>
              <w:textAlignment w:val="center"/>
              <w:rPr>
                <w:rFonts w:hint="eastAsia" w:ascii="宋体" w:hAnsi="宋体" w:eastAsia="宋体" w:cs="宋体"/>
                <w:szCs w:val="21"/>
                <w:lang w:eastAsia="zh-CN"/>
              </w:rPr>
            </w:pPr>
            <w:r>
              <w:rPr>
                <w:rFonts w:hint="eastAsia" w:ascii="宋体" w:hAnsi="宋体" w:eastAsia="宋体" w:cs="宋体"/>
                <w:szCs w:val="21"/>
                <w:lang w:val="en-US" w:eastAsia="zh-CN" w:bidi="ar"/>
              </w:rPr>
              <w:t>1</w:t>
            </w:r>
          </w:p>
        </w:tc>
        <w:tc>
          <w:tcPr>
            <w:tcW w:w="1631" w:type="pct"/>
            <w:tcBorders>
              <w:top w:val="nil"/>
              <w:left w:val="nil"/>
              <w:bottom w:val="single" w:color="auto" w:sz="8" w:space="0"/>
              <w:right w:val="single" w:color="000000" w:sz="8" w:space="0"/>
            </w:tcBorders>
            <w:shd w:val="clear" w:color="auto" w:fill="auto"/>
            <w:vAlign w:val="center"/>
          </w:tcPr>
          <w:p w14:paraId="3BA27636">
            <w:pPr>
              <w:jc w:val="center"/>
              <w:textAlignment w:val="center"/>
              <w:rPr>
                <w:rFonts w:hint="eastAsia" w:ascii="宋体" w:hAnsi="宋体" w:eastAsia="宋体" w:cs="宋体"/>
                <w:szCs w:val="21"/>
              </w:rPr>
            </w:pPr>
            <w:r>
              <w:rPr>
                <w:rFonts w:hint="eastAsia" w:ascii="宋体" w:hAnsi="宋体" w:eastAsia="宋体" w:cs="宋体"/>
                <w:szCs w:val="21"/>
                <w:lang w:bidi="ar"/>
              </w:rPr>
              <w:t>智能人机交互界面开发服务平台</w:t>
            </w:r>
          </w:p>
        </w:tc>
        <w:tc>
          <w:tcPr>
            <w:tcW w:w="526" w:type="pct"/>
            <w:tcBorders>
              <w:top w:val="nil"/>
              <w:left w:val="nil"/>
              <w:bottom w:val="single" w:color="auto" w:sz="8" w:space="0"/>
              <w:right w:val="single" w:color="000000" w:sz="8" w:space="0"/>
            </w:tcBorders>
            <w:shd w:val="clear" w:color="auto" w:fill="auto"/>
            <w:vAlign w:val="center"/>
          </w:tcPr>
          <w:p w14:paraId="629DCCFB">
            <w:pPr>
              <w:jc w:val="center"/>
              <w:textAlignment w:val="center"/>
              <w:rPr>
                <w:rFonts w:hint="eastAsia" w:ascii="宋体" w:hAnsi="宋体" w:eastAsia="宋体" w:cs="宋体"/>
                <w:szCs w:val="21"/>
              </w:rPr>
            </w:pPr>
            <w:r>
              <w:rPr>
                <w:rFonts w:hint="eastAsia" w:ascii="宋体" w:hAnsi="宋体" w:eastAsia="宋体" w:cs="宋体"/>
                <w:szCs w:val="21"/>
                <w:lang w:bidi="ar"/>
              </w:rPr>
              <w:t>套</w:t>
            </w:r>
          </w:p>
        </w:tc>
        <w:tc>
          <w:tcPr>
            <w:tcW w:w="463" w:type="pct"/>
            <w:tcBorders>
              <w:top w:val="nil"/>
              <w:left w:val="nil"/>
              <w:bottom w:val="single" w:color="auto" w:sz="8" w:space="0"/>
              <w:right w:val="single" w:color="000000" w:sz="8" w:space="0"/>
            </w:tcBorders>
            <w:shd w:val="clear" w:color="auto" w:fill="auto"/>
            <w:vAlign w:val="center"/>
          </w:tcPr>
          <w:p w14:paraId="5ACDB171">
            <w:pPr>
              <w:jc w:val="center"/>
              <w:textAlignment w:val="center"/>
              <w:rPr>
                <w:rFonts w:hint="eastAsia" w:ascii="宋体" w:hAnsi="宋体" w:eastAsia="宋体" w:cs="宋体"/>
                <w:szCs w:val="21"/>
              </w:rPr>
            </w:pPr>
            <w:r>
              <w:rPr>
                <w:rFonts w:hint="eastAsia" w:ascii="宋体" w:hAnsi="宋体" w:eastAsia="宋体" w:cs="宋体"/>
                <w:szCs w:val="21"/>
                <w:lang w:bidi="ar"/>
              </w:rPr>
              <w:t>1</w:t>
            </w:r>
          </w:p>
        </w:tc>
        <w:tc>
          <w:tcPr>
            <w:tcW w:w="779" w:type="pct"/>
            <w:tcBorders>
              <w:top w:val="nil"/>
              <w:left w:val="nil"/>
              <w:bottom w:val="single" w:color="auto" w:sz="8" w:space="0"/>
              <w:right w:val="single" w:color="000000" w:sz="8" w:space="0"/>
            </w:tcBorders>
            <w:shd w:val="clear" w:color="auto" w:fill="auto"/>
            <w:vAlign w:val="center"/>
          </w:tcPr>
          <w:p w14:paraId="4553CC21">
            <w:pPr>
              <w:jc w:val="center"/>
              <w:textAlignment w:val="center"/>
              <w:rPr>
                <w:rFonts w:hint="eastAsia" w:ascii="Times New Roman" w:hAnsi="Times New Roman" w:cs="Times New Roman" w:eastAsiaTheme="minorEastAsia"/>
                <w:b/>
                <w:bCs/>
                <w:kern w:val="2"/>
                <w:sz w:val="21"/>
                <w:szCs w:val="21"/>
                <w:lang w:val="en-US" w:eastAsia="zh-CN" w:bidi="ar-SA"/>
              </w:rPr>
            </w:pPr>
            <w:r>
              <w:rPr>
                <w:rFonts w:ascii="Times New Roman" w:hAnsi="Times New Roman" w:cs="Times New Roman"/>
                <w:b/>
                <w:bCs/>
                <w:sz w:val="21"/>
                <w:szCs w:val="21"/>
                <w:lang w:bidi="ar"/>
              </w:rPr>
              <w:t>50</w:t>
            </w:r>
            <w:r>
              <w:rPr>
                <w:rFonts w:hint="eastAsia" w:ascii="Times New Roman" w:hAnsi="Times New Roman" w:cs="Times New Roman"/>
                <w:b/>
                <w:bCs/>
                <w:sz w:val="21"/>
                <w:szCs w:val="21"/>
                <w:lang w:bidi="ar"/>
              </w:rPr>
              <w:t>.00</w:t>
            </w:r>
          </w:p>
        </w:tc>
        <w:tc>
          <w:tcPr>
            <w:tcW w:w="779" w:type="pct"/>
            <w:tcBorders>
              <w:top w:val="nil"/>
              <w:left w:val="nil"/>
              <w:bottom w:val="single" w:color="auto" w:sz="8" w:space="0"/>
              <w:right w:val="single" w:color="000000" w:sz="8" w:space="0"/>
            </w:tcBorders>
            <w:shd w:val="clear" w:color="auto" w:fill="auto"/>
            <w:vAlign w:val="center"/>
          </w:tcPr>
          <w:p w14:paraId="201D2A59">
            <w:pPr>
              <w:jc w:val="center"/>
              <w:textAlignment w:val="center"/>
              <w:rPr>
                <w:rFonts w:hint="eastAsia" w:ascii="宋体" w:hAnsi="宋体" w:eastAsia="宋体" w:cs="宋体"/>
                <w:szCs w:val="21"/>
              </w:rPr>
            </w:pPr>
            <w:r>
              <w:rPr>
                <w:rFonts w:hint="eastAsia" w:ascii="宋体" w:hAnsi="宋体" w:eastAsia="宋体" w:cs="宋体"/>
                <w:szCs w:val="21"/>
                <w:lang w:bidi="ar"/>
              </w:rPr>
              <w:t>50.00</w:t>
            </w:r>
          </w:p>
        </w:tc>
      </w:tr>
    </w:tbl>
    <w:p w14:paraId="21B0B458">
      <w:pPr>
        <w:adjustRightInd w:val="0"/>
        <w:snapToGrid w:val="0"/>
        <w:spacing w:line="288" w:lineRule="auto"/>
        <w:rPr>
          <w:rFonts w:hint="eastAsia" w:ascii="宋体" w:hAnsi="宋体" w:eastAsia="宋体" w:cs="宋体"/>
          <w:b/>
          <w:bCs/>
          <w:szCs w:val="21"/>
        </w:rPr>
      </w:pPr>
    </w:p>
    <w:p w14:paraId="6F265068">
      <w:pPr>
        <w:adjustRightInd w:val="0"/>
        <w:snapToGrid w:val="0"/>
        <w:spacing w:line="288" w:lineRule="auto"/>
        <w:rPr>
          <w:rFonts w:hint="eastAsia" w:ascii="宋体" w:hAnsi="宋体" w:eastAsia="宋体" w:cs="Times New Roman"/>
          <w:b/>
          <w:bCs/>
          <w:spacing w:val="-4"/>
          <w:szCs w:val="21"/>
        </w:rPr>
      </w:pPr>
      <w:r>
        <w:rPr>
          <w:rFonts w:hint="eastAsia" w:ascii="宋体" w:hAnsi="宋体" w:eastAsia="宋体" w:cs="Times New Roman"/>
          <w:b/>
          <w:bCs/>
          <w:spacing w:val="-4"/>
          <w:szCs w:val="21"/>
        </w:rPr>
        <w:t>4</w:t>
      </w:r>
      <w:r>
        <w:rPr>
          <w:rFonts w:ascii="宋体" w:hAnsi="宋体" w:eastAsia="宋体" w:cs="Times New Roman"/>
          <w:b/>
          <w:bCs/>
          <w:spacing w:val="-4"/>
          <w:szCs w:val="21"/>
        </w:rPr>
        <w:t>.</w:t>
      </w:r>
      <w:r>
        <w:rPr>
          <w:rFonts w:hint="eastAsia" w:ascii="宋体" w:hAnsi="宋体" w:eastAsia="宋体" w:cs="Times New Roman"/>
          <w:b/>
          <w:bCs/>
          <w:spacing w:val="-4"/>
          <w:szCs w:val="21"/>
        </w:rPr>
        <w:t>需满足的质量、安全、技术规格、物理特性等要求：</w:t>
      </w:r>
    </w:p>
    <w:p w14:paraId="2BE79593">
      <w:pPr>
        <w:adjustRightInd w:val="0"/>
        <w:snapToGrid w:val="0"/>
        <w:spacing w:line="288" w:lineRule="auto"/>
        <w:outlineLvl w:val="2"/>
        <w:rPr>
          <w:rFonts w:hint="eastAsia" w:ascii="宋体" w:hAnsi="宋体" w:eastAsia="宋体" w:cs="Times New Roman"/>
          <w:b/>
          <w:bCs/>
          <w:spacing w:val="-4"/>
          <w:szCs w:val="21"/>
        </w:rPr>
      </w:pPr>
      <w:r>
        <w:rPr>
          <w:rFonts w:hint="eastAsia" w:ascii="宋体" w:hAnsi="宋体" w:eastAsia="宋体" w:cs="Times New Roman"/>
          <w:b/>
          <w:bCs/>
          <w:spacing w:val="-4"/>
          <w:szCs w:val="21"/>
        </w:rPr>
        <w:t>标项一：</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945"/>
        <w:gridCol w:w="7568"/>
        <w:gridCol w:w="585"/>
      </w:tblGrid>
      <w:tr w14:paraId="5B0F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6E62028A">
            <w:pPr>
              <w:spacing w:line="288" w:lineRule="auto"/>
              <w:jc w:val="left"/>
              <w:rPr>
                <w:rFonts w:hint="eastAsia" w:ascii="宋体" w:hAnsi="宋体" w:eastAsia="宋体" w:cs="宋体"/>
                <w:szCs w:val="21"/>
              </w:rPr>
            </w:pPr>
            <w:bookmarkStart w:id="41" w:name="_Hlk179442287"/>
            <w:bookmarkStart w:id="42" w:name="_Hlk179442382"/>
            <w:r>
              <w:rPr>
                <w:rFonts w:hint="eastAsia" w:ascii="宋体" w:hAnsi="宋体" w:eastAsia="宋体" w:cs="宋体"/>
                <w:b/>
                <w:szCs w:val="21"/>
              </w:rPr>
              <w:t>序号</w:t>
            </w:r>
          </w:p>
        </w:tc>
        <w:tc>
          <w:tcPr>
            <w:tcW w:w="491" w:type="pct"/>
            <w:vAlign w:val="center"/>
          </w:tcPr>
          <w:p w14:paraId="410855AE">
            <w:pPr>
              <w:spacing w:line="288" w:lineRule="auto"/>
              <w:jc w:val="left"/>
              <w:rPr>
                <w:rFonts w:hint="eastAsia" w:ascii="宋体" w:hAnsi="宋体" w:eastAsia="宋体" w:cs="宋体"/>
                <w:szCs w:val="21"/>
              </w:rPr>
            </w:pPr>
            <w:r>
              <w:rPr>
                <w:rFonts w:hint="eastAsia" w:ascii="宋体" w:hAnsi="宋体" w:eastAsia="宋体" w:cs="宋体"/>
                <w:b/>
                <w:szCs w:val="21"/>
              </w:rPr>
              <w:t>货物名称</w:t>
            </w:r>
          </w:p>
        </w:tc>
        <w:tc>
          <w:tcPr>
            <w:tcW w:w="3930" w:type="pct"/>
            <w:vAlign w:val="center"/>
          </w:tcPr>
          <w:p w14:paraId="77CBBD43">
            <w:pPr>
              <w:spacing w:line="288" w:lineRule="auto"/>
              <w:ind w:firstLine="422"/>
              <w:jc w:val="center"/>
              <w:rPr>
                <w:rFonts w:hint="eastAsia" w:ascii="宋体" w:hAnsi="宋体" w:eastAsia="宋体" w:cs="宋体"/>
                <w:szCs w:val="21"/>
              </w:rPr>
            </w:pPr>
            <w:r>
              <w:rPr>
                <w:rFonts w:hint="eastAsia" w:ascii="宋体" w:hAnsi="宋体" w:eastAsia="宋体" w:cs="宋体"/>
                <w:b/>
                <w:szCs w:val="21"/>
              </w:rPr>
              <w:t>货物的技术参数及具体配置等</w:t>
            </w:r>
          </w:p>
        </w:tc>
        <w:tc>
          <w:tcPr>
            <w:tcW w:w="304" w:type="pct"/>
            <w:vAlign w:val="center"/>
          </w:tcPr>
          <w:p w14:paraId="5E28B75D">
            <w:pPr>
              <w:spacing w:line="288" w:lineRule="auto"/>
              <w:jc w:val="left"/>
              <w:rPr>
                <w:rFonts w:hint="eastAsia" w:ascii="宋体" w:hAnsi="宋体" w:eastAsia="宋体" w:cs="宋体"/>
                <w:szCs w:val="21"/>
              </w:rPr>
            </w:pPr>
            <w:r>
              <w:rPr>
                <w:rFonts w:hint="eastAsia" w:ascii="宋体" w:hAnsi="宋体" w:eastAsia="宋体" w:cs="宋体"/>
                <w:b/>
                <w:szCs w:val="21"/>
              </w:rPr>
              <w:t>数量</w:t>
            </w:r>
          </w:p>
        </w:tc>
      </w:tr>
      <w:tr w14:paraId="57C1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7418FC2C">
            <w:pPr>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491" w:type="pct"/>
            <w:shd w:val="clear" w:color="auto" w:fill="auto"/>
            <w:vAlign w:val="center"/>
          </w:tcPr>
          <w:p w14:paraId="7D8F236F">
            <w:pPr>
              <w:spacing w:line="288" w:lineRule="auto"/>
              <w:jc w:val="center"/>
              <w:rPr>
                <w:rFonts w:hint="eastAsia" w:ascii="宋体" w:hAnsi="宋体" w:eastAsia="宋体" w:cs="宋体"/>
                <w:szCs w:val="21"/>
              </w:rPr>
            </w:pPr>
            <w:r>
              <w:rPr>
                <w:rFonts w:hint="eastAsia" w:ascii="宋体" w:hAnsi="宋体" w:eastAsia="宋体" w:cs="宋体"/>
                <w:szCs w:val="21"/>
                <w:lang w:bidi="ar"/>
              </w:rPr>
              <w:t>超模态行为洞察平台</w:t>
            </w:r>
          </w:p>
        </w:tc>
        <w:tc>
          <w:tcPr>
            <w:tcW w:w="3930" w:type="pct"/>
            <w:vAlign w:val="center"/>
          </w:tcPr>
          <w:p w14:paraId="774F5879">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功能要求：可以为深度解析和理解复杂人类行为提供一种尖端的综合性技术解决方案，具有但不限于全面行为解析、时空行为统计、多维度行为关联、高效科研管理等功能。</w:t>
            </w:r>
          </w:p>
          <w:p w14:paraId="3A02239A">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通过硬件的配置：能够提供足够的计算能力和图形处理性能，保障超模态行为洞察平台开展复杂的数据处理和分析，有更强的扩展性和更高的性能，保障数据的安全性、可靠性以及高效访问；能够实时观察和记录和收集实验对象的行为模式；能够确保平台数据在各个设备间高效流通。</w:t>
            </w:r>
          </w:p>
          <w:p w14:paraId="7F1C9858">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该平台需要集成高端的数据采集、处理与分析功能，通过融合多元化的数据模态，如视频、音频、生理信号监测、眼动追踪、面部表情分析、脑电波（EEG）以及其它行为传感数据，可为研究者提供一个全方位、多层次的行为研究环境。</w:t>
            </w:r>
          </w:p>
          <w:p w14:paraId="070D5A2A">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具体包括但不限于以下四个模块：</w:t>
            </w:r>
          </w:p>
          <w:p w14:paraId="2648A9D8">
            <w:p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（1）行为编码模块</w:t>
            </w:r>
          </w:p>
          <w:p w14:paraId="4CA879DE">
            <w:pPr>
              <w:widowControl/>
              <w:adjustRightInd w:val="0"/>
              <w:spacing w:line="288" w:lineRule="auto"/>
              <w:ind w:firstLine="420" w:firstLineChars="200"/>
              <w:rPr>
                <w:rFonts w:hint="eastAsia" w:ascii="宋体" w:hAnsi="宋体" w:eastAsia="宋体" w:cs="宋体"/>
                <w:szCs w:val="21"/>
              </w:rPr>
            </w:pPr>
            <w:r>
              <w:rPr>
                <w:rFonts w:hint="eastAsia" w:ascii="宋体" w:hAnsi="宋体" w:eastAsia="宋体" w:cs="宋体"/>
                <w:bCs/>
                <w:szCs w:val="21"/>
              </w:rPr>
              <w:t>第一，采用服务器架构，同时对不少于两位被试进行数据采集，并通过实时同步功能将数据集中存储在服务器上，可对于多端输入设备信号、视频采集装置实现实时监控</w:t>
            </w:r>
            <w:r>
              <w:rPr>
                <w:rFonts w:hint="eastAsia" w:ascii="宋体" w:hAnsi="宋体" w:eastAsia="宋体" w:cs="宋体"/>
                <w:szCs w:val="21"/>
              </w:rPr>
              <w:t>。</w:t>
            </w:r>
          </w:p>
          <w:p w14:paraId="76580E8A">
            <w:pPr>
              <w:widowControl/>
              <w:adjustRightInd w:val="0"/>
              <w:spacing w:line="288" w:lineRule="auto"/>
              <w:ind w:firstLine="420" w:firstLineChars="200"/>
              <w:rPr>
                <w:rFonts w:hint="eastAsia" w:ascii="宋体" w:hAnsi="宋体" w:eastAsia="宋体" w:cs="宋体"/>
                <w:szCs w:val="21"/>
                <w:lang w:eastAsia="zh"/>
              </w:rPr>
            </w:pPr>
            <w:r>
              <w:rPr>
                <w:rFonts w:hint="eastAsia" w:ascii="宋体" w:hAnsi="宋体" w:eastAsia="宋体" w:cs="宋体"/>
                <w:szCs w:val="21"/>
              </w:rPr>
              <w:t>第二，支持局域网内查看访问数据，可将所有数据进行同步回放</w:t>
            </w:r>
            <w:r>
              <w:rPr>
                <w:rFonts w:hint="eastAsia" w:ascii="宋体" w:hAnsi="宋体" w:eastAsia="宋体" w:cs="宋体"/>
                <w:szCs w:val="21"/>
                <w:lang w:eastAsia="zh"/>
              </w:rPr>
              <w:t>。</w:t>
            </w:r>
          </w:p>
          <w:p w14:paraId="2B32BC9E">
            <w:pPr>
              <w:widowControl/>
              <w:adjustRightInd w:val="0"/>
              <w:spacing w:line="288" w:lineRule="auto"/>
              <w:ind w:firstLine="422" w:firstLineChars="200"/>
              <w:rPr>
                <w:rFonts w:hint="eastAsia" w:ascii="宋体" w:hAnsi="宋体" w:eastAsia="宋体" w:cs="宋体"/>
                <w:szCs w:val="21"/>
              </w:rPr>
            </w:pPr>
            <w:r>
              <w:rPr>
                <w:rFonts w:hint="eastAsia" w:ascii="宋体" w:hAnsi="宋体" w:eastAsia="宋体" w:cs="宋体"/>
                <w:b/>
                <w:bCs/>
                <w:szCs w:val="21"/>
              </w:rPr>
              <w:t>第三，系统应配备可视化界面</w:t>
            </w:r>
            <w:r>
              <w:rPr>
                <w:rFonts w:hint="eastAsia" w:ascii="宋体" w:hAnsi="宋体" w:eastAsia="宋体" w:cs="宋体"/>
                <w:b/>
                <w:bCs/>
                <w:szCs w:val="21"/>
                <w:lang w:eastAsia="zh"/>
              </w:rPr>
              <w:t>，</w:t>
            </w:r>
            <w:r>
              <w:rPr>
                <w:rFonts w:hint="eastAsia" w:ascii="宋体" w:hAnsi="宋体" w:eastAsia="宋体" w:cs="宋体"/>
                <w:b/>
                <w:bCs/>
                <w:szCs w:val="21"/>
              </w:rPr>
              <w:t>通过</w:t>
            </w:r>
            <w:r>
              <w:rPr>
                <w:rFonts w:hint="eastAsia" w:ascii="宋体" w:hAnsi="宋体" w:eastAsia="宋体" w:cs="宋体"/>
                <w:b/>
                <w:bCs/>
                <w:szCs w:val="21"/>
                <w:lang w:eastAsia="zh"/>
              </w:rPr>
              <w:t>如</w:t>
            </w:r>
            <w:r>
              <w:rPr>
                <w:rFonts w:hint="eastAsia" w:ascii="宋体" w:hAnsi="宋体" w:eastAsia="宋体" w:cs="宋体"/>
                <w:b/>
                <w:bCs/>
                <w:szCs w:val="21"/>
              </w:rPr>
              <w:t>事件日志、图形时间轴联动展示等展现形式（需要演示</w:t>
            </w:r>
            <w:r>
              <w:rPr>
                <w:rFonts w:hint="eastAsia" w:ascii="宋体" w:hAnsi="宋体" w:eastAsia="宋体" w:cs="宋体"/>
                <w:b/>
                <w:bCs/>
                <w:szCs w:val="21"/>
                <w:lang w:eastAsia="zh"/>
              </w:rPr>
              <w:t>1</w:t>
            </w:r>
            <w:r>
              <w:rPr>
                <w:rFonts w:hint="eastAsia" w:ascii="宋体" w:hAnsi="宋体" w:eastAsia="宋体" w:cs="宋体"/>
                <w:b/>
                <w:bCs/>
                <w:szCs w:val="21"/>
              </w:rPr>
              <w:t>）</w:t>
            </w:r>
            <w:r>
              <w:rPr>
                <w:rFonts w:hint="eastAsia" w:ascii="宋体" w:hAnsi="宋体" w:eastAsia="宋体" w:cs="宋体"/>
                <w:szCs w:val="21"/>
              </w:rPr>
              <w:t>，辅助用户对已标记事件进行查阅和分析。</w:t>
            </w:r>
          </w:p>
          <w:p w14:paraId="547AD63C">
            <w:pPr>
              <w:widowControl/>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第四，系统应支持用户将采集的数据进行分类，并根据研究需求自定义新的行为模态类别。</w:t>
            </w:r>
          </w:p>
          <w:p w14:paraId="077997AA">
            <w:pPr>
              <w:widowControl/>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第五，系统应具备导入/导出编码结果的能力（例如支持导出CSV或ODX等其他格式数据），可将数据发送到其他行为编码软件或第三方分析软件分析，便于后续的数据管理和分析。（需要演示</w:t>
            </w:r>
            <w:r>
              <w:rPr>
                <w:rFonts w:hint="eastAsia" w:ascii="宋体" w:hAnsi="宋体" w:eastAsia="宋体" w:cs="宋体"/>
                <w:b/>
                <w:bCs/>
                <w:szCs w:val="21"/>
                <w:lang w:eastAsia="zh"/>
              </w:rPr>
              <w:t>2</w:t>
            </w:r>
            <w:r>
              <w:rPr>
                <w:rFonts w:hint="eastAsia" w:ascii="宋体" w:hAnsi="宋体" w:eastAsia="宋体" w:cs="宋体"/>
                <w:b/>
                <w:bCs/>
                <w:szCs w:val="21"/>
              </w:rPr>
              <w:t>）</w:t>
            </w:r>
          </w:p>
          <w:p w14:paraId="5EBBFC65">
            <w:p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（2）生理电导反应模块</w:t>
            </w:r>
          </w:p>
          <w:p w14:paraId="6CCE8BE6">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第一，系统需要集成高精度的生理传感器，用于测量皮肤电导反应（EDA/GSR）、</w:t>
            </w:r>
            <w:r>
              <w:rPr>
                <w:rFonts w:hint="eastAsia" w:ascii="宋体" w:hAnsi="宋体" w:eastAsia="宋体" w:cs="宋体"/>
                <w:bCs/>
                <w:szCs w:val="21"/>
              </w:rPr>
              <w:t>肌电、皮肤电阻心电等生理数据。支持采样范围为10k-4.7MΩ(.2uS–100uS)+/-10%.22k-680kΩ(1.5-45uS)+/-3%，频率范围为DC-15.9Hz，</w:t>
            </w:r>
            <w:r>
              <w:rPr>
                <w:rFonts w:hint="eastAsia" w:ascii="宋体" w:hAnsi="宋体" w:eastAsia="宋体" w:cs="宋体"/>
                <w:szCs w:val="21"/>
              </w:rPr>
              <w:t>以准确反映个体的自主神经系统活动。</w:t>
            </w:r>
          </w:p>
          <w:p w14:paraId="4AD9F542">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第二，系统应实现生理信号的实时采集与存储，确保数据的完整性和可靠性。</w:t>
            </w:r>
          </w:p>
          <w:p w14:paraId="26A2C4D0">
            <w:pPr>
              <w:numPr>
                <w:ilvl w:val="255"/>
                <w:numId w:val="0"/>
              </w:num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第三，系统应提供可视化工具，如趋势图，以直观展示生理反应的变化。（需要演示3）</w:t>
            </w:r>
          </w:p>
          <w:p w14:paraId="4D651F40">
            <w:pPr>
              <w:numPr>
                <w:ilvl w:val="255"/>
                <w:numId w:val="0"/>
              </w:num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第四，系统需要支持与行为编码模块的数据联动，标识出特定行为发生时的生理反应变化。（需要演示4）</w:t>
            </w:r>
          </w:p>
          <w:p w14:paraId="3B6CC33A">
            <w:pPr>
              <w:numPr>
                <w:ilvl w:val="255"/>
                <w:numId w:val="0"/>
              </w:num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（3）视动采集模块</w:t>
            </w:r>
          </w:p>
          <w:p w14:paraId="568A4DE7">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第一，系统应配备基于视频的瞳孔-角膜反射式眼动追踪技术，明瞳和暗瞳追踪结合的眼动追踪设备，单传感器双眼采集，能够准确测量视线位置，瞳孔直径和眼睛在三维空间中的位置。精确度</w:t>
            </w:r>
            <w:r>
              <w:rPr>
                <w:rFonts w:hint="eastAsia" w:ascii="宋体" w:hAnsi="宋体" w:eastAsia="宋体" w:cs="宋体"/>
                <w:szCs w:val="21"/>
                <w:lang w:eastAsia="zh"/>
              </w:rPr>
              <w:t>≥</w:t>
            </w:r>
            <w:r>
              <w:rPr>
                <w:rFonts w:hint="eastAsia" w:ascii="宋体" w:hAnsi="宋体" w:eastAsia="宋体" w:cs="宋体"/>
                <w:bCs/>
                <w:szCs w:val="21"/>
              </w:rPr>
              <w:t>0.2</w:t>
            </w:r>
            <w:r>
              <w:rPr>
                <w:rFonts w:hint="eastAsia" w:ascii="宋体" w:hAnsi="宋体" w:eastAsia="宋体" w:cs="宋体"/>
                <w:bCs/>
                <w:szCs w:val="21"/>
                <w:lang w:eastAsia="zh"/>
              </w:rPr>
              <w:t>5</w:t>
            </w:r>
            <w:r>
              <w:rPr>
                <w:rFonts w:hint="eastAsia" w:ascii="宋体" w:hAnsi="宋体" w:eastAsia="宋体" w:cs="宋体"/>
                <w:bCs/>
                <w:szCs w:val="21"/>
              </w:rPr>
              <w:t>°RMS，采样率≥60Hz，眨眼补偿时间不超过1帧(即时)，准确度≥0.45°，注视恢复时间≥50ms，</w:t>
            </w:r>
            <w:r>
              <w:rPr>
                <w:rFonts w:hint="eastAsia" w:ascii="宋体" w:hAnsi="宋体" w:eastAsia="宋体" w:cs="宋体"/>
                <w:szCs w:val="21"/>
              </w:rPr>
              <w:t>以准确捕捉参与者的视觉行为和动态特征。</w:t>
            </w:r>
          </w:p>
          <w:p w14:paraId="12DB7BD9">
            <w:pPr>
              <w:numPr>
                <w:ilvl w:val="255"/>
                <w:numId w:val="0"/>
              </w:num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第二，系统提供眼动注视点位、瞳孔直径、眼跳。以帮助分析受试者的注意力分布及认知负荷。（需要演示5）</w:t>
            </w:r>
          </w:p>
          <w:p w14:paraId="092B0103">
            <w:pPr>
              <w:numPr>
                <w:ilvl w:val="255"/>
                <w:numId w:val="0"/>
              </w:num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第三，系统应提供可视化工具，如趋势图，以直观展示生理反应的变化。（需要演示6）</w:t>
            </w:r>
          </w:p>
          <w:p w14:paraId="51D28703">
            <w:p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（4）心理情绪分析模块（需要演示7）</w:t>
            </w:r>
          </w:p>
          <w:p w14:paraId="14925D67">
            <w:p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第一，系统应自动进行情绪识别，通过摄像机捕捉被试面部，软件识别建模后分析面部表情（喜、怒、哀、乐、惊、惧、中性）基本表情及困惑、无趣、感兴趣等情绪，采集后所得数据支持实时可视化呈现。</w:t>
            </w:r>
          </w:p>
          <w:p w14:paraId="4E15EDB1">
            <w:p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第二，系统应提供情绪强度的量化指标，以客观评估情绪变化的程度。</w:t>
            </w:r>
          </w:p>
          <w:p w14:paraId="3A4C7EC3">
            <w:p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第三，系统应具备同时获取不少于2人的表情数据，并支持将分析结果与行为数据和眼动、生理数据进行关联分析的功能，以满足模拟提案实验中的多人实时数据采集。</w:t>
            </w:r>
          </w:p>
          <w:p w14:paraId="23A7C20D">
            <w:pPr>
              <w:adjustRightInd w:val="0"/>
              <w:spacing w:line="288" w:lineRule="auto"/>
              <w:ind w:firstLine="422" w:firstLineChars="200"/>
              <w:rPr>
                <w:rFonts w:hint="eastAsia" w:ascii="宋体" w:hAnsi="宋体" w:eastAsia="宋体" w:cs="宋体"/>
                <w:b/>
                <w:szCs w:val="21"/>
              </w:rPr>
            </w:pPr>
            <w:r>
              <w:rPr>
                <w:rFonts w:hint="eastAsia" w:ascii="宋体" w:hAnsi="宋体" w:eastAsia="宋体" w:cs="宋体"/>
                <w:b/>
                <w:szCs w:val="21"/>
              </w:rPr>
              <w:t>需要配备以下相关组件（包括但不限于）：</w:t>
            </w:r>
          </w:p>
          <w:p w14:paraId="75CC43F0">
            <w:pPr>
              <w:adjustRightInd w:val="0"/>
              <w:spacing w:line="288" w:lineRule="auto"/>
              <w:ind w:firstLine="422" w:firstLineChars="200"/>
              <w:rPr>
                <w:rFonts w:hint="eastAsia" w:ascii="宋体" w:hAnsi="宋体" w:eastAsia="宋体" w:cs="宋体"/>
                <w:szCs w:val="21"/>
              </w:rPr>
            </w:pPr>
            <w:r>
              <w:rPr>
                <w:rStyle w:val="109"/>
                <w:rFonts w:hint="eastAsia" w:ascii="宋体" w:hAnsi="宋体" w:eastAsia="宋体" w:cs="宋体"/>
                <w:szCs w:val="21"/>
                <w:lang w:bidi="ar"/>
              </w:rPr>
              <w:t>（1）专用台式工作站（3台）</w:t>
            </w:r>
          </w:p>
          <w:p w14:paraId="38573883">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处理器：配置不低于Intel Alder Lake系列或AMD Ryzen Threadripper系列处理器，至少16核心，以确保高负载下多任务并行处理能力。</w:t>
            </w:r>
          </w:p>
          <w:p w14:paraId="051FC9D8">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内存：至少64GB ECC DDR4 RAM，保证大数据处理和复杂算法运行的流畅性。</w:t>
            </w:r>
          </w:p>
          <w:p w14:paraId="2F8F0530">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存储：NVMe SSD系统盘，容量不低于1TB，外加至少1TB的高速固态硬盘或RAID阵列，用于存储大量实验数据和快取加速。</w:t>
            </w:r>
          </w:p>
          <w:p w14:paraId="1CC6D23D">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显卡：NVIDIA RTX系列专业显卡，如RTX A4000或以上，支持CUDA并行计算，加速图像处理与机器学习算法的运算速度。</w:t>
            </w:r>
          </w:p>
          <w:p w14:paraId="127C32CC">
            <w:pPr>
              <w:adjustRightInd w:val="0"/>
              <w:spacing w:line="288" w:lineRule="auto"/>
              <w:ind w:firstLine="420" w:firstLineChars="200"/>
              <w:rPr>
                <w:rFonts w:hint="eastAsia" w:ascii="宋体" w:hAnsi="宋体" w:eastAsia="宋体" w:cs="宋体"/>
                <w:szCs w:val="21"/>
                <w:lang w:bidi="ar"/>
              </w:rPr>
            </w:pPr>
            <w:r>
              <w:rPr>
                <w:rStyle w:val="109"/>
                <w:rFonts w:hint="eastAsia" w:ascii="宋体" w:hAnsi="宋体" w:eastAsia="宋体" w:cs="宋体"/>
                <w:b w:val="0"/>
                <w:bCs/>
                <w:szCs w:val="21"/>
                <w:lang w:bidi="ar"/>
              </w:rPr>
              <w:t>操作系统与软件兼容性：</w:t>
            </w:r>
            <w:r>
              <w:rPr>
                <w:rFonts w:hint="eastAsia" w:ascii="宋体" w:hAnsi="宋体" w:eastAsia="宋体" w:cs="宋体"/>
                <w:szCs w:val="21"/>
                <w:lang w:bidi="ar"/>
              </w:rPr>
              <w:t>支持正版Windows 10及以上版本、Linux（Ubuntu、CentOS等）或</w:t>
            </w:r>
            <w:r>
              <w:rPr>
                <w:rFonts w:hint="eastAsia" w:ascii="宋体" w:hAnsi="宋体" w:eastAsia="宋体" w:cs="宋体"/>
                <w:szCs w:val="21"/>
              </w:rPr>
              <w:t>国产</w:t>
            </w:r>
            <w:r>
              <w:rPr>
                <w:rFonts w:hint="eastAsia" w:ascii="宋体" w:hAnsi="宋体" w:eastAsia="宋体" w:cs="宋体"/>
                <w:szCs w:val="21"/>
                <w:lang w:bidi="ar"/>
              </w:rPr>
              <w:t>操作系统，确保与常用行为分析软件及深度学习框架的兼容性。</w:t>
            </w:r>
          </w:p>
          <w:p w14:paraId="41B57E45">
            <w:pPr>
              <w:adjustRightInd w:val="0"/>
              <w:spacing w:line="288" w:lineRule="auto"/>
              <w:ind w:firstLine="420" w:firstLineChars="200"/>
              <w:rPr>
                <w:rStyle w:val="109"/>
                <w:rFonts w:hint="eastAsia" w:ascii="宋体" w:hAnsi="宋体" w:eastAsia="宋体" w:cs="宋体"/>
                <w:b w:val="0"/>
                <w:szCs w:val="21"/>
                <w:lang w:bidi="ar"/>
              </w:rPr>
            </w:pPr>
            <w:r>
              <w:rPr>
                <w:rStyle w:val="109"/>
                <w:rFonts w:hint="eastAsia" w:ascii="宋体" w:hAnsi="宋体" w:eastAsia="宋体" w:cs="宋体"/>
                <w:b w:val="0"/>
                <w:szCs w:val="21"/>
                <w:lang w:bidi="ar"/>
              </w:rPr>
              <w:t>显示屏：尺寸≥27寸，分辨率≥1920x1080</w:t>
            </w:r>
            <w:r>
              <w:rPr>
                <w:rStyle w:val="109"/>
                <w:rFonts w:hint="eastAsia" w:ascii="宋体" w:hAnsi="宋体" w:eastAsia="宋体" w:cs="宋体"/>
                <w:b w:val="0"/>
                <w:szCs w:val="21"/>
                <w:lang w:eastAsia="zh" w:bidi="ar"/>
              </w:rPr>
              <w:t>，</w:t>
            </w:r>
            <w:r>
              <w:rPr>
                <w:rStyle w:val="109"/>
                <w:rFonts w:hint="eastAsia" w:ascii="宋体" w:hAnsi="宋体" w:eastAsia="宋体" w:cs="宋体"/>
                <w:b w:val="0"/>
                <w:szCs w:val="21"/>
                <w:lang w:bidi="ar"/>
              </w:rPr>
              <w:t>高清显示屏，IPS面板，刷新率≥60Hz，至少包含HDMI, DisplayPort，以及USB-C接口以适应不同设备连接。</w:t>
            </w:r>
          </w:p>
          <w:p w14:paraId="6ABA05D0">
            <w:p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bidi="ar"/>
              </w:rPr>
              <w:t>（</w:t>
            </w:r>
            <w:r>
              <w:rPr>
                <w:rFonts w:hint="eastAsia" w:ascii="宋体" w:hAnsi="宋体" w:eastAsia="宋体" w:cs="宋体"/>
                <w:b/>
                <w:bCs/>
                <w:szCs w:val="21"/>
                <w:lang w:eastAsia="zh" w:bidi="ar"/>
              </w:rPr>
              <w:t>2</w:t>
            </w:r>
            <w:r>
              <w:rPr>
                <w:rFonts w:hint="eastAsia" w:ascii="宋体" w:hAnsi="宋体" w:eastAsia="宋体" w:cs="宋体"/>
                <w:b/>
                <w:bCs/>
                <w:szCs w:val="21"/>
                <w:lang w:bidi="ar"/>
              </w:rPr>
              <w:t>）塔式</w:t>
            </w:r>
            <w:r>
              <w:rPr>
                <w:rFonts w:hint="eastAsia" w:ascii="宋体" w:hAnsi="宋体" w:eastAsia="宋体" w:cs="宋体"/>
                <w:b/>
                <w:bCs/>
                <w:szCs w:val="21"/>
                <w:lang w:eastAsia="zh" w:bidi="ar"/>
              </w:rPr>
              <w:t>工作站</w:t>
            </w:r>
            <w:r>
              <w:rPr>
                <w:rFonts w:hint="eastAsia" w:ascii="宋体" w:hAnsi="宋体" w:eastAsia="宋体" w:cs="宋体"/>
                <w:b/>
                <w:bCs/>
                <w:szCs w:val="21"/>
                <w:lang w:bidi="ar"/>
              </w:rPr>
              <w:t>（1台）</w:t>
            </w:r>
          </w:p>
          <w:p w14:paraId="7D7DFA37">
            <w:pPr>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lang w:bidi="ar"/>
              </w:rPr>
              <w:t>操作系统：支持正版Windows 10及以上版本、Linux（Ubuntu、CentOS等）或国产操作系统。</w:t>
            </w:r>
          </w:p>
          <w:p w14:paraId="64F50145">
            <w:pPr>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lang w:bidi="ar"/>
              </w:rPr>
              <w:t>处理器：至少2个Xeon 4208 2.1GHz 及以上型号CPU。</w:t>
            </w:r>
          </w:p>
          <w:p w14:paraId="263EA67C">
            <w:pPr>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lang w:bidi="ar"/>
              </w:rPr>
              <w:t>内存：不低于128GB ECC RAM。</w:t>
            </w:r>
          </w:p>
          <w:p w14:paraId="4C85A489">
            <w:pPr>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lang w:bidi="ar"/>
              </w:rPr>
              <w:t>系统盘：不低于1TB NvMe固态硬盘。</w:t>
            </w:r>
          </w:p>
          <w:p w14:paraId="3E05EC2B">
            <w:pPr>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lang w:bidi="ar"/>
              </w:rPr>
              <w:t>存储盘：不低于2TB NvMe固态硬盘。</w:t>
            </w:r>
          </w:p>
          <w:p w14:paraId="044203A5">
            <w:pPr>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lang w:bidi="ar"/>
              </w:rPr>
              <w:t>嵌入式网卡：至少1 个 1GbE LOM。</w:t>
            </w:r>
          </w:p>
          <w:p w14:paraId="73927222">
            <w:pPr>
              <w:spacing w:line="288" w:lineRule="auto"/>
              <w:ind w:firstLine="420" w:firstLineChars="200"/>
              <w:jc w:val="left"/>
              <w:rPr>
                <w:rFonts w:hint="eastAsia" w:ascii="宋体" w:hAnsi="宋体" w:eastAsia="宋体" w:cs="宋体"/>
                <w:szCs w:val="21"/>
                <w:lang w:bidi="ar"/>
              </w:rPr>
            </w:pPr>
            <w:r>
              <w:rPr>
                <w:rFonts w:hint="eastAsia" w:ascii="宋体" w:hAnsi="宋体" w:eastAsia="宋体" w:cs="宋体"/>
                <w:szCs w:val="21"/>
                <w:lang w:bidi="ar"/>
              </w:rPr>
              <w:t>端口：包含至少2个USB2.0、至少2个USB3.0、至少1个iDRAC Direct (Micro-AB USB)、至少1个专用 iDRAC (RJ45)端口、至少1个VGA端口，至少2个以太网端口。</w:t>
            </w:r>
          </w:p>
          <w:p w14:paraId="54316E19">
            <w:pPr>
              <w:spacing w:line="288" w:lineRule="auto"/>
              <w:ind w:firstLine="420" w:firstLineChars="200"/>
              <w:jc w:val="left"/>
              <w:rPr>
                <w:rFonts w:hint="eastAsia" w:ascii="宋体" w:hAnsi="宋体" w:eastAsia="宋体" w:cs="宋体"/>
                <w:szCs w:val="21"/>
                <w:lang w:bidi="ar"/>
              </w:rPr>
            </w:pPr>
            <w:r>
              <w:rPr>
                <w:rFonts w:hint="eastAsia" w:ascii="宋体" w:hAnsi="宋体" w:eastAsia="宋体" w:cs="宋体"/>
                <w:szCs w:val="21"/>
                <w:lang w:bidi="ar"/>
              </w:rPr>
              <w:t>显示屏：≥27英寸，分辨率≥1920x1080高清显示屏，包含多种接口以适应不同设备连接。</w:t>
            </w:r>
          </w:p>
          <w:p w14:paraId="075996B8">
            <w:pPr>
              <w:spacing w:line="288" w:lineRule="auto"/>
              <w:ind w:firstLine="420" w:firstLineChars="200"/>
              <w:jc w:val="left"/>
              <w:rPr>
                <w:rFonts w:hint="eastAsia" w:ascii="宋体" w:hAnsi="宋体" w:eastAsia="宋体" w:cs="宋体"/>
                <w:szCs w:val="21"/>
                <w:lang w:bidi="ar"/>
              </w:rPr>
            </w:pPr>
            <w:r>
              <w:rPr>
                <w:rFonts w:hint="eastAsia" w:ascii="宋体" w:hAnsi="宋体" w:eastAsia="宋体" w:cs="宋体"/>
                <w:szCs w:val="21"/>
                <w:lang w:bidi="ar"/>
              </w:rPr>
              <w:t>鼠标：支持有线或蓝牙/2.4GHz连接。</w:t>
            </w:r>
          </w:p>
          <w:p w14:paraId="12F7B7F6">
            <w:pPr>
              <w:spacing w:line="288" w:lineRule="auto"/>
              <w:ind w:firstLine="420" w:firstLineChars="200"/>
              <w:jc w:val="left"/>
              <w:rPr>
                <w:rFonts w:hint="eastAsia" w:ascii="宋体" w:hAnsi="宋体" w:eastAsia="宋体" w:cs="宋体"/>
                <w:szCs w:val="21"/>
                <w:lang w:bidi="ar"/>
              </w:rPr>
            </w:pPr>
            <w:r>
              <w:rPr>
                <w:rFonts w:hint="eastAsia" w:ascii="宋体" w:hAnsi="宋体" w:eastAsia="宋体" w:cs="宋体"/>
                <w:szCs w:val="21"/>
                <w:lang w:bidi="ar"/>
              </w:rPr>
              <w:t>键盘：全尺寸104键键盘，支持有线或蓝牙/2.4GHz连接</w:t>
            </w:r>
          </w:p>
          <w:p w14:paraId="445904CD">
            <w:pPr>
              <w:spacing w:line="288" w:lineRule="auto"/>
              <w:ind w:firstLine="422" w:firstLineChars="200"/>
              <w:jc w:val="left"/>
              <w:rPr>
                <w:rStyle w:val="109"/>
                <w:rFonts w:hint="eastAsia" w:ascii="宋体" w:hAnsi="宋体" w:eastAsia="宋体" w:cs="宋体"/>
                <w:bCs/>
                <w:szCs w:val="21"/>
                <w:lang w:eastAsia="zh"/>
              </w:rPr>
            </w:pPr>
            <w:r>
              <w:rPr>
                <w:rFonts w:hint="eastAsia" w:ascii="宋体" w:hAnsi="宋体" w:eastAsia="宋体" w:cs="宋体"/>
                <w:b/>
                <w:bCs/>
                <w:szCs w:val="21"/>
              </w:rPr>
              <w:t>（</w:t>
            </w:r>
            <w:r>
              <w:rPr>
                <w:rFonts w:hint="eastAsia" w:ascii="宋体" w:hAnsi="宋体" w:eastAsia="宋体" w:cs="宋体"/>
                <w:b/>
                <w:bCs/>
                <w:szCs w:val="21"/>
                <w:lang w:eastAsia="zh"/>
              </w:rPr>
              <w:t>3</w:t>
            </w:r>
            <w:r>
              <w:rPr>
                <w:rFonts w:hint="eastAsia" w:ascii="宋体" w:hAnsi="宋体" w:eastAsia="宋体" w:cs="宋体"/>
                <w:b/>
                <w:bCs/>
                <w:szCs w:val="21"/>
              </w:rPr>
              <w:t>）</w:t>
            </w:r>
            <w:r>
              <w:rPr>
                <w:rStyle w:val="109"/>
                <w:rFonts w:hint="eastAsia" w:ascii="宋体" w:hAnsi="宋体" w:eastAsia="宋体" w:cs="宋体"/>
                <w:bCs/>
                <w:szCs w:val="21"/>
              </w:rPr>
              <w:t xml:space="preserve">USB摄像头 </w:t>
            </w:r>
            <w:r>
              <w:rPr>
                <w:rStyle w:val="109"/>
                <w:rFonts w:hint="eastAsia" w:ascii="宋体" w:hAnsi="宋体" w:eastAsia="宋体" w:cs="宋体"/>
                <w:bCs/>
                <w:szCs w:val="21"/>
                <w:lang w:eastAsia="zh"/>
              </w:rPr>
              <w:t>（</w:t>
            </w:r>
            <w:r>
              <w:rPr>
                <w:rStyle w:val="109"/>
                <w:rFonts w:hint="eastAsia" w:ascii="宋体" w:hAnsi="宋体" w:eastAsia="宋体" w:cs="宋体"/>
                <w:bCs/>
                <w:szCs w:val="21"/>
              </w:rPr>
              <w:t>2个</w:t>
            </w:r>
            <w:r>
              <w:rPr>
                <w:rStyle w:val="109"/>
                <w:rFonts w:hint="eastAsia" w:ascii="宋体" w:hAnsi="宋体" w:eastAsia="宋体" w:cs="宋体"/>
                <w:bCs/>
                <w:szCs w:val="21"/>
                <w:lang w:eastAsia="zh"/>
              </w:rPr>
              <w:t>）</w:t>
            </w:r>
          </w:p>
          <w:p w14:paraId="2619FB4D">
            <w:pPr>
              <w:pStyle w:val="101"/>
              <w:spacing w:line="288" w:lineRule="auto"/>
              <w:ind w:left="0" w:firstLine="420" w:firstLineChars="200"/>
              <w:rPr>
                <w:rFonts w:hint="eastAsia" w:ascii="宋体" w:hAnsi="宋体" w:cs="宋体"/>
                <w:sz w:val="21"/>
                <w:szCs w:val="21"/>
                <w:lang w:bidi="ar"/>
              </w:rPr>
            </w:pPr>
            <w:r>
              <w:rPr>
                <w:rFonts w:hint="eastAsia" w:ascii="宋体" w:hAnsi="宋体" w:cs="宋体"/>
                <w:sz w:val="21"/>
                <w:szCs w:val="21"/>
                <w:lang w:bidi="ar"/>
              </w:rPr>
              <w:t>内置记录镜头视角不小于75°；高清视频分辨率不低于4K；内置音频采集模块，自带麦克风；音频响频范围：100Hz-18 KHz；采用免驱USB接口，支持即插即用。</w:t>
            </w:r>
          </w:p>
          <w:p w14:paraId="4DCA6FBF">
            <w:pPr>
              <w:spacing w:line="288" w:lineRule="auto"/>
              <w:ind w:firstLine="422" w:firstLineChars="200"/>
              <w:jc w:val="left"/>
              <w:rPr>
                <w:rFonts w:hint="eastAsia" w:ascii="宋体" w:hAnsi="宋体" w:eastAsia="宋体" w:cs="宋体"/>
                <w:b/>
                <w:szCs w:val="21"/>
              </w:rPr>
            </w:pPr>
            <w:r>
              <w:rPr>
                <w:rFonts w:hint="eastAsia" w:ascii="宋体" w:hAnsi="宋体" w:eastAsia="宋体" w:cs="宋体"/>
                <w:b/>
                <w:szCs w:val="21"/>
              </w:rPr>
              <w:t>（</w:t>
            </w:r>
            <w:r>
              <w:rPr>
                <w:rFonts w:hint="eastAsia" w:ascii="宋体" w:hAnsi="宋体" w:eastAsia="宋体" w:cs="宋体"/>
                <w:b/>
                <w:szCs w:val="21"/>
                <w:lang w:eastAsia="zh"/>
              </w:rPr>
              <w:t>4</w:t>
            </w:r>
            <w:r>
              <w:rPr>
                <w:rFonts w:hint="eastAsia" w:ascii="宋体" w:hAnsi="宋体" w:eastAsia="宋体" w:cs="宋体"/>
                <w:b/>
                <w:szCs w:val="21"/>
              </w:rPr>
              <w:t>）网络交换机（1台）</w:t>
            </w:r>
          </w:p>
          <w:p w14:paraId="6A2DC3C2">
            <w:pPr>
              <w:spacing w:line="288" w:lineRule="auto"/>
              <w:ind w:firstLine="420" w:firstLineChars="200"/>
              <w:rPr>
                <w:rFonts w:hint="eastAsia" w:ascii="宋体" w:hAnsi="宋体" w:eastAsia="宋体" w:cs="宋体"/>
                <w:szCs w:val="21"/>
              </w:rPr>
            </w:pPr>
            <w:r>
              <w:rPr>
                <w:rFonts w:hint="eastAsia" w:ascii="宋体" w:hAnsi="宋体" w:eastAsia="宋体" w:cs="宋体"/>
                <w:szCs w:val="21"/>
              </w:rPr>
              <w:t>端口配置：至少含24个10/100/1000Mbps自适应电口，以及至少2个10G 信号数据口，实配不少于2个10G SFP+多模光纤接口，支持PoE+（以太网供电）功能，以便为网络摄像头或其他IP终端设备供电。</w:t>
            </w:r>
          </w:p>
        </w:tc>
        <w:tc>
          <w:tcPr>
            <w:tcW w:w="304" w:type="pct"/>
            <w:vAlign w:val="center"/>
          </w:tcPr>
          <w:p w14:paraId="78BBCD5A">
            <w:pPr>
              <w:spacing w:line="288" w:lineRule="auto"/>
              <w:jc w:val="center"/>
              <w:rPr>
                <w:rFonts w:hint="eastAsia" w:ascii="宋体" w:hAnsi="宋体" w:eastAsia="宋体" w:cs="宋体"/>
                <w:szCs w:val="21"/>
              </w:rPr>
            </w:pPr>
            <w:r>
              <w:rPr>
                <w:rFonts w:hint="eastAsia" w:ascii="宋体" w:hAnsi="宋体" w:eastAsia="宋体" w:cs="宋体"/>
                <w:szCs w:val="21"/>
              </w:rPr>
              <w:t>1套</w:t>
            </w:r>
          </w:p>
        </w:tc>
      </w:tr>
      <w:bookmarkEnd w:id="41"/>
      <w:tr w14:paraId="10AA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47BE21D2">
            <w:pPr>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491" w:type="pct"/>
            <w:shd w:val="clear" w:color="auto" w:fill="auto"/>
            <w:vAlign w:val="center"/>
          </w:tcPr>
          <w:p w14:paraId="64244F5A">
            <w:pPr>
              <w:spacing w:line="288" w:lineRule="auto"/>
              <w:jc w:val="center"/>
              <w:rPr>
                <w:rFonts w:hint="eastAsia" w:ascii="宋体" w:hAnsi="宋体" w:eastAsia="宋体" w:cs="宋体"/>
                <w:szCs w:val="21"/>
              </w:rPr>
            </w:pPr>
            <w:r>
              <w:rPr>
                <w:rFonts w:hint="eastAsia" w:ascii="宋体" w:hAnsi="宋体" w:eastAsia="宋体" w:cs="宋体"/>
                <w:szCs w:val="21"/>
                <w:lang w:bidi="ar"/>
              </w:rPr>
              <w:t>便携式行为观察记录分析系统</w:t>
            </w:r>
          </w:p>
        </w:tc>
        <w:tc>
          <w:tcPr>
            <w:tcW w:w="3930" w:type="pct"/>
            <w:vAlign w:val="center"/>
          </w:tcPr>
          <w:p w14:paraId="60051645">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功能要求：可以为专业收集、分析和演示观察数据提供一个综合行为事件记录系统，具有但不限于可扩展性、操作简单等性能。</w:t>
            </w:r>
          </w:p>
          <w:p w14:paraId="3E344875">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通过硬件的配置：能够提供动态环境画面稳定记录的功能，保障真实实验场景的数据采集工作正常展开；能够将视频信号转换为数字信号，保障数据的储存与分析；能够处理大量的行为观察数据，支持实时数据处理和分析，可保障便携式行为观察记录分析系统开展实时的场景数据分析；能够确保行为观察记录分析系统和相关设备在运输和移动过程中不受损害。</w:t>
            </w:r>
          </w:p>
          <w:p w14:paraId="76CC7FDA">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该系统需要支持一个研究项目的整个工作流，具体包括实验设置，设计编码方案、数据采集、数据分析和演示，需根据工作流程同步配置</w:t>
            </w:r>
          </w:p>
          <w:p w14:paraId="1E51B5C0">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szCs w:val="21"/>
              </w:rPr>
              <w:t>具体包括但不限于以下功能模块：</w:t>
            </w:r>
          </w:p>
          <w:p w14:paraId="3FB63B6D">
            <w:pPr>
              <w:adjustRightInd w:val="0"/>
              <w:spacing w:line="288" w:lineRule="auto"/>
              <w:ind w:left="420" w:firstLine="59" w:firstLineChars="28"/>
              <w:rPr>
                <w:rFonts w:hint="eastAsia" w:ascii="宋体" w:hAnsi="宋体" w:eastAsia="宋体" w:cs="宋体"/>
                <w:b/>
                <w:szCs w:val="21"/>
              </w:rPr>
            </w:pPr>
            <w:r>
              <w:rPr>
                <w:rFonts w:hint="eastAsia" w:ascii="宋体" w:hAnsi="宋体" w:eastAsia="宋体" w:cs="宋体"/>
                <w:b/>
                <w:szCs w:val="21"/>
              </w:rPr>
              <w:t>（1）行为分析系统软件（1套）</w:t>
            </w:r>
          </w:p>
          <w:p w14:paraId="4D1292AC">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lang w:eastAsia="zh"/>
              </w:rPr>
              <w:t>功能：统计</w:t>
            </w:r>
            <w:r>
              <w:rPr>
                <w:rFonts w:hint="eastAsia" w:ascii="宋体" w:hAnsi="宋体" w:eastAsia="宋体" w:cs="宋体"/>
                <w:bCs/>
                <w:szCs w:val="21"/>
              </w:rPr>
              <w:t>分析被试</w:t>
            </w:r>
            <w:r>
              <w:rPr>
                <w:rFonts w:hint="eastAsia" w:ascii="宋体" w:hAnsi="宋体" w:eastAsia="宋体" w:cs="宋体"/>
                <w:bCs/>
                <w:szCs w:val="21"/>
                <w:lang w:eastAsia="zh"/>
              </w:rPr>
              <w:t>者</w:t>
            </w:r>
            <w:r>
              <w:rPr>
                <w:rFonts w:hint="eastAsia" w:ascii="宋体" w:hAnsi="宋体" w:eastAsia="宋体" w:cs="宋体"/>
                <w:bCs/>
                <w:szCs w:val="21"/>
              </w:rPr>
              <w:t>的人机交互等各种行为</w:t>
            </w:r>
            <w:r>
              <w:rPr>
                <w:rFonts w:hint="eastAsia" w:ascii="宋体" w:hAnsi="宋体" w:eastAsia="宋体" w:cs="宋体"/>
                <w:bCs/>
                <w:szCs w:val="21"/>
                <w:lang w:eastAsia="zh"/>
              </w:rPr>
              <w:t>的发生时刻、发生次数和持续时间</w:t>
            </w:r>
            <w:r>
              <w:rPr>
                <w:rFonts w:hint="eastAsia" w:ascii="宋体" w:hAnsi="宋体" w:eastAsia="宋体" w:cs="宋体"/>
                <w:bCs/>
                <w:szCs w:val="21"/>
              </w:rPr>
              <w:t>，</w:t>
            </w:r>
            <w:r>
              <w:rPr>
                <w:rFonts w:hint="eastAsia" w:ascii="宋体" w:hAnsi="宋体" w:eastAsia="宋体" w:cs="宋体"/>
                <w:bCs/>
                <w:szCs w:val="21"/>
                <w:lang w:eastAsia="zh"/>
              </w:rPr>
              <w:t>并实现</w:t>
            </w:r>
            <w:r>
              <w:rPr>
                <w:rFonts w:hint="eastAsia" w:ascii="宋体" w:hAnsi="宋体" w:eastAsia="宋体" w:cs="宋体"/>
                <w:bCs/>
                <w:szCs w:val="21"/>
              </w:rPr>
              <w:t>对设备或网站操作过程中关键行为步骤的编码、记录和分析</w:t>
            </w:r>
            <w:r>
              <w:rPr>
                <w:rFonts w:hint="eastAsia" w:ascii="宋体" w:hAnsi="宋体" w:eastAsia="宋体" w:cs="宋体"/>
                <w:bCs/>
                <w:szCs w:val="21"/>
                <w:lang w:eastAsia="zh"/>
              </w:rPr>
              <w:t>。具体包括以下三个模块：</w:t>
            </w:r>
          </w:p>
          <w:p w14:paraId="5C91B4A9">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①视频处理模块</w:t>
            </w:r>
          </w:p>
          <w:p w14:paraId="5CCCB1FA">
            <w:pPr>
              <w:numPr>
                <w:ilvl w:val="255"/>
                <w:numId w:val="0"/>
              </w:num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lang w:eastAsia="zh"/>
              </w:rPr>
              <w:t>第一，系统应</w:t>
            </w:r>
            <w:r>
              <w:rPr>
                <w:rFonts w:hint="eastAsia" w:ascii="宋体" w:hAnsi="宋体" w:eastAsia="宋体" w:cs="宋体"/>
                <w:bCs/>
                <w:szCs w:val="21"/>
              </w:rPr>
              <w:t>具备同时播放和独立录制多路视频的能力。</w:t>
            </w:r>
          </w:p>
          <w:p w14:paraId="33D4A3F4">
            <w:pPr>
              <w:numPr>
                <w:ilvl w:val="255"/>
                <w:numId w:val="0"/>
              </w:num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lang w:eastAsia="zh"/>
              </w:rPr>
              <w:t>第二，视频回放应支持变速调节，具备</w:t>
            </w:r>
            <w:r>
              <w:rPr>
                <w:rFonts w:hint="eastAsia" w:ascii="宋体" w:hAnsi="宋体" w:eastAsia="宋体" w:cs="宋体"/>
                <w:bCs/>
                <w:szCs w:val="21"/>
              </w:rPr>
              <w:t>倍速播放、精确快进/倒退功能，支持实时和离线观看模式。</w:t>
            </w:r>
          </w:p>
          <w:p w14:paraId="7FA2A333">
            <w:pPr>
              <w:numPr>
                <w:ilvl w:val="255"/>
                <w:numId w:val="0"/>
              </w:num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lang w:eastAsia="zh"/>
              </w:rPr>
              <w:t>第三，系统需要</w:t>
            </w:r>
            <w:r>
              <w:rPr>
                <w:rFonts w:hint="eastAsia" w:ascii="宋体" w:hAnsi="宋体" w:eastAsia="宋体" w:cs="宋体"/>
                <w:bCs/>
                <w:szCs w:val="21"/>
              </w:rPr>
              <w:t>兼容多种视频格式，可自动保存并按日期时间排序所有音视频内容。此外，系统还需整合对具有PTZ功能摄像机的远程操控功能，能录制来自摄像机内置或外接麦克风的声音。</w:t>
            </w:r>
          </w:p>
          <w:p w14:paraId="1D5BDA62">
            <w:pPr>
              <w:adjustRightInd w:val="0"/>
              <w:spacing w:line="288" w:lineRule="auto"/>
              <w:ind w:firstLine="420" w:firstLineChars="200"/>
              <w:rPr>
                <w:rFonts w:hint="eastAsia" w:ascii="宋体" w:hAnsi="宋体" w:eastAsia="宋体" w:cs="宋体"/>
                <w:b/>
                <w:szCs w:val="21"/>
              </w:rPr>
            </w:pPr>
            <w:r>
              <w:rPr>
                <w:rFonts w:hint="eastAsia" w:ascii="宋体" w:hAnsi="宋体" w:eastAsia="宋体" w:cs="宋体"/>
                <w:bCs/>
                <w:szCs w:val="21"/>
              </w:rPr>
              <w:t>②行为编码模块</w:t>
            </w:r>
          </w:p>
          <w:p w14:paraId="67D5A902">
            <w:pPr>
              <w:numPr>
                <w:ilvl w:val="0"/>
                <w:numId w:val="3"/>
              </w:num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系统</w:t>
            </w:r>
            <w:r>
              <w:rPr>
                <w:rFonts w:hint="eastAsia" w:ascii="宋体" w:hAnsi="宋体" w:eastAsia="宋体" w:cs="宋体"/>
                <w:bCs/>
                <w:szCs w:val="21"/>
                <w:lang w:eastAsia="zh"/>
              </w:rPr>
              <w:t>需要</w:t>
            </w:r>
            <w:r>
              <w:rPr>
                <w:rFonts w:hint="eastAsia" w:ascii="宋体" w:hAnsi="宋体" w:eastAsia="宋体" w:cs="宋体"/>
                <w:bCs/>
                <w:szCs w:val="21"/>
              </w:rPr>
              <w:t>支持创建行为编码</w:t>
            </w:r>
            <w:r>
              <w:rPr>
                <w:rFonts w:hint="eastAsia" w:ascii="宋体" w:hAnsi="宋体" w:eastAsia="宋体" w:cs="宋体"/>
                <w:bCs/>
                <w:szCs w:val="21"/>
                <w:lang w:eastAsia="zh"/>
              </w:rPr>
              <w:t>，以便</w:t>
            </w:r>
            <w:r>
              <w:rPr>
                <w:rFonts w:hint="eastAsia" w:ascii="宋体" w:hAnsi="宋体" w:eastAsia="宋体" w:cs="宋体"/>
                <w:bCs/>
                <w:szCs w:val="21"/>
              </w:rPr>
              <w:t>对视频中被试的行为进行</w:t>
            </w:r>
            <w:r>
              <w:rPr>
                <w:rFonts w:hint="eastAsia" w:ascii="宋体" w:hAnsi="宋体" w:eastAsia="宋体" w:cs="宋体"/>
                <w:bCs/>
                <w:szCs w:val="21"/>
                <w:lang w:eastAsia="zh"/>
              </w:rPr>
              <w:t>精准</w:t>
            </w:r>
            <w:r>
              <w:rPr>
                <w:rFonts w:hint="eastAsia" w:ascii="宋体" w:hAnsi="宋体" w:eastAsia="宋体" w:cs="宋体"/>
                <w:bCs/>
                <w:szCs w:val="21"/>
              </w:rPr>
              <w:t>注释。</w:t>
            </w:r>
          </w:p>
          <w:p w14:paraId="0AC18F8A">
            <w:pPr>
              <w:numPr>
                <w:ilvl w:val="255"/>
                <w:numId w:val="0"/>
              </w:numPr>
              <w:adjustRightInd w:val="0"/>
              <w:spacing w:line="288" w:lineRule="auto"/>
              <w:ind w:firstLine="422" w:firstLineChars="200"/>
              <w:rPr>
                <w:rFonts w:hint="eastAsia" w:ascii="宋体" w:hAnsi="宋体" w:eastAsia="宋体" w:cs="宋体"/>
                <w:b/>
                <w:bCs/>
                <w:szCs w:val="21"/>
                <w:lang w:eastAsia="zh"/>
              </w:rPr>
            </w:pPr>
            <w:r>
              <w:rPr>
                <w:rFonts w:hint="eastAsia" w:ascii="宋体" w:hAnsi="宋体" w:eastAsia="宋体" w:cs="宋体"/>
                <w:b/>
                <w:bCs/>
                <w:szCs w:val="21"/>
                <w:lang w:eastAsia="zh"/>
              </w:rPr>
              <w:t>第二，</w:t>
            </w:r>
            <w:r>
              <w:rPr>
                <w:rFonts w:hint="eastAsia" w:ascii="宋体" w:hAnsi="宋体" w:eastAsia="宋体" w:cs="宋体"/>
                <w:b/>
                <w:bCs/>
                <w:szCs w:val="21"/>
              </w:rPr>
              <w:t>数据采样机制需灵活多样，囊括连续采样、瞬时采样及两者混合模式</w:t>
            </w:r>
            <w:r>
              <w:rPr>
                <w:rFonts w:hint="eastAsia" w:ascii="宋体" w:hAnsi="宋体" w:eastAsia="宋体" w:cs="宋体"/>
                <w:b/>
                <w:bCs/>
                <w:szCs w:val="21"/>
                <w:lang w:eastAsia="zh"/>
              </w:rPr>
              <w:t>，</w:t>
            </w:r>
            <w:r>
              <w:rPr>
                <w:rFonts w:hint="eastAsia" w:ascii="宋体" w:hAnsi="宋体" w:eastAsia="宋体" w:cs="宋体"/>
                <w:b/>
                <w:bCs/>
                <w:szCs w:val="21"/>
              </w:rPr>
              <w:t>并借助可视化界面</w:t>
            </w:r>
            <w:r>
              <w:rPr>
                <w:rFonts w:hint="eastAsia" w:ascii="宋体" w:hAnsi="宋体" w:eastAsia="宋体" w:cs="宋体"/>
                <w:b/>
                <w:bCs/>
                <w:szCs w:val="21"/>
                <w:lang w:eastAsia="zh"/>
              </w:rPr>
              <w:t>，如</w:t>
            </w:r>
            <w:r>
              <w:rPr>
                <w:rFonts w:hint="eastAsia" w:ascii="宋体" w:hAnsi="宋体" w:eastAsia="宋体" w:cs="宋体"/>
                <w:b/>
                <w:bCs/>
                <w:szCs w:val="21"/>
              </w:rPr>
              <w:t>事件日志</w:t>
            </w:r>
            <w:r>
              <w:rPr>
                <w:rFonts w:hint="eastAsia" w:ascii="宋体" w:hAnsi="宋体" w:eastAsia="宋体" w:cs="宋体"/>
                <w:b/>
                <w:bCs/>
                <w:szCs w:val="21"/>
                <w:lang w:eastAsia="zh"/>
              </w:rPr>
              <w:t>和</w:t>
            </w:r>
            <w:r>
              <w:rPr>
                <w:rFonts w:hint="eastAsia" w:ascii="宋体" w:hAnsi="宋体" w:eastAsia="宋体" w:cs="宋体"/>
                <w:b/>
                <w:bCs/>
                <w:szCs w:val="21"/>
              </w:rPr>
              <w:t>图形时间轴联动展示，方便对已标记事件进行查阅和分析，并具备uASQ实时调查问卷功能、uLog记录鼠标键盘操作功能。（需要演示8）</w:t>
            </w:r>
          </w:p>
          <w:p w14:paraId="3EAC647E">
            <w:pPr>
              <w:adjustRightInd w:val="0"/>
              <w:spacing w:line="288" w:lineRule="auto"/>
              <w:ind w:firstLine="420" w:firstLineChars="200"/>
              <w:rPr>
                <w:rFonts w:hint="eastAsia" w:ascii="宋体" w:hAnsi="宋体" w:eastAsia="宋体" w:cs="宋体"/>
                <w:b/>
                <w:szCs w:val="21"/>
              </w:rPr>
            </w:pPr>
            <w:r>
              <w:rPr>
                <w:rFonts w:hint="eastAsia" w:ascii="宋体" w:hAnsi="宋体" w:eastAsia="宋体" w:cs="宋体"/>
                <w:bCs/>
                <w:szCs w:val="21"/>
              </w:rPr>
              <w:t>③行为统计分析模块</w:t>
            </w:r>
          </w:p>
          <w:p w14:paraId="76981AEC">
            <w:pPr>
              <w:adjustRightInd w:val="0"/>
              <w:spacing w:line="288" w:lineRule="auto"/>
              <w:ind w:firstLine="420" w:firstLineChars="200"/>
              <w:rPr>
                <w:rFonts w:hint="eastAsia" w:ascii="宋体" w:hAnsi="宋体" w:eastAsia="宋体" w:cs="宋体"/>
                <w:bCs/>
                <w:szCs w:val="21"/>
                <w:lang w:eastAsia="zh"/>
              </w:rPr>
            </w:pPr>
            <w:r>
              <w:rPr>
                <w:rFonts w:hint="eastAsia" w:ascii="宋体" w:hAnsi="宋体" w:eastAsia="宋体" w:cs="宋体"/>
                <w:bCs/>
                <w:szCs w:val="21"/>
                <w:lang w:eastAsia="zh"/>
              </w:rPr>
              <w:t>系统应当集成行为数据统计与分析功能，针对编码后的数据进行深度统计和解析，计算各项关键指标，如发生次数、持续时间范围（最短、最长、平均）、总时长、标准偏差、标准误差、频率（每分钟发生的次数）、占比以及潜伏期等。</w:t>
            </w:r>
          </w:p>
          <w:p w14:paraId="444DD82E">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以上模块的设计主要是为了实现对多路视频源的高效管理和分析，其中多通道视频模块侧重于视频的录制、回放、控制等功能；行为编码模块负责行为标注及可视化；而行为数据分析统计模块则用于对编码后的行为数据进行深度挖掘和量化分析。同时，整个系统</w:t>
            </w:r>
            <w:r>
              <w:rPr>
                <w:rFonts w:hint="eastAsia" w:ascii="宋体" w:hAnsi="宋体" w:eastAsia="宋体" w:cs="宋体"/>
                <w:bCs/>
                <w:szCs w:val="21"/>
                <w:lang w:eastAsia="zh"/>
              </w:rPr>
              <w:t>需要保障</w:t>
            </w:r>
            <w:r>
              <w:rPr>
                <w:rFonts w:hint="eastAsia" w:ascii="宋体" w:hAnsi="宋体" w:eastAsia="宋体" w:cs="宋体"/>
                <w:bCs/>
                <w:szCs w:val="21"/>
              </w:rPr>
              <w:t>对个人信息的保护，确保在实验或研究过程中符合隐私保护的要求。</w:t>
            </w:r>
          </w:p>
          <w:p w14:paraId="796B2DB5">
            <w:pPr>
              <w:adjustRightInd w:val="0"/>
              <w:spacing w:line="288" w:lineRule="auto"/>
              <w:ind w:firstLine="422" w:firstLineChars="200"/>
              <w:rPr>
                <w:rFonts w:hint="eastAsia" w:ascii="宋体" w:hAnsi="宋体" w:eastAsia="宋体" w:cs="宋体"/>
                <w:bCs/>
                <w:szCs w:val="21"/>
              </w:rPr>
            </w:pPr>
            <w:r>
              <w:rPr>
                <w:rFonts w:hint="eastAsia" w:ascii="宋体" w:hAnsi="宋体" w:eastAsia="宋体" w:cs="宋体"/>
                <w:b/>
                <w:szCs w:val="21"/>
              </w:rPr>
              <w:t>需要配备以下相关组件（包括但不限于）：</w:t>
            </w:r>
          </w:p>
          <w:p w14:paraId="1FC56028">
            <w:pPr>
              <w:adjustRightInd w:val="0"/>
              <w:spacing w:line="288" w:lineRule="auto"/>
              <w:ind w:firstLine="422" w:firstLineChars="200"/>
              <w:rPr>
                <w:rFonts w:hint="eastAsia" w:ascii="宋体" w:hAnsi="宋体" w:eastAsia="宋体" w:cs="宋体"/>
                <w:bCs/>
                <w:szCs w:val="21"/>
                <w:lang w:eastAsia="zh"/>
              </w:rPr>
            </w:pPr>
            <w:r>
              <w:rPr>
                <w:rFonts w:hint="eastAsia" w:ascii="宋体" w:hAnsi="宋体" w:eastAsia="宋体" w:cs="宋体"/>
                <w:b/>
                <w:szCs w:val="21"/>
              </w:rPr>
              <w:t>（1）便携式云台相机（2台）</w:t>
            </w:r>
          </w:p>
          <w:p w14:paraId="7206AB7B">
            <w:pPr>
              <w:numPr>
                <w:ilvl w:val="255"/>
                <w:numId w:val="0"/>
              </w:numPr>
              <w:adjustRightInd w:val="0"/>
              <w:spacing w:line="288" w:lineRule="auto"/>
              <w:ind w:left="59" w:leftChars="28" w:firstLine="420"/>
              <w:rPr>
                <w:rFonts w:hint="eastAsia" w:ascii="宋体" w:hAnsi="宋体" w:eastAsia="宋体" w:cs="宋体"/>
                <w:szCs w:val="21"/>
              </w:rPr>
            </w:pPr>
            <w:r>
              <w:rPr>
                <w:rFonts w:hint="eastAsia" w:ascii="宋体" w:hAnsi="宋体" w:eastAsia="宋体" w:cs="宋体"/>
                <w:szCs w:val="21"/>
                <w:lang w:eastAsia="zh"/>
              </w:rPr>
              <w:t>第一，</w:t>
            </w:r>
            <w:r>
              <w:rPr>
                <w:rFonts w:hint="eastAsia" w:ascii="宋体" w:hAnsi="宋体" w:eastAsia="宋体" w:cs="宋体"/>
                <w:bCs/>
                <w:szCs w:val="21"/>
                <w:lang w:eastAsia="zh"/>
              </w:rPr>
              <w:t>便携式云台相机应具备高清照片拍摄与视频录制功能，</w:t>
            </w:r>
            <w:r>
              <w:rPr>
                <w:rFonts w:hint="eastAsia" w:ascii="宋体" w:hAnsi="宋体" w:eastAsia="宋体" w:cs="宋体"/>
                <w:szCs w:val="21"/>
              </w:rPr>
              <w:t>具备稳定的三轴机械增稳功能，确保在拍摄过程中能够提供平滑无抖动的画面。云台应支持俯仰、横滚和偏航三个维度的稳定控制。设备应具备良好的低光性能，ISO感光度不低于6400，并且能在低至1lux的光照条件下正常工作。</w:t>
            </w:r>
          </w:p>
          <w:p w14:paraId="04ED7C6E">
            <w:pPr>
              <w:numPr>
                <w:ilvl w:val="255"/>
                <w:numId w:val="0"/>
              </w:numPr>
              <w:adjustRightInd w:val="0"/>
              <w:spacing w:line="288" w:lineRule="auto"/>
              <w:ind w:left="59" w:leftChars="28" w:firstLine="420"/>
              <w:rPr>
                <w:rFonts w:hint="eastAsia" w:ascii="宋体" w:hAnsi="宋体" w:eastAsia="宋体" w:cs="宋体"/>
                <w:szCs w:val="21"/>
              </w:rPr>
            </w:pPr>
            <w:r>
              <w:rPr>
                <w:rFonts w:hint="eastAsia" w:ascii="宋体" w:hAnsi="宋体" w:eastAsia="宋体" w:cs="宋体"/>
                <w:szCs w:val="21"/>
                <w:lang w:eastAsia="zh"/>
              </w:rPr>
              <w:t>第二，</w:t>
            </w:r>
            <w:r>
              <w:rPr>
                <w:rFonts w:hint="eastAsia" w:ascii="宋体" w:hAnsi="宋体" w:eastAsia="宋体" w:cs="宋体"/>
                <w:szCs w:val="21"/>
              </w:rPr>
              <w:t>云台应具有不少于20小时的续航能力，并且支持快充技术，确保快速恢复电力。</w:t>
            </w:r>
          </w:p>
          <w:p w14:paraId="25CB4D6C">
            <w:pPr>
              <w:numPr>
                <w:ilvl w:val="255"/>
                <w:numId w:val="0"/>
              </w:numPr>
              <w:adjustRightInd w:val="0"/>
              <w:spacing w:line="288" w:lineRule="auto"/>
              <w:ind w:left="59" w:leftChars="28" w:firstLine="420"/>
              <w:rPr>
                <w:rFonts w:hint="eastAsia" w:ascii="宋体" w:hAnsi="宋体" w:eastAsia="宋体" w:cs="宋体"/>
                <w:szCs w:val="21"/>
              </w:rPr>
            </w:pPr>
            <w:r>
              <w:rPr>
                <w:rFonts w:hint="eastAsia" w:ascii="宋体" w:hAnsi="宋体" w:eastAsia="宋体" w:cs="宋体"/>
                <w:szCs w:val="21"/>
                <w:lang w:eastAsia="zh"/>
              </w:rPr>
              <w:t>第三，</w:t>
            </w:r>
            <w:r>
              <w:rPr>
                <w:rFonts w:hint="eastAsia" w:ascii="宋体" w:hAnsi="宋体" w:eastAsia="宋体" w:cs="宋体"/>
                <w:szCs w:val="21"/>
              </w:rPr>
              <w:t>云台设计应便于携带，重量不超过1.5公斤，且易于组装拆卸。</w:t>
            </w:r>
          </w:p>
          <w:p w14:paraId="0365EA53">
            <w:pPr>
              <w:numPr>
                <w:ilvl w:val="255"/>
                <w:numId w:val="0"/>
              </w:numPr>
              <w:adjustRightInd w:val="0"/>
              <w:spacing w:line="288" w:lineRule="auto"/>
              <w:ind w:left="59" w:leftChars="28" w:firstLine="420"/>
              <w:rPr>
                <w:rFonts w:hint="eastAsia" w:ascii="宋体" w:hAnsi="宋体" w:eastAsia="宋体" w:cs="宋体"/>
                <w:bCs/>
                <w:szCs w:val="21"/>
              </w:rPr>
            </w:pPr>
            <w:r>
              <w:rPr>
                <w:rFonts w:hint="eastAsia" w:ascii="宋体" w:hAnsi="宋体" w:eastAsia="宋体" w:cs="宋体"/>
                <w:szCs w:val="21"/>
                <w:lang w:eastAsia="zh"/>
              </w:rPr>
              <w:t>第四，</w:t>
            </w:r>
            <w:r>
              <w:rPr>
                <w:rFonts w:hint="eastAsia" w:ascii="宋体" w:hAnsi="宋体" w:eastAsia="宋体" w:cs="宋体"/>
                <w:szCs w:val="21"/>
              </w:rPr>
              <w:t>云台应兼容主流品牌的摄像设备，并且提供通用接口适配器</w:t>
            </w:r>
            <w:r>
              <w:rPr>
                <w:rFonts w:hint="eastAsia" w:ascii="宋体" w:hAnsi="宋体" w:eastAsia="宋体" w:cs="宋体"/>
                <w:szCs w:val="21"/>
                <w:lang w:eastAsia="zh"/>
              </w:rPr>
              <w:t>。</w:t>
            </w:r>
            <w:r>
              <w:rPr>
                <w:rFonts w:hint="eastAsia" w:ascii="宋体" w:hAnsi="宋体" w:eastAsia="宋体" w:cs="宋体"/>
                <w:szCs w:val="21"/>
              </w:rPr>
              <w:t>每台云台均应配备充电器、备用电池以及便携式充电站，以确保不间断地使用。</w:t>
            </w:r>
          </w:p>
          <w:p w14:paraId="77DB2D91">
            <w:pPr>
              <w:adjustRightInd w:val="0"/>
              <w:spacing w:line="288" w:lineRule="auto"/>
              <w:ind w:left="420" w:firstLine="59" w:firstLineChars="28"/>
              <w:rPr>
                <w:rFonts w:hint="eastAsia" w:ascii="宋体" w:hAnsi="宋体" w:eastAsia="宋体" w:cs="宋体"/>
                <w:b/>
                <w:szCs w:val="21"/>
              </w:rPr>
            </w:pPr>
            <w:r>
              <w:rPr>
                <w:rFonts w:hint="eastAsia" w:ascii="宋体" w:hAnsi="宋体" w:eastAsia="宋体" w:cs="宋体"/>
                <w:b/>
                <w:szCs w:val="21"/>
              </w:rPr>
              <w:t>（2）数码视频采集设备（1套）</w:t>
            </w:r>
          </w:p>
          <w:p w14:paraId="2E701574">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第一，数码视频采集设备应具备高清视频录制功能，支持至少4K分辨率（3840×2160像素）的视频录制，并且支持H.264/H.265编码格式。设备应支持同时采集不少于4通路音视频信号，以满足多角度、多视角的录制需求。</w:t>
            </w:r>
          </w:p>
          <w:p w14:paraId="1CF3CDB2">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第二，设备应具备良好的低光性能，ISO感光度不低于6400，并且能在低至1lux的光照条件下正常工作。</w:t>
            </w:r>
          </w:p>
          <w:p w14:paraId="5026F53D">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第三，设备需要支持连续录制至少4小时，并且内置至少128GB的存储空间，支持SDXC卡扩展至1TB以上。录制出来的音视频文件应可以直接由行为观察分析软件打开进行行为分析。</w:t>
            </w:r>
          </w:p>
          <w:p w14:paraId="019AFB42">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第四，设备应配备可变焦镜头，焦距范围应在24mm至70mm之间，支持实时追踪和视频实时眼部对焦功能。</w:t>
            </w:r>
          </w:p>
          <w:p w14:paraId="31A5BB24">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第五，设备应具有良好的耐用性和防水防尘功能，IP等级应达到IP65标准，适用于各种户外环境。</w:t>
            </w:r>
          </w:p>
          <w:p w14:paraId="3E091558">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第六，设备应配备直观易用的操作界面，支持触摸屏操作，并且具有实体按键以方便快速设置和调整录制参数。</w:t>
            </w:r>
          </w:p>
          <w:p w14:paraId="7D8497F6">
            <w:pPr>
              <w:adjustRightInd w:val="0"/>
              <w:spacing w:line="288" w:lineRule="auto"/>
              <w:ind w:left="420" w:firstLine="59" w:firstLineChars="28"/>
              <w:rPr>
                <w:rFonts w:hint="eastAsia" w:ascii="宋体" w:hAnsi="宋体" w:eastAsia="宋体" w:cs="宋体"/>
                <w:b/>
                <w:szCs w:val="21"/>
              </w:rPr>
            </w:pPr>
            <w:r>
              <w:rPr>
                <w:rFonts w:hint="eastAsia" w:ascii="宋体" w:hAnsi="宋体" w:eastAsia="宋体" w:cs="宋体"/>
                <w:b/>
                <w:szCs w:val="21"/>
              </w:rPr>
              <w:t>（3）专用便携式工作站（1台）</w:t>
            </w:r>
          </w:p>
          <w:p w14:paraId="62C6A95B">
            <w:pPr>
              <w:adjustRightInd w:val="0"/>
              <w:spacing w:line="288" w:lineRule="auto"/>
              <w:ind w:firstLine="420"/>
              <w:rPr>
                <w:rFonts w:hint="eastAsia" w:ascii="宋体" w:hAnsi="宋体" w:eastAsia="宋体" w:cs="宋体"/>
                <w:szCs w:val="21"/>
              </w:rPr>
            </w:pPr>
            <w:r>
              <w:rPr>
                <w:rFonts w:hint="eastAsia" w:ascii="宋体" w:hAnsi="宋体" w:eastAsia="宋体" w:cs="宋体"/>
                <w:szCs w:val="21"/>
              </w:rPr>
              <w:t>第一，</w:t>
            </w:r>
            <w:r>
              <w:rPr>
                <w:rFonts w:hint="eastAsia" w:ascii="宋体" w:hAnsi="宋体" w:eastAsia="宋体" w:cs="宋体"/>
                <w:szCs w:val="21"/>
                <w:lang w:bidi="ar"/>
              </w:rPr>
              <w:t>支持正版Windows 10及以上版本、Linux（Ubuntu、CentOS等）或</w:t>
            </w:r>
            <w:r>
              <w:rPr>
                <w:rFonts w:hint="eastAsia" w:ascii="宋体" w:hAnsi="宋体" w:eastAsia="宋体" w:cs="宋体"/>
                <w:szCs w:val="21"/>
              </w:rPr>
              <w:t>国产</w:t>
            </w:r>
            <w:r>
              <w:rPr>
                <w:rFonts w:hint="eastAsia" w:ascii="宋体" w:hAnsi="宋体" w:eastAsia="宋体" w:cs="宋体"/>
                <w:szCs w:val="21"/>
                <w:lang w:bidi="ar"/>
              </w:rPr>
              <w:t>操作系统</w:t>
            </w:r>
            <w:r>
              <w:rPr>
                <w:rFonts w:hint="eastAsia" w:ascii="宋体" w:hAnsi="宋体" w:eastAsia="宋体" w:cs="宋体"/>
                <w:szCs w:val="21"/>
              </w:rPr>
              <w:t>，处理器Intel i7 13600H及以上，内存≥16G，显卡Nivdia独立显卡3060</w:t>
            </w:r>
            <w:r>
              <w:rPr>
                <w:rFonts w:hint="eastAsia" w:ascii="宋体" w:hAnsi="宋体" w:eastAsia="宋体" w:cs="宋体"/>
                <w:szCs w:val="21"/>
                <w:lang w:eastAsia="zh"/>
              </w:rPr>
              <w:t>及</w:t>
            </w:r>
            <w:r>
              <w:rPr>
                <w:rFonts w:hint="eastAsia" w:ascii="宋体" w:hAnsi="宋体" w:eastAsia="宋体" w:cs="宋体"/>
                <w:szCs w:val="21"/>
              </w:rPr>
              <w:t>以上，屏幕刷新率≥120Hz，分辨率≥2560*1600</w:t>
            </w:r>
            <w:r>
              <w:rPr>
                <w:rFonts w:hint="eastAsia" w:ascii="宋体" w:hAnsi="宋体" w:eastAsia="宋体" w:cs="宋体"/>
                <w:szCs w:val="21"/>
                <w:lang w:eastAsia="zh"/>
              </w:rPr>
              <w:t>，</w:t>
            </w:r>
            <w:r>
              <w:rPr>
                <w:rStyle w:val="109"/>
                <w:rFonts w:hint="eastAsia" w:ascii="宋体" w:hAnsi="宋体" w:eastAsia="宋体" w:cs="宋体"/>
                <w:b w:val="0"/>
                <w:szCs w:val="21"/>
                <w:lang w:bidi="ar"/>
              </w:rPr>
              <w:t>显示屏尺寸≥14英寸</w:t>
            </w:r>
            <w:r>
              <w:rPr>
                <w:rFonts w:hint="eastAsia" w:ascii="宋体" w:hAnsi="宋体" w:eastAsia="宋体" w:cs="宋体"/>
                <w:szCs w:val="21"/>
              </w:rPr>
              <w:t>。</w:t>
            </w:r>
          </w:p>
          <w:p w14:paraId="7A5C04F6">
            <w:pPr>
              <w:adjustRightInd w:val="0"/>
              <w:spacing w:line="288" w:lineRule="auto"/>
              <w:ind w:firstLine="420"/>
              <w:rPr>
                <w:rFonts w:hint="eastAsia" w:ascii="宋体" w:hAnsi="宋体" w:eastAsia="宋体" w:cs="宋体"/>
                <w:szCs w:val="21"/>
              </w:rPr>
            </w:pPr>
            <w:r>
              <w:rPr>
                <w:rFonts w:hint="eastAsia" w:ascii="宋体" w:hAnsi="宋体" w:eastAsia="宋体" w:cs="宋体"/>
                <w:szCs w:val="21"/>
              </w:rPr>
              <w:t>第二，所有音视频和记录日志均应按日期和时间自动排序，并保存在预设的位置。操作面板应支持序贯分析，能够分析特定行为发生时，该行为的前后行为发生的频率。</w:t>
            </w:r>
          </w:p>
          <w:p w14:paraId="373749B4">
            <w:pPr>
              <w:adjustRightInd w:val="0"/>
              <w:spacing w:line="288" w:lineRule="auto"/>
              <w:ind w:firstLine="420"/>
              <w:rPr>
                <w:rFonts w:hint="eastAsia" w:ascii="宋体" w:hAnsi="宋体" w:eastAsia="宋体" w:cs="宋体"/>
                <w:szCs w:val="21"/>
              </w:rPr>
            </w:pPr>
            <w:r>
              <w:rPr>
                <w:rFonts w:hint="eastAsia" w:ascii="宋体" w:hAnsi="宋体" w:eastAsia="宋体" w:cs="宋体"/>
                <w:szCs w:val="21"/>
              </w:rPr>
              <w:t>第三，操作面板应支持可靠性分析，包括内部检验和外部检验。操作面板应能够在单一项目中添加</w:t>
            </w:r>
            <w:r>
              <w:rPr>
                <w:rFonts w:hint="eastAsia" w:ascii="宋体" w:hAnsi="宋体" w:eastAsia="宋体" w:cs="宋体"/>
                <w:szCs w:val="21"/>
                <w:lang w:eastAsia="zh"/>
              </w:rPr>
              <w:t>不少于90</w:t>
            </w:r>
            <w:r>
              <w:rPr>
                <w:rFonts w:hint="eastAsia" w:ascii="宋体" w:hAnsi="宋体" w:eastAsia="宋体" w:cs="宋体"/>
                <w:szCs w:val="21"/>
              </w:rPr>
              <w:t>个独立的变量进行精准的行为描述。</w:t>
            </w:r>
          </w:p>
          <w:p w14:paraId="5F134D70">
            <w:pPr>
              <w:adjustRightInd w:val="0"/>
              <w:spacing w:line="288" w:lineRule="auto"/>
              <w:ind w:firstLine="422"/>
              <w:rPr>
                <w:rFonts w:hint="eastAsia" w:ascii="宋体" w:hAnsi="宋体" w:eastAsia="宋体" w:cs="宋体"/>
                <w:b/>
                <w:szCs w:val="21"/>
              </w:rPr>
            </w:pPr>
            <w:r>
              <w:rPr>
                <w:rFonts w:hint="eastAsia" w:ascii="宋体" w:hAnsi="宋体" w:eastAsia="宋体" w:cs="宋体"/>
                <w:b/>
                <w:szCs w:val="21"/>
              </w:rPr>
              <w:t>（4）便携式防震航空箱（1套）</w:t>
            </w:r>
          </w:p>
          <w:p w14:paraId="028EB3BC">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第一，便携式防震航空箱应采用高强度聚碳酸酯材料制造，箱体厚度不少于3毫米，确保设备在运输过程中不受损坏。</w:t>
            </w:r>
          </w:p>
          <w:p w14:paraId="3791D1F2">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第二，箱子应具备良好的密封性能，</w:t>
            </w:r>
            <w:r>
              <w:rPr>
                <w:rFonts w:hint="eastAsia" w:ascii="宋体" w:hAnsi="宋体" w:eastAsia="宋体" w:cs="宋体"/>
                <w:szCs w:val="21"/>
                <w:lang w:eastAsia="zh"/>
              </w:rPr>
              <w:t>防护等级不低于</w:t>
            </w:r>
            <w:r>
              <w:rPr>
                <w:rFonts w:hint="eastAsia" w:ascii="宋体" w:hAnsi="宋体" w:eastAsia="宋体" w:cs="宋体"/>
                <w:szCs w:val="21"/>
              </w:rPr>
              <w:t>IP67，防止水和灰尘进入。</w:t>
            </w:r>
          </w:p>
          <w:p w14:paraId="702FEF8E">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第三，箱子内部应设计有定制的EVA泡沫隔层，能够根据设备形状定制，固定和保护设备免受冲击。</w:t>
            </w:r>
          </w:p>
          <w:p w14:paraId="7A0605BB">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第四，箱子应配备坚固的手柄和可伸缩拉杆，手柄应采用抗压材料，并且拉杆承重能力不少于20公斤。</w:t>
            </w:r>
          </w:p>
          <w:p w14:paraId="5416CD8B">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第五，箱子应具有双排滚轮设计，确保在平坦的地面上顺畅移动，并且滚轮应具备耐磨特性。</w:t>
            </w:r>
          </w:p>
          <w:p w14:paraId="09D83C05">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第六，箱子应提供足够的空间，内部空间应满足存放至少1台便携式工作站，至少1台视频采集设备及组件电源等，并且能够轻松打开和关闭，配备高强度锁具。</w:t>
            </w:r>
          </w:p>
        </w:tc>
        <w:tc>
          <w:tcPr>
            <w:tcW w:w="304" w:type="pct"/>
            <w:vAlign w:val="center"/>
          </w:tcPr>
          <w:p w14:paraId="47833C38">
            <w:pPr>
              <w:spacing w:line="288" w:lineRule="auto"/>
              <w:jc w:val="center"/>
              <w:rPr>
                <w:rFonts w:hint="eastAsia" w:ascii="宋体" w:hAnsi="宋体" w:eastAsia="宋体" w:cs="宋体"/>
                <w:szCs w:val="21"/>
              </w:rPr>
            </w:pPr>
            <w:r>
              <w:rPr>
                <w:rFonts w:hint="eastAsia" w:ascii="宋体" w:hAnsi="宋体" w:eastAsia="宋体" w:cs="宋体"/>
                <w:szCs w:val="21"/>
              </w:rPr>
              <w:t>1套</w:t>
            </w:r>
          </w:p>
        </w:tc>
      </w:tr>
      <w:tr w14:paraId="1CB1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6849A83E">
            <w:pPr>
              <w:spacing w:line="288" w:lineRule="auto"/>
              <w:jc w:val="center"/>
              <w:rPr>
                <w:rFonts w:hint="eastAsia" w:ascii="宋体" w:hAnsi="宋体" w:eastAsia="宋体" w:cs="宋体"/>
                <w:szCs w:val="21"/>
              </w:rPr>
            </w:pPr>
            <w:r>
              <w:rPr>
                <w:rFonts w:hint="eastAsia" w:ascii="宋体" w:hAnsi="宋体" w:eastAsia="宋体" w:cs="宋体"/>
                <w:szCs w:val="21"/>
              </w:rPr>
              <w:t>3</w:t>
            </w:r>
          </w:p>
        </w:tc>
        <w:tc>
          <w:tcPr>
            <w:tcW w:w="491" w:type="pct"/>
            <w:shd w:val="clear" w:color="auto" w:fill="auto"/>
            <w:vAlign w:val="center"/>
          </w:tcPr>
          <w:p w14:paraId="6CC837C0">
            <w:pPr>
              <w:spacing w:line="288" w:lineRule="auto"/>
              <w:jc w:val="center"/>
              <w:rPr>
                <w:rFonts w:hint="eastAsia" w:ascii="宋体" w:hAnsi="宋体" w:eastAsia="宋体" w:cs="宋体"/>
                <w:szCs w:val="21"/>
              </w:rPr>
            </w:pPr>
            <w:r>
              <w:rPr>
                <w:rFonts w:hint="eastAsia" w:ascii="宋体" w:hAnsi="宋体" w:eastAsia="宋体" w:cs="宋体"/>
                <w:szCs w:val="21"/>
                <w:lang w:bidi="ar"/>
              </w:rPr>
              <w:t>视觉动态追踪系统</w:t>
            </w:r>
          </w:p>
        </w:tc>
        <w:tc>
          <w:tcPr>
            <w:tcW w:w="3930" w:type="pct"/>
            <w:vAlign w:val="center"/>
          </w:tcPr>
          <w:p w14:paraId="580FA9CC">
            <w:pPr>
              <w:adjustRightInd w:val="0"/>
              <w:spacing w:line="288" w:lineRule="auto"/>
              <w:ind w:firstLine="420"/>
              <w:rPr>
                <w:rFonts w:hint="eastAsia" w:ascii="宋体" w:hAnsi="宋体" w:eastAsia="宋体" w:cs="宋体"/>
                <w:bCs/>
                <w:szCs w:val="21"/>
              </w:rPr>
            </w:pPr>
            <w:r>
              <w:rPr>
                <w:rFonts w:hint="eastAsia" w:ascii="宋体" w:hAnsi="宋体" w:eastAsia="宋体" w:cs="宋体"/>
                <w:bCs/>
                <w:szCs w:val="21"/>
              </w:rPr>
              <w:t>功能要求：可以测量呈现在任何面板上的刺激，如显示器，投影，或真实物体，提供一个对被试的无干扰数据采集方案，具有但不限于便携性、兼容性等性能。</w:t>
            </w:r>
          </w:p>
          <w:p w14:paraId="6BF1EA6C">
            <w:pPr>
              <w:adjustRightInd w:val="0"/>
              <w:spacing w:line="288" w:lineRule="auto"/>
              <w:ind w:firstLine="420"/>
              <w:rPr>
                <w:rFonts w:hint="eastAsia" w:ascii="宋体" w:hAnsi="宋体" w:eastAsia="宋体" w:cs="宋体"/>
                <w:bCs/>
                <w:szCs w:val="21"/>
              </w:rPr>
            </w:pPr>
            <w:r>
              <w:rPr>
                <w:rFonts w:hint="eastAsia" w:ascii="宋体" w:hAnsi="宋体" w:eastAsia="宋体" w:cs="宋体"/>
                <w:bCs/>
                <w:szCs w:val="21"/>
              </w:rPr>
              <w:t>通过硬件的配置：能够为数据采集提供计算能力、图像处理能力和移动能力，保障视觉动态追踪系统正常运转。</w:t>
            </w:r>
          </w:p>
          <w:p w14:paraId="3ABB1FFB">
            <w:pPr>
              <w:adjustRightInd w:val="0"/>
              <w:spacing w:line="288" w:lineRule="auto"/>
              <w:ind w:firstLine="420"/>
              <w:rPr>
                <w:rFonts w:hint="eastAsia" w:ascii="宋体" w:hAnsi="宋体" w:eastAsia="宋体" w:cs="宋体"/>
                <w:bCs/>
                <w:szCs w:val="21"/>
                <w:lang w:eastAsia="zh"/>
              </w:rPr>
            </w:pPr>
            <w:r>
              <w:rPr>
                <w:rFonts w:hint="eastAsia" w:ascii="宋体" w:hAnsi="宋体" w:eastAsia="宋体" w:cs="宋体"/>
                <w:bCs/>
                <w:szCs w:val="21"/>
              </w:rPr>
              <w:t>具体包括但不限于以下功能模块：</w:t>
            </w:r>
          </w:p>
          <w:p w14:paraId="37C6A5A5">
            <w:pPr>
              <w:adjustRightInd w:val="0"/>
              <w:spacing w:line="288" w:lineRule="auto"/>
              <w:ind w:firstLine="422"/>
              <w:rPr>
                <w:rFonts w:hint="eastAsia" w:ascii="宋体" w:hAnsi="宋体" w:eastAsia="宋体" w:cs="宋体"/>
                <w:b/>
                <w:szCs w:val="21"/>
              </w:rPr>
            </w:pPr>
            <w:r>
              <w:rPr>
                <w:rFonts w:hint="eastAsia" w:ascii="宋体" w:hAnsi="宋体" w:eastAsia="宋体" w:cs="宋体"/>
                <w:b/>
                <w:szCs w:val="21"/>
              </w:rPr>
              <w:t>（1）头部穿戴式模块</w:t>
            </w:r>
          </w:p>
          <w:p w14:paraId="5ACD6D07">
            <w:pPr>
              <w:spacing w:line="288" w:lineRule="auto"/>
              <w:ind w:firstLine="420"/>
              <w:rPr>
                <w:rFonts w:hint="eastAsia" w:ascii="宋体" w:hAnsi="宋体" w:eastAsia="宋体" w:cs="宋体"/>
                <w:bCs/>
                <w:szCs w:val="21"/>
              </w:rPr>
            </w:pPr>
            <w:r>
              <w:rPr>
                <w:rFonts w:hint="eastAsia" w:ascii="宋体" w:hAnsi="宋体" w:eastAsia="宋体" w:cs="宋体"/>
                <w:bCs/>
                <w:szCs w:val="21"/>
              </w:rPr>
              <w:t>第一，系统应采用轻量化眼镜式设计，眼动核心部件集成于镜片中，确保佩戴舒适且不影响被试者的自然行为表现。对称式设计，兼容各类头盔和防护装备，确保在各种环境下都能正常使用。</w:t>
            </w:r>
          </w:p>
          <w:p w14:paraId="15DC8754">
            <w:pPr>
              <w:spacing w:line="288" w:lineRule="auto"/>
              <w:ind w:firstLine="420"/>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eastAsia="zh"/>
              </w:rPr>
              <w:t>二</w:t>
            </w:r>
            <w:r>
              <w:rPr>
                <w:rFonts w:hint="eastAsia" w:ascii="宋体" w:hAnsi="宋体" w:eastAsia="宋体" w:cs="宋体"/>
                <w:szCs w:val="21"/>
              </w:rPr>
              <w:t>，配备场景摄像机，要求分辨率≥1920x1080@25fps，视野范围（对角线）≥10</w:t>
            </w:r>
            <w:r>
              <w:rPr>
                <w:rFonts w:hint="eastAsia" w:ascii="宋体" w:hAnsi="宋体" w:eastAsia="宋体" w:cs="宋体"/>
                <w:szCs w:val="21"/>
                <w:lang w:eastAsia="zh"/>
              </w:rPr>
              <w:t>0</w:t>
            </w:r>
            <w:r>
              <w:rPr>
                <w:rFonts w:hint="eastAsia" w:ascii="宋体" w:hAnsi="宋体" w:eastAsia="宋体" w:cs="宋体"/>
                <w:szCs w:val="21"/>
              </w:rPr>
              <w:t>度，确保高质量的视频录制效果。</w:t>
            </w:r>
          </w:p>
          <w:p w14:paraId="48405691">
            <w:pPr>
              <w:spacing w:line="288" w:lineRule="auto"/>
              <w:ind w:firstLine="420"/>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eastAsia="zh"/>
              </w:rPr>
              <w:t>三</w:t>
            </w:r>
            <w:r>
              <w:rPr>
                <w:rFonts w:hint="eastAsia" w:ascii="宋体" w:hAnsi="宋体" w:eastAsia="宋体" w:cs="宋体"/>
                <w:szCs w:val="21"/>
              </w:rPr>
              <w:t>，配备眼动传感器</w:t>
            </w:r>
            <w:r>
              <w:rPr>
                <w:rFonts w:hint="eastAsia" w:ascii="宋体" w:hAnsi="宋体" w:eastAsia="宋体" w:cs="宋体"/>
                <w:szCs w:val="21"/>
                <w:lang w:eastAsia="zh"/>
              </w:rPr>
              <w:t>至少</w:t>
            </w:r>
            <w:r>
              <w:rPr>
                <w:rFonts w:hint="eastAsia" w:ascii="宋体" w:hAnsi="宋体" w:eastAsia="宋体" w:cs="宋体"/>
                <w:szCs w:val="21"/>
              </w:rPr>
              <w:t>4枚，每只眼睛2枚，镜片嵌入式，确保数据采集的准确性。</w:t>
            </w:r>
          </w:p>
          <w:p w14:paraId="6745C33A">
            <w:pPr>
              <w:spacing w:line="288" w:lineRule="auto"/>
              <w:ind w:firstLine="420"/>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eastAsia="zh"/>
              </w:rPr>
              <w:t>四</w:t>
            </w:r>
            <w:r>
              <w:rPr>
                <w:rFonts w:hint="eastAsia" w:ascii="宋体" w:hAnsi="宋体" w:eastAsia="宋体" w:cs="宋体"/>
                <w:szCs w:val="21"/>
              </w:rPr>
              <w:t>，配备参照光源</w:t>
            </w:r>
            <w:r>
              <w:rPr>
                <w:rFonts w:hint="eastAsia" w:ascii="宋体" w:hAnsi="宋体" w:eastAsia="宋体" w:cs="宋体"/>
                <w:szCs w:val="21"/>
                <w:lang w:eastAsia="zh"/>
              </w:rPr>
              <w:t>至少</w:t>
            </w:r>
            <w:r>
              <w:rPr>
                <w:rFonts w:hint="eastAsia" w:ascii="宋体" w:hAnsi="宋体" w:eastAsia="宋体" w:cs="宋体"/>
                <w:szCs w:val="21"/>
              </w:rPr>
              <w:t>16枚，每只眼睛8枚，镜片嵌入式，提供充足的照明条件，以保证数据的可靠性。</w:t>
            </w:r>
          </w:p>
          <w:p w14:paraId="7A5F7E01">
            <w:pPr>
              <w:spacing w:line="288" w:lineRule="auto"/>
              <w:ind w:firstLine="420"/>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eastAsia="zh"/>
              </w:rPr>
              <w:t>五</w:t>
            </w:r>
            <w:r>
              <w:rPr>
                <w:rFonts w:hint="eastAsia" w:ascii="宋体" w:hAnsi="宋体" w:eastAsia="宋体" w:cs="宋体"/>
                <w:szCs w:val="21"/>
              </w:rPr>
              <w:t>，系统支持实时数据传输，内置3.5mm TTL同步接口，可实现TTL、TCP/IP和NTP方式的数据同步，确保数据的一致性。</w:t>
            </w:r>
          </w:p>
          <w:p w14:paraId="3C71E8D2">
            <w:pPr>
              <w:spacing w:line="288" w:lineRule="auto"/>
              <w:ind w:firstLine="420"/>
              <w:rPr>
                <w:rFonts w:hint="eastAsia" w:ascii="宋体" w:hAnsi="宋体" w:eastAsia="宋体" w:cs="宋体"/>
                <w:bCs/>
                <w:szCs w:val="21"/>
              </w:rPr>
            </w:pPr>
            <w:r>
              <w:rPr>
                <w:rFonts w:hint="eastAsia" w:ascii="宋体" w:hAnsi="宋体" w:eastAsia="宋体" w:cs="宋体"/>
                <w:bCs/>
                <w:szCs w:val="21"/>
              </w:rPr>
              <w:t>第</w:t>
            </w:r>
            <w:r>
              <w:rPr>
                <w:rFonts w:hint="eastAsia" w:ascii="宋体" w:hAnsi="宋体" w:eastAsia="宋体" w:cs="宋体"/>
                <w:bCs/>
                <w:szCs w:val="21"/>
                <w:lang w:eastAsia="zh"/>
              </w:rPr>
              <w:t>六</w:t>
            </w:r>
            <w:r>
              <w:rPr>
                <w:rFonts w:hint="eastAsia" w:ascii="宋体" w:hAnsi="宋体" w:eastAsia="宋体" w:cs="宋体"/>
                <w:bCs/>
                <w:szCs w:val="21"/>
              </w:rPr>
              <w:t>，采样率≥50Hz，确保数据采集的准确性和实时性。</w:t>
            </w:r>
          </w:p>
          <w:p w14:paraId="78FD8EE3">
            <w:pPr>
              <w:spacing w:line="288" w:lineRule="auto"/>
              <w:ind w:firstLine="420"/>
              <w:rPr>
                <w:rFonts w:hint="eastAsia" w:ascii="宋体" w:hAnsi="宋体" w:eastAsia="宋体" w:cs="宋体"/>
                <w:bCs/>
                <w:szCs w:val="21"/>
              </w:rPr>
            </w:pPr>
            <w:r>
              <w:rPr>
                <w:rFonts w:hint="eastAsia" w:ascii="宋体" w:hAnsi="宋体" w:eastAsia="宋体" w:cs="宋体"/>
                <w:bCs/>
                <w:szCs w:val="21"/>
              </w:rPr>
              <w:t>第</w:t>
            </w:r>
            <w:r>
              <w:rPr>
                <w:rFonts w:hint="eastAsia" w:ascii="宋体" w:hAnsi="宋体" w:eastAsia="宋体" w:cs="宋体"/>
                <w:bCs/>
                <w:szCs w:val="21"/>
                <w:lang w:eastAsia="zh"/>
              </w:rPr>
              <w:t>七</w:t>
            </w:r>
            <w:r>
              <w:rPr>
                <w:rFonts w:hint="eastAsia" w:ascii="宋体" w:hAnsi="宋体" w:eastAsia="宋体" w:cs="宋体"/>
                <w:bCs/>
                <w:szCs w:val="21"/>
              </w:rPr>
              <w:t>，系统采用双眼采集方式，使用暗瞳技术，实现全视域追踪，以获得更全面的眼动数据。系统具备引导式一点定标功能，自动矫正平行视差，简化校准过程。</w:t>
            </w:r>
          </w:p>
          <w:p w14:paraId="325F890F">
            <w:pPr>
              <w:spacing w:line="288" w:lineRule="auto"/>
              <w:ind w:firstLine="420"/>
              <w:rPr>
                <w:rFonts w:hint="eastAsia" w:ascii="宋体" w:hAnsi="宋体" w:eastAsia="宋体" w:cs="宋体"/>
                <w:bCs/>
                <w:szCs w:val="21"/>
              </w:rPr>
            </w:pPr>
            <w:r>
              <w:rPr>
                <w:rFonts w:hint="eastAsia" w:ascii="宋体" w:hAnsi="宋体" w:eastAsia="宋体" w:cs="宋体"/>
                <w:bCs/>
                <w:szCs w:val="21"/>
              </w:rPr>
              <w:t>第</w:t>
            </w:r>
            <w:r>
              <w:rPr>
                <w:rFonts w:hint="eastAsia" w:ascii="宋体" w:hAnsi="宋体" w:eastAsia="宋体" w:cs="宋体"/>
                <w:bCs/>
                <w:szCs w:val="21"/>
                <w:lang w:eastAsia="zh"/>
              </w:rPr>
              <w:t>八</w:t>
            </w:r>
            <w:r>
              <w:rPr>
                <w:rFonts w:hint="eastAsia" w:ascii="宋体" w:hAnsi="宋体" w:eastAsia="宋体" w:cs="宋体"/>
                <w:bCs/>
                <w:szCs w:val="21"/>
              </w:rPr>
              <w:t>，系统提供快装式视力矫正镜片组，度数范围-5dpt.到+3dpt.</w:t>
            </w:r>
            <w:r>
              <w:rPr>
                <w:rFonts w:hint="eastAsia" w:ascii="宋体" w:hAnsi="宋体" w:eastAsia="宋体" w:cs="宋体"/>
                <w:bCs/>
                <w:szCs w:val="21"/>
                <w:lang w:eastAsia="zh"/>
              </w:rPr>
              <w:t>之间</w:t>
            </w:r>
            <w:r>
              <w:rPr>
                <w:rFonts w:hint="eastAsia" w:ascii="宋体" w:hAnsi="宋体" w:eastAsia="宋体" w:cs="宋体"/>
                <w:bCs/>
                <w:szCs w:val="21"/>
              </w:rPr>
              <w:t>，</w:t>
            </w:r>
            <w:r>
              <w:rPr>
                <w:rFonts w:hint="eastAsia" w:ascii="宋体" w:hAnsi="宋体" w:eastAsia="宋体" w:cs="宋体"/>
                <w:bCs/>
                <w:szCs w:val="21"/>
                <w:lang w:eastAsia="zh"/>
              </w:rPr>
              <w:t>要求至少</w:t>
            </w:r>
            <w:r>
              <w:rPr>
                <w:rFonts w:hint="eastAsia" w:ascii="宋体" w:hAnsi="宋体" w:eastAsia="宋体" w:cs="宋体"/>
                <w:bCs/>
                <w:szCs w:val="21"/>
              </w:rPr>
              <w:t>每0.5 dpt一个梯度，左右眼可单独更换，以适应不同视力状况的被试者。</w:t>
            </w:r>
          </w:p>
          <w:p w14:paraId="1619E230">
            <w:pPr>
              <w:spacing w:line="288" w:lineRule="auto"/>
              <w:ind w:firstLine="420"/>
              <w:rPr>
                <w:rFonts w:hint="eastAsia" w:ascii="宋体" w:hAnsi="宋体" w:eastAsia="宋体" w:cs="宋体"/>
                <w:bCs/>
                <w:szCs w:val="21"/>
              </w:rPr>
            </w:pPr>
            <w:r>
              <w:rPr>
                <w:rFonts w:hint="eastAsia" w:ascii="宋体" w:hAnsi="宋体" w:eastAsia="宋体" w:cs="宋体"/>
                <w:bCs/>
                <w:szCs w:val="21"/>
              </w:rPr>
              <w:t>第</w:t>
            </w:r>
            <w:r>
              <w:rPr>
                <w:rFonts w:hint="eastAsia" w:ascii="宋体" w:hAnsi="宋体" w:eastAsia="宋体" w:cs="宋体"/>
                <w:bCs/>
                <w:szCs w:val="21"/>
                <w:lang w:eastAsia="zh"/>
              </w:rPr>
              <w:t>九</w:t>
            </w:r>
            <w:r>
              <w:rPr>
                <w:rFonts w:hint="eastAsia" w:ascii="宋体" w:hAnsi="宋体" w:eastAsia="宋体" w:cs="宋体"/>
                <w:bCs/>
                <w:szCs w:val="21"/>
              </w:rPr>
              <w:t>，采集软件</w:t>
            </w:r>
            <w:r>
              <w:rPr>
                <w:rFonts w:hint="eastAsia" w:ascii="宋体" w:hAnsi="宋体" w:eastAsia="宋体" w:cs="宋体"/>
                <w:bCs/>
                <w:szCs w:val="21"/>
                <w:lang w:eastAsia="zh"/>
              </w:rPr>
              <w:t>需要</w:t>
            </w:r>
            <w:r>
              <w:rPr>
                <w:rFonts w:hint="eastAsia" w:ascii="宋体" w:hAnsi="宋体" w:eastAsia="宋体" w:cs="宋体"/>
                <w:bCs/>
                <w:szCs w:val="21"/>
              </w:rPr>
              <w:t>支持安装在</w:t>
            </w:r>
            <w:r>
              <w:rPr>
                <w:rFonts w:hint="eastAsia" w:ascii="宋体" w:hAnsi="宋体" w:eastAsia="宋体" w:cs="宋体"/>
                <w:bCs/>
                <w:szCs w:val="21"/>
                <w:lang w:eastAsia="zh"/>
              </w:rPr>
              <w:t>主流</w:t>
            </w:r>
            <w:r>
              <w:rPr>
                <w:rFonts w:hint="eastAsia" w:ascii="宋体" w:hAnsi="宋体" w:eastAsia="宋体" w:cs="宋体"/>
                <w:bCs/>
                <w:szCs w:val="21"/>
              </w:rPr>
              <w:t>手机</w:t>
            </w:r>
            <w:r>
              <w:rPr>
                <w:rFonts w:hint="eastAsia" w:ascii="宋体" w:hAnsi="宋体" w:eastAsia="宋体" w:cs="宋体"/>
                <w:bCs/>
                <w:szCs w:val="21"/>
                <w:lang w:eastAsia="zh"/>
              </w:rPr>
              <w:t>、</w:t>
            </w:r>
            <w:r>
              <w:rPr>
                <w:rFonts w:hint="eastAsia" w:ascii="宋体" w:hAnsi="宋体" w:eastAsia="宋体" w:cs="宋体"/>
                <w:bCs/>
                <w:szCs w:val="21"/>
              </w:rPr>
              <w:t>平板</w:t>
            </w:r>
            <w:r>
              <w:rPr>
                <w:rFonts w:hint="eastAsia" w:ascii="宋体" w:hAnsi="宋体" w:eastAsia="宋体" w:cs="宋体"/>
                <w:bCs/>
                <w:szCs w:val="21"/>
                <w:lang w:eastAsia="zh"/>
              </w:rPr>
              <w:t>端以及</w:t>
            </w:r>
            <w:r>
              <w:rPr>
                <w:rFonts w:hint="eastAsia" w:ascii="宋体" w:hAnsi="宋体" w:eastAsia="宋体" w:cs="宋体"/>
                <w:bCs/>
                <w:szCs w:val="21"/>
              </w:rPr>
              <w:t>电脑</w:t>
            </w:r>
            <w:r>
              <w:rPr>
                <w:rFonts w:hint="eastAsia" w:ascii="宋体" w:hAnsi="宋体" w:eastAsia="宋体" w:cs="宋体"/>
                <w:bCs/>
                <w:szCs w:val="21"/>
                <w:lang w:eastAsia="zh"/>
              </w:rPr>
              <w:t>端</w:t>
            </w:r>
            <w:r>
              <w:rPr>
                <w:rFonts w:hint="eastAsia" w:ascii="宋体" w:hAnsi="宋体" w:eastAsia="宋体" w:cs="宋体"/>
                <w:bCs/>
                <w:szCs w:val="21"/>
              </w:rPr>
              <w:t>，支持实时查看视线位置，方便现场观察。</w:t>
            </w:r>
          </w:p>
          <w:p w14:paraId="7A0707D4">
            <w:pPr>
              <w:spacing w:line="288" w:lineRule="auto"/>
              <w:ind w:firstLine="420"/>
              <w:rPr>
                <w:rFonts w:hint="eastAsia" w:ascii="宋体" w:hAnsi="宋体" w:eastAsia="宋体" w:cs="宋体"/>
                <w:bCs/>
                <w:szCs w:val="21"/>
              </w:rPr>
            </w:pPr>
            <w:r>
              <w:rPr>
                <w:rFonts w:hint="eastAsia" w:ascii="宋体" w:hAnsi="宋体" w:eastAsia="宋体" w:cs="宋体"/>
                <w:bCs/>
                <w:szCs w:val="21"/>
              </w:rPr>
              <w:t>第</w:t>
            </w:r>
            <w:r>
              <w:rPr>
                <w:rFonts w:hint="eastAsia" w:ascii="宋体" w:hAnsi="宋体" w:eastAsia="宋体" w:cs="宋体"/>
                <w:bCs/>
                <w:szCs w:val="21"/>
                <w:lang w:eastAsia="zh"/>
              </w:rPr>
              <w:t>十</w:t>
            </w:r>
            <w:r>
              <w:rPr>
                <w:rFonts w:hint="eastAsia" w:ascii="宋体" w:hAnsi="宋体" w:eastAsia="宋体" w:cs="宋体"/>
                <w:bCs/>
                <w:szCs w:val="21"/>
              </w:rPr>
              <w:t>，系统应采用3D眼球模型结合微传感器自动补偿技术，应内置陀螺仪、加速度传感器与磁力计，用于滑移补偿与眼动行为的过滤，提高数据的可靠性，确保数据的连续性和准确性。</w:t>
            </w:r>
          </w:p>
          <w:p w14:paraId="7AC43949">
            <w:pPr>
              <w:spacing w:line="288" w:lineRule="auto"/>
              <w:ind w:firstLine="422"/>
              <w:rPr>
                <w:rFonts w:hint="eastAsia" w:ascii="宋体" w:hAnsi="宋体" w:eastAsia="宋体" w:cs="宋体"/>
                <w:b/>
                <w:bCs/>
                <w:szCs w:val="21"/>
              </w:rPr>
            </w:pPr>
            <w:r>
              <w:rPr>
                <w:rFonts w:hint="eastAsia" w:ascii="宋体" w:hAnsi="宋体" w:eastAsia="宋体" w:cs="宋体"/>
                <w:b/>
                <w:bCs/>
                <w:szCs w:val="21"/>
              </w:rPr>
              <w:t>（2）视觉动态数据分析</w:t>
            </w:r>
          </w:p>
          <w:p w14:paraId="54D6ADAA">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rPr>
              <w:t>第一，系统应支持Wi-Fi无线数据传输，实现实时观察，便于远程监控。</w:t>
            </w:r>
          </w:p>
          <w:p w14:paraId="4AD12E3F">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rPr>
              <w:t>第二，系统应内置麦克风，支持≥16位单声道录音，便于同步记录音频信息。</w:t>
            </w:r>
          </w:p>
          <w:p w14:paraId="55E7F868">
            <w:pPr>
              <w:pStyle w:val="101"/>
              <w:spacing w:line="288" w:lineRule="auto"/>
              <w:ind w:left="0" w:firstLine="422" w:firstLineChars="200"/>
              <w:rPr>
                <w:rFonts w:hint="eastAsia" w:ascii="宋体" w:hAnsi="宋体" w:cs="宋体"/>
                <w:b/>
                <w:bCs/>
                <w:sz w:val="21"/>
                <w:szCs w:val="21"/>
              </w:rPr>
            </w:pPr>
            <w:r>
              <w:rPr>
                <w:rFonts w:hint="eastAsia" w:ascii="宋体" w:hAnsi="宋体" w:cs="宋体"/>
                <w:b/>
                <w:bCs/>
                <w:sz w:val="21"/>
                <w:szCs w:val="21"/>
              </w:rPr>
              <w:t>第三，采集软件支持被试信息管理，可添加字数不限的描述和注释信息，并在记录结束后立即回放叠加了视线位置的视频，便于快速分析。</w:t>
            </w:r>
            <w:r>
              <w:rPr>
                <w:rFonts w:hint="eastAsia" w:ascii="宋体" w:hAnsi="宋体" w:cs="宋体"/>
                <w:b/>
                <w:bCs/>
                <w:sz w:val="21"/>
                <w:szCs w:val="21"/>
                <w:lang w:eastAsia="zh"/>
              </w:rPr>
              <w:t>（需要演示</w:t>
            </w:r>
            <w:r>
              <w:rPr>
                <w:rFonts w:hint="eastAsia" w:ascii="宋体" w:hAnsi="宋体" w:cs="宋体"/>
                <w:b/>
                <w:bCs/>
                <w:sz w:val="21"/>
                <w:szCs w:val="21"/>
              </w:rPr>
              <w:t>9</w:t>
            </w:r>
            <w:r>
              <w:rPr>
                <w:rFonts w:hint="eastAsia" w:ascii="宋体" w:hAnsi="宋体" w:cs="宋体"/>
                <w:b/>
                <w:bCs/>
                <w:sz w:val="21"/>
                <w:szCs w:val="21"/>
                <w:lang w:eastAsia="zh"/>
              </w:rPr>
              <w:t>）</w:t>
            </w:r>
          </w:p>
          <w:p w14:paraId="3F319F99">
            <w:pPr>
              <w:pStyle w:val="101"/>
              <w:spacing w:line="288" w:lineRule="auto"/>
              <w:ind w:left="0" w:firstLine="422" w:firstLineChars="200"/>
              <w:rPr>
                <w:rFonts w:hint="eastAsia" w:ascii="宋体" w:hAnsi="宋体" w:cs="宋体"/>
                <w:b/>
                <w:bCs/>
                <w:sz w:val="21"/>
                <w:szCs w:val="21"/>
                <w:lang w:eastAsia="zh"/>
              </w:rPr>
            </w:pPr>
            <w:r>
              <w:rPr>
                <w:rFonts w:hint="eastAsia" w:ascii="宋体" w:hAnsi="宋体" w:cs="宋体"/>
                <w:b/>
                <w:bCs/>
                <w:sz w:val="21"/>
                <w:szCs w:val="21"/>
              </w:rPr>
              <w:t>第四，系统应提供热点图、注视轨迹图、注视轨迹回放视频等可视化结果呈现与导出功能，方便后续分析。</w:t>
            </w:r>
            <w:r>
              <w:rPr>
                <w:rFonts w:hint="eastAsia" w:ascii="宋体" w:hAnsi="宋体" w:cs="宋体"/>
                <w:b/>
                <w:bCs/>
                <w:sz w:val="21"/>
                <w:szCs w:val="21"/>
                <w:lang w:eastAsia="zh"/>
              </w:rPr>
              <w:t>（需要演示</w:t>
            </w:r>
            <w:r>
              <w:rPr>
                <w:rFonts w:hint="eastAsia" w:ascii="宋体" w:hAnsi="宋体" w:cs="宋体"/>
                <w:b/>
                <w:bCs/>
                <w:sz w:val="21"/>
                <w:szCs w:val="21"/>
              </w:rPr>
              <w:t>10</w:t>
            </w:r>
            <w:r>
              <w:rPr>
                <w:rFonts w:hint="eastAsia" w:ascii="宋体" w:hAnsi="宋体" w:cs="宋体"/>
                <w:b/>
                <w:bCs/>
                <w:sz w:val="21"/>
                <w:szCs w:val="21"/>
                <w:lang w:eastAsia="zh"/>
              </w:rPr>
              <w:t>）</w:t>
            </w:r>
          </w:p>
          <w:p w14:paraId="6DC4870C">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rPr>
              <w:t>第五，系统支持将眼动数据导出至行为分析软件中进行分析，便于进一步研究。</w:t>
            </w:r>
          </w:p>
          <w:p w14:paraId="277DC8BA">
            <w:pPr>
              <w:adjustRightInd w:val="0"/>
              <w:spacing w:line="288" w:lineRule="auto"/>
              <w:ind w:firstLine="422" w:firstLineChars="200"/>
              <w:rPr>
                <w:rFonts w:hint="eastAsia" w:ascii="宋体" w:hAnsi="宋体" w:eastAsia="宋体" w:cs="宋体"/>
                <w:szCs w:val="21"/>
              </w:rPr>
            </w:pPr>
            <w:r>
              <w:rPr>
                <w:rFonts w:hint="eastAsia" w:ascii="宋体" w:hAnsi="宋体" w:eastAsia="宋体" w:cs="宋体"/>
                <w:b/>
                <w:szCs w:val="21"/>
              </w:rPr>
              <w:t>需要配备以下相关组件（包括但不限于）：</w:t>
            </w:r>
          </w:p>
          <w:p w14:paraId="1F8A5AAB">
            <w:pPr>
              <w:spacing w:line="288" w:lineRule="auto"/>
              <w:ind w:firstLine="422"/>
              <w:rPr>
                <w:rFonts w:hint="eastAsia" w:ascii="宋体" w:hAnsi="宋体" w:eastAsia="宋体" w:cs="宋体"/>
                <w:b/>
                <w:bCs/>
                <w:szCs w:val="21"/>
              </w:rPr>
            </w:pPr>
            <w:r>
              <w:rPr>
                <w:rFonts w:hint="eastAsia" w:ascii="宋体" w:hAnsi="宋体" w:eastAsia="宋体" w:cs="宋体"/>
                <w:b/>
                <w:bCs/>
                <w:szCs w:val="21"/>
              </w:rPr>
              <w:t>（1）专用便携式工作站（1台）</w:t>
            </w:r>
          </w:p>
          <w:p w14:paraId="19C51675">
            <w:pPr>
              <w:spacing w:line="288" w:lineRule="auto"/>
              <w:ind w:firstLine="420"/>
              <w:rPr>
                <w:rFonts w:hint="eastAsia" w:ascii="宋体" w:hAnsi="宋体" w:eastAsia="宋体" w:cs="宋体"/>
                <w:szCs w:val="21"/>
              </w:rPr>
            </w:pPr>
            <w:r>
              <w:rPr>
                <w:rFonts w:hint="eastAsia" w:ascii="宋体" w:hAnsi="宋体" w:eastAsia="宋体" w:cs="宋体"/>
                <w:szCs w:val="21"/>
                <w:lang w:bidi="ar"/>
              </w:rPr>
              <w:t>支持正版Windows 10及以上版本、Linux（Ubuntu、CentOS等）或</w:t>
            </w:r>
            <w:r>
              <w:rPr>
                <w:rFonts w:hint="eastAsia" w:ascii="宋体" w:hAnsi="宋体" w:eastAsia="宋体" w:cs="宋体"/>
                <w:szCs w:val="21"/>
              </w:rPr>
              <w:t>国产</w:t>
            </w:r>
            <w:r>
              <w:rPr>
                <w:rFonts w:hint="eastAsia" w:ascii="宋体" w:hAnsi="宋体" w:eastAsia="宋体" w:cs="宋体"/>
                <w:szCs w:val="21"/>
                <w:lang w:bidi="ar"/>
              </w:rPr>
              <w:t>操作系统</w:t>
            </w:r>
            <w:r>
              <w:rPr>
                <w:rFonts w:hint="eastAsia" w:ascii="宋体" w:hAnsi="宋体" w:eastAsia="宋体" w:cs="宋体"/>
                <w:szCs w:val="21"/>
              </w:rPr>
              <w:t>，处理器Intel i7 13600H及以上，内存≥16G，显卡Nivdia独立显卡3060</w:t>
            </w:r>
            <w:r>
              <w:rPr>
                <w:rFonts w:hint="eastAsia" w:ascii="宋体" w:hAnsi="宋体" w:eastAsia="宋体" w:cs="宋体"/>
                <w:szCs w:val="21"/>
                <w:lang w:eastAsia="zh"/>
              </w:rPr>
              <w:t>及</w:t>
            </w:r>
            <w:r>
              <w:rPr>
                <w:rFonts w:hint="eastAsia" w:ascii="宋体" w:hAnsi="宋体" w:eastAsia="宋体" w:cs="宋体"/>
                <w:szCs w:val="21"/>
              </w:rPr>
              <w:t>以上，屏幕刷新率≥120Hz，分辨率≥2560*1600</w:t>
            </w:r>
            <w:r>
              <w:rPr>
                <w:rFonts w:hint="eastAsia" w:ascii="宋体" w:hAnsi="宋体" w:eastAsia="宋体" w:cs="宋体"/>
                <w:szCs w:val="21"/>
                <w:lang w:eastAsia="zh"/>
              </w:rPr>
              <w:t>，</w:t>
            </w:r>
            <w:r>
              <w:rPr>
                <w:rStyle w:val="109"/>
                <w:rFonts w:hint="eastAsia" w:ascii="宋体" w:hAnsi="宋体" w:eastAsia="宋体" w:cs="宋体"/>
                <w:b w:val="0"/>
                <w:szCs w:val="21"/>
                <w:lang w:bidi="ar"/>
              </w:rPr>
              <w:t>显示屏尺寸≥14英寸</w:t>
            </w:r>
            <w:r>
              <w:rPr>
                <w:rFonts w:hint="eastAsia" w:ascii="宋体" w:hAnsi="宋体" w:eastAsia="宋体" w:cs="宋体"/>
                <w:szCs w:val="21"/>
              </w:rPr>
              <w:t>。</w:t>
            </w:r>
          </w:p>
        </w:tc>
        <w:tc>
          <w:tcPr>
            <w:tcW w:w="304" w:type="pct"/>
            <w:vAlign w:val="center"/>
          </w:tcPr>
          <w:p w14:paraId="38FB5328">
            <w:pPr>
              <w:spacing w:line="288" w:lineRule="auto"/>
              <w:jc w:val="center"/>
              <w:rPr>
                <w:rFonts w:hint="eastAsia" w:ascii="宋体" w:hAnsi="宋体" w:eastAsia="宋体" w:cs="宋体"/>
                <w:szCs w:val="21"/>
              </w:rPr>
            </w:pPr>
            <w:r>
              <w:rPr>
                <w:rFonts w:hint="eastAsia" w:ascii="宋体" w:hAnsi="宋体" w:eastAsia="宋体" w:cs="宋体"/>
                <w:szCs w:val="21"/>
              </w:rPr>
              <w:t>1套</w:t>
            </w:r>
          </w:p>
        </w:tc>
      </w:tr>
      <w:tr w14:paraId="4FBF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72935D35">
            <w:pPr>
              <w:spacing w:line="288" w:lineRule="auto"/>
              <w:jc w:val="center"/>
              <w:rPr>
                <w:rFonts w:hint="eastAsia" w:ascii="宋体" w:hAnsi="宋体" w:eastAsia="宋体" w:cs="宋体"/>
                <w:szCs w:val="21"/>
              </w:rPr>
            </w:pPr>
            <w:r>
              <w:rPr>
                <w:rFonts w:hint="eastAsia" w:ascii="宋体" w:hAnsi="宋体" w:eastAsia="宋体" w:cs="宋体"/>
                <w:szCs w:val="21"/>
              </w:rPr>
              <w:t>4</w:t>
            </w:r>
          </w:p>
        </w:tc>
        <w:tc>
          <w:tcPr>
            <w:tcW w:w="491" w:type="pct"/>
            <w:shd w:val="clear" w:color="auto" w:fill="auto"/>
            <w:vAlign w:val="center"/>
          </w:tcPr>
          <w:p w14:paraId="1A6BB9A2">
            <w:pPr>
              <w:spacing w:line="288" w:lineRule="auto"/>
              <w:jc w:val="center"/>
              <w:rPr>
                <w:rFonts w:hint="eastAsia" w:ascii="宋体" w:hAnsi="宋体" w:eastAsia="宋体" w:cs="宋体"/>
                <w:szCs w:val="21"/>
              </w:rPr>
            </w:pPr>
            <w:r>
              <w:rPr>
                <w:rFonts w:hint="eastAsia" w:ascii="宋体" w:hAnsi="宋体" w:eastAsia="宋体" w:cs="宋体"/>
                <w:szCs w:val="21"/>
                <w:lang w:bidi="ar"/>
              </w:rPr>
              <w:t>遥测式生理信号采集分析系统</w:t>
            </w:r>
          </w:p>
        </w:tc>
        <w:tc>
          <w:tcPr>
            <w:tcW w:w="3930" w:type="pct"/>
            <w:vAlign w:val="center"/>
          </w:tcPr>
          <w:p w14:paraId="31BD4D99">
            <w:pPr>
              <w:adjustRightInd w:val="0"/>
              <w:spacing w:line="288" w:lineRule="auto"/>
              <w:ind w:firstLine="420"/>
              <w:rPr>
                <w:rFonts w:hint="eastAsia" w:ascii="宋体" w:hAnsi="宋体" w:eastAsia="宋体" w:cs="宋体"/>
                <w:spacing w:val="4"/>
                <w:szCs w:val="21"/>
                <w:shd w:val="clear" w:color="auto" w:fill="FFFFFF"/>
              </w:rPr>
            </w:pPr>
            <w:r>
              <w:rPr>
                <w:rFonts w:hint="eastAsia" w:ascii="宋体" w:hAnsi="宋体" w:eastAsia="宋体" w:cs="宋体"/>
                <w:spacing w:val="4"/>
                <w:szCs w:val="21"/>
                <w:shd w:val="clear" w:color="auto" w:fill="FFFFFF"/>
              </w:rPr>
              <w:t>功能要求：可以支持采集并分析感知觉、注意、工作记忆、决策过程、社会认知、情绪与认知等各种心理过程及其脑机制，具有但不限于数据采集、数据分析、数据网络储存等功能。</w:t>
            </w:r>
          </w:p>
          <w:p w14:paraId="4656C6F1">
            <w:pPr>
              <w:adjustRightInd w:val="0"/>
              <w:spacing w:line="288" w:lineRule="auto"/>
              <w:ind w:firstLine="420"/>
              <w:rPr>
                <w:rFonts w:hint="eastAsia" w:ascii="宋体" w:hAnsi="宋体" w:eastAsia="宋体" w:cs="宋体"/>
                <w:spacing w:val="4"/>
                <w:szCs w:val="21"/>
                <w:shd w:val="clear" w:color="auto" w:fill="FFFFFF"/>
              </w:rPr>
            </w:pPr>
            <w:r>
              <w:rPr>
                <w:rFonts w:hint="eastAsia" w:ascii="宋体" w:hAnsi="宋体" w:eastAsia="宋体" w:cs="宋体"/>
                <w:spacing w:val="4"/>
                <w:szCs w:val="21"/>
                <w:shd w:val="clear" w:color="auto" w:fill="FFFFFF"/>
              </w:rPr>
              <w:t>通过硬件的配置：能够提供必要的计算能力、图形处理能力、系统兼容性、可扩展性、专业软件支持、数据安全性、长期稳定运行和复杂计算支持，确保遥测式生理信号采集分析系统正常运转。</w:t>
            </w:r>
          </w:p>
          <w:p w14:paraId="0A1AD5A9">
            <w:pPr>
              <w:adjustRightInd w:val="0"/>
              <w:spacing w:line="288" w:lineRule="auto"/>
              <w:ind w:firstLine="420"/>
              <w:rPr>
                <w:rFonts w:hint="eastAsia" w:ascii="宋体" w:hAnsi="宋体" w:eastAsia="宋体" w:cs="宋体"/>
                <w:bCs/>
                <w:szCs w:val="21"/>
                <w:lang w:eastAsia="zh"/>
              </w:rPr>
            </w:pPr>
            <w:r>
              <w:rPr>
                <w:rFonts w:hint="eastAsia" w:ascii="宋体" w:hAnsi="宋体" w:eastAsia="宋体" w:cs="宋体"/>
                <w:spacing w:val="4"/>
                <w:szCs w:val="21"/>
                <w:shd w:val="clear" w:color="auto" w:fill="FFFFFF"/>
              </w:rPr>
              <w:t>具体包括但不限于以下功能模块：</w:t>
            </w:r>
          </w:p>
          <w:p w14:paraId="42835A29">
            <w:pPr>
              <w:adjustRightInd w:val="0"/>
              <w:spacing w:line="288" w:lineRule="auto"/>
              <w:ind w:firstLine="422"/>
              <w:rPr>
                <w:rFonts w:hint="eastAsia" w:ascii="宋体" w:hAnsi="宋体" w:eastAsia="宋体" w:cs="宋体"/>
                <w:b/>
                <w:szCs w:val="21"/>
              </w:rPr>
            </w:pPr>
            <w:r>
              <w:rPr>
                <w:rFonts w:hint="eastAsia" w:ascii="宋体" w:hAnsi="宋体" w:eastAsia="宋体" w:cs="宋体"/>
                <w:b/>
                <w:szCs w:val="21"/>
              </w:rPr>
              <w:t>（1）生理信号采集分析系统主机</w:t>
            </w:r>
          </w:p>
          <w:p w14:paraId="44269F5A">
            <w:pPr>
              <w:numPr>
                <w:ilvl w:val="255"/>
                <w:numId w:val="0"/>
              </w:numPr>
              <w:adjustRightInd w:val="0"/>
              <w:spacing w:line="288" w:lineRule="auto"/>
              <w:ind w:left="59" w:leftChars="28" w:firstLine="420"/>
              <w:rPr>
                <w:rFonts w:hint="eastAsia" w:ascii="宋体" w:hAnsi="宋体" w:eastAsia="宋体" w:cs="宋体"/>
                <w:szCs w:val="21"/>
              </w:rPr>
            </w:pPr>
            <w:r>
              <w:rPr>
                <w:rFonts w:hint="eastAsia" w:ascii="宋体" w:hAnsi="宋体" w:eastAsia="宋体" w:cs="宋体"/>
                <w:szCs w:val="21"/>
              </w:rPr>
              <w:t>生理信号采集分析系统主机是整个系统的中心设备，用于连接各种生物传感器，实现对人体多导生理信号的同步采集。首先，系统应支持多种生理信号的采集，包括肌电图（EMG）、心电图（ECG）、呼吸信号、皮肤电响应（GSR）等。其次，主机应内置高分辨率ADC（模数转换器），可以将采集到的模拟信号转换为数字信号，以确保数据的高精度和稳定性。再次，系统应支持在线监测、存储并分析生理信号，可以实现参数提取、统计分析等功能。此外，主机应具备数据同步功能，可以与行为观察分析系统、面部表情系统实时同步采集，并自带行为观察系统数据输出模块插件。最后，主机应可以通过数字I/O口控制其他的TTL设备，并支持联网工作，数据可以通过局域网共享到其他终端用户。</w:t>
            </w:r>
          </w:p>
          <w:p w14:paraId="18BC0BFA">
            <w:pPr>
              <w:numPr>
                <w:ilvl w:val="255"/>
                <w:numId w:val="0"/>
              </w:numPr>
              <w:adjustRightInd w:val="0"/>
              <w:spacing w:line="288" w:lineRule="auto"/>
              <w:ind w:left="59" w:leftChars="28" w:firstLine="420"/>
              <w:rPr>
                <w:rFonts w:hint="eastAsia" w:ascii="宋体" w:hAnsi="宋体" w:eastAsia="宋体" w:cs="宋体"/>
                <w:szCs w:val="21"/>
              </w:rPr>
            </w:pPr>
            <w:r>
              <w:rPr>
                <w:rFonts w:hint="eastAsia" w:ascii="宋体" w:hAnsi="宋体" w:eastAsia="宋体" w:cs="宋体"/>
                <w:b/>
                <w:szCs w:val="21"/>
              </w:rPr>
              <w:t>主机要求</w:t>
            </w:r>
            <w:r>
              <w:rPr>
                <w:rFonts w:ascii="宋体" w:hAnsi="宋体" w:eastAsia="宋体" w:cs="宋体"/>
                <w:b/>
                <w:szCs w:val="21"/>
              </w:rPr>
              <w:t>至少16个通道</w:t>
            </w:r>
            <w:r>
              <w:rPr>
                <w:rFonts w:hint="eastAsia" w:ascii="宋体" w:hAnsi="宋体" w:eastAsia="宋体" w:cs="宋体"/>
                <w:b/>
                <w:szCs w:val="21"/>
              </w:rPr>
              <w:t>用于</w:t>
            </w:r>
            <w:r>
              <w:rPr>
                <w:rFonts w:ascii="宋体" w:hAnsi="宋体" w:eastAsia="宋体" w:cs="宋体"/>
                <w:b/>
                <w:szCs w:val="21"/>
              </w:rPr>
              <w:t>模拟信号输入</w:t>
            </w:r>
            <w:r>
              <w:rPr>
                <w:rFonts w:hint="eastAsia" w:ascii="宋体" w:hAnsi="宋体" w:eastAsia="宋体" w:cs="宋体"/>
                <w:b/>
                <w:szCs w:val="21"/>
              </w:rPr>
              <w:t>和至少2个通道用于</w:t>
            </w:r>
            <w:r>
              <w:rPr>
                <w:rFonts w:ascii="宋体" w:hAnsi="宋体" w:eastAsia="宋体" w:cs="宋体"/>
                <w:b/>
                <w:szCs w:val="21"/>
              </w:rPr>
              <w:t>模拟信号</w:t>
            </w:r>
            <w:r>
              <w:rPr>
                <w:rFonts w:hint="eastAsia" w:ascii="宋体" w:hAnsi="宋体" w:eastAsia="宋体" w:cs="宋体"/>
                <w:b/>
                <w:szCs w:val="21"/>
              </w:rPr>
              <w:t>输出</w:t>
            </w:r>
            <w:r>
              <w:rPr>
                <w:rFonts w:ascii="宋体" w:hAnsi="宋体" w:eastAsia="宋体" w:cs="宋体"/>
                <w:b/>
                <w:szCs w:val="21"/>
              </w:rPr>
              <w:t>，拥有不低于16位的A/D分辨率，输入阻抗不超过1.0MΩ，适合多种应用场景</w:t>
            </w:r>
            <w:r>
              <w:rPr>
                <w:rFonts w:hint="eastAsia" w:ascii="宋体" w:hAnsi="宋体" w:eastAsia="宋体" w:cs="宋体"/>
                <w:b/>
                <w:szCs w:val="21"/>
              </w:rPr>
              <w:t>与精准操作。</w:t>
            </w:r>
          </w:p>
          <w:p w14:paraId="012425DA">
            <w:pPr>
              <w:adjustRightInd w:val="0"/>
              <w:spacing w:line="288" w:lineRule="auto"/>
              <w:ind w:left="420" w:firstLine="59" w:firstLineChars="28"/>
              <w:rPr>
                <w:rFonts w:hint="eastAsia" w:ascii="宋体" w:hAnsi="宋体" w:eastAsia="宋体" w:cs="宋体"/>
                <w:b/>
                <w:szCs w:val="21"/>
              </w:rPr>
            </w:pPr>
            <w:r>
              <w:rPr>
                <w:rFonts w:hint="eastAsia" w:ascii="宋体" w:hAnsi="宋体" w:eastAsia="宋体" w:cs="宋体"/>
                <w:b/>
                <w:szCs w:val="21"/>
              </w:rPr>
              <w:t>（2）无线双通道肌电采集通道</w:t>
            </w:r>
          </w:p>
          <w:p w14:paraId="62CCE03A">
            <w:pPr>
              <w:adjustRightInd w:val="0"/>
              <w:spacing w:line="288" w:lineRule="auto"/>
              <w:ind w:firstLine="420"/>
              <w:rPr>
                <w:rFonts w:hint="eastAsia" w:ascii="宋体" w:hAnsi="宋体" w:eastAsia="宋体" w:cs="宋体"/>
                <w:bCs/>
                <w:szCs w:val="21"/>
              </w:rPr>
            </w:pPr>
            <w:r>
              <w:rPr>
                <w:rFonts w:hint="eastAsia" w:ascii="宋体" w:hAnsi="宋体" w:eastAsia="宋体" w:cs="宋体"/>
                <w:szCs w:val="21"/>
              </w:rPr>
              <w:t>无线双通道肌电采集通道用于采集肌肉活动产生的电信号（EMG），该采集通道应支持至少两个通道的同步采集，确保可以同时记录不同部位的肌电信号。采集通道应采用无线设计，减轻被试者的负担，并且不会影响其自然行为表现。采集通道还应具备高灵敏度和抗干扰能力，从而确保数据的质量。采集通道应支持实时数据传输，并且内置3.5mm TTL同步接口，可实现TTL、TCP/IP和NTP方式的数据同步（包含但不限于）。</w:t>
            </w:r>
          </w:p>
          <w:p w14:paraId="68C30E93">
            <w:pPr>
              <w:adjustRightInd w:val="0"/>
              <w:spacing w:line="288" w:lineRule="auto"/>
              <w:ind w:left="420" w:firstLine="59" w:firstLineChars="28"/>
              <w:rPr>
                <w:rFonts w:hint="eastAsia" w:ascii="宋体" w:hAnsi="宋体" w:eastAsia="宋体" w:cs="宋体"/>
                <w:b/>
                <w:szCs w:val="21"/>
              </w:rPr>
            </w:pPr>
            <w:r>
              <w:rPr>
                <w:rFonts w:hint="eastAsia" w:ascii="宋体" w:hAnsi="宋体" w:eastAsia="宋体" w:cs="宋体"/>
                <w:b/>
                <w:szCs w:val="21"/>
              </w:rPr>
              <w:t>（3）无线呼吸与心电采集通道</w:t>
            </w:r>
          </w:p>
          <w:p w14:paraId="1E130C39">
            <w:pPr>
              <w:adjustRightInd w:val="0"/>
              <w:spacing w:line="288" w:lineRule="auto"/>
              <w:ind w:firstLine="420"/>
              <w:rPr>
                <w:rFonts w:hint="eastAsia" w:ascii="宋体" w:hAnsi="宋体" w:eastAsia="宋体" w:cs="宋体"/>
                <w:bCs/>
                <w:szCs w:val="21"/>
              </w:rPr>
            </w:pPr>
            <w:r>
              <w:rPr>
                <w:rFonts w:hint="eastAsia" w:ascii="宋体" w:hAnsi="宋体" w:eastAsia="宋体" w:cs="宋体"/>
                <w:szCs w:val="21"/>
              </w:rPr>
              <w:t>无线呼吸与心电采集通道用于同步采集呼吸信号和心电图（ECG），该采集通道应支持同时记录呼吸频率和心脏活动，为研究提供全面的生理指标。采集通道应采用无线设计，便于在不同场景下进行测试。采集通道应具备高精度和稳定性，确保数据的可靠性和一致性。采集通道应支持实时数据传输，内置3.5mm TTL同步接口，可实现TTL、TCP/IP和NTP方式的数据同步（包含但不限于）。</w:t>
            </w:r>
          </w:p>
          <w:p w14:paraId="5BC8B2FC">
            <w:pPr>
              <w:adjustRightInd w:val="0"/>
              <w:spacing w:line="288" w:lineRule="auto"/>
              <w:ind w:left="420" w:firstLine="59" w:firstLineChars="28"/>
              <w:rPr>
                <w:rFonts w:hint="eastAsia" w:ascii="宋体" w:hAnsi="宋体" w:eastAsia="宋体" w:cs="宋体"/>
                <w:b/>
                <w:szCs w:val="21"/>
              </w:rPr>
            </w:pPr>
            <w:r>
              <w:rPr>
                <w:rFonts w:hint="eastAsia" w:ascii="宋体" w:hAnsi="宋体" w:eastAsia="宋体" w:cs="宋体"/>
                <w:b/>
                <w:szCs w:val="21"/>
              </w:rPr>
              <w:t>（4）无线脉搏与皮电采集通道</w:t>
            </w:r>
          </w:p>
          <w:p w14:paraId="3D8743F1">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szCs w:val="21"/>
              </w:rPr>
              <w:t>无线脉搏与皮电采集通道用于同步采集脉搏信号和皮肤电响应（GSR），该采集通道应支持两个通道的同步采集，确保可以同时记录脉搏和皮肤电活动。采集通道应采用无线设计，方便在各种环境中使用。采集通道应具备高灵敏度和抗干扰能力，确保数据的准确性和稳定性。采集通道应支持实时数据传输，并且内置3.5mm TTL同步接口，可实现TTL、TCP/IP和NTP方式的数据同步（包含但不限于）。</w:t>
            </w:r>
          </w:p>
          <w:p w14:paraId="09463897">
            <w:pPr>
              <w:adjustRightInd w:val="0"/>
              <w:spacing w:line="288" w:lineRule="auto"/>
              <w:ind w:left="420" w:firstLine="59" w:firstLineChars="28"/>
              <w:rPr>
                <w:rFonts w:hint="eastAsia" w:ascii="宋体" w:hAnsi="宋体" w:eastAsia="宋体" w:cs="宋体"/>
                <w:b/>
                <w:szCs w:val="21"/>
              </w:rPr>
            </w:pPr>
            <w:r>
              <w:rPr>
                <w:rFonts w:hint="eastAsia" w:ascii="宋体" w:hAnsi="宋体" w:eastAsia="宋体" w:cs="宋体"/>
                <w:b/>
                <w:szCs w:val="21"/>
              </w:rPr>
              <w:t>（5）生理信号采集分析软件</w:t>
            </w:r>
          </w:p>
          <w:p w14:paraId="65F5A9A2">
            <w:pPr>
              <w:spacing w:line="288" w:lineRule="auto"/>
              <w:ind w:firstLine="420"/>
              <w:rPr>
                <w:rFonts w:hint="eastAsia" w:ascii="宋体" w:hAnsi="宋体" w:eastAsia="宋体" w:cs="宋体"/>
                <w:szCs w:val="21"/>
              </w:rPr>
            </w:pPr>
            <w:r>
              <w:rPr>
                <w:rFonts w:hint="eastAsia" w:ascii="宋体" w:hAnsi="宋体" w:eastAsia="宋体" w:cs="宋体"/>
                <w:szCs w:val="21"/>
              </w:rPr>
              <w:t>生理信号采集分析软件是用于处理和分析采集到的生理信号的专业软件，软件应支持多种生理信号的实时监测，并且可以在线存储生理信号数据。软件应具备强大的分析工具，支持参数提取、统计分析等功能，包括计算dp/dt（时间变化率）、最大值、最小值、平均值、峰值、心率、斜率、微分、积分、指数运算、对数运算、傅立叶变换、面积、偏差、标准差、绝对值、三角函数、曲线平滑、直方图等复杂运算。软件应支持至少60个通道显示，可选择外触发或内触发，以适应不同的实验设计需求。软件应支持</w:t>
            </w:r>
            <w:r>
              <w:rPr>
                <w:rFonts w:hint="eastAsia" w:ascii="宋体" w:hAnsi="宋体" w:eastAsia="宋体" w:cs="宋体"/>
                <w:szCs w:val="21"/>
                <w:lang w:bidi="ar"/>
              </w:rPr>
              <w:t>输出多种文件格式，可</w:t>
            </w:r>
            <w:r>
              <w:rPr>
                <w:rFonts w:hint="eastAsia" w:ascii="宋体" w:hAnsi="宋体" w:eastAsia="宋体" w:cs="宋体"/>
                <w:szCs w:val="21"/>
              </w:rPr>
              <w:t>将数据结果导出进行进一步的统计计算。</w:t>
            </w:r>
          </w:p>
          <w:p w14:paraId="1C798F35">
            <w:pPr>
              <w:adjustRightInd w:val="0"/>
              <w:spacing w:line="288" w:lineRule="auto"/>
              <w:ind w:firstLine="422" w:firstLineChars="200"/>
              <w:rPr>
                <w:rFonts w:hint="eastAsia" w:ascii="宋体" w:hAnsi="宋体" w:eastAsia="宋体" w:cs="宋体"/>
                <w:szCs w:val="21"/>
              </w:rPr>
            </w:pPr>
            <w:r>
              <w:rPr>
                <w:rFonts w:hint="eastAsia" w:ascii="宋体" w:hAnsi="宋体" w:eastAsia="宋体" w:cs="宋体"/>
                <w:b/>
                <w:szCs w:val="21"/>
              </w:rPr>
              <w:t>需要配备以下相关组件（包括但不限于）：</w:t>
            </w:r>
          </w:p>
          <w:p w14:paraId="7E77B88B">
            <w:pPr>
              <w:adjustRightInd w:val="0"/>
              <w:spacing w:line="288" w:lineRule="auto"/>
              <w:ind w:firstLine="422" w:firstLineChars="200"/>
              <w:rPr>
                <w:rFonts w:hint="eastAsia" w:ascii="宋体" w:hAnsi="宋体" w:eastAsia="宋体" w:cs="宋体"/>
                <w:szCs w:val="21"/>
              </w:rPr>
            </w:pPr>
            <w:r>
              <w:rPr>
                <w:rStyle w:val="109"/>
                <w:rFonts w:hint="eastAsia" w:ascii="宋体" w:hAnsi="宋体" w:eastAsia="宋体" w:cs="宋体"/>
                <w:szCs w:val="21"/>
                <w:lang w:bidi="ar"/>
              </w:rPr>
              <w:t>（1）专用台式工作站（1台）</w:t>
            </w:r>
          </w:p>
          <w:p w14:paraId="51EFB9F6">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处理器：配置不低于Intel Alder Lake系列或AMD Ryzen Threadripper系列处理器，至少16核心，以确保高负载下多任务并行处理能力。</w:t>
            </w:r>
          </w:p>
          <w:p w14:paraId="74BDE9CE">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内存：至少64GB ECC DDR4 RAM，保证大数据处理和复杂算法运行的流畅性。</w:t>
            </w:r>
          </w:p>
          <w:p w14:paraId="34BF8311">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存储：NVMe SSD系统盘，容量不低于1TB，外加至少1TB的高速固态硬盘或RAID阵列，用于存储大量实验数据和快取加速。</w:t>
            </w:r>
          </w:p>
          <w:p w14:paraId="3213E723">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显卡：NVIDIA RTX系列专业显卡，如RTX A4000或以上，支持CUDA并行计算，加速图像处理与机器学习算法的运算速度。</w:t>
            </w:r>
          </w:p>
          <w:p w14:paraId="4096F9E3">
            <w:pPr>
              <w:adjustRightInd w:val="0"/>
              <w:spacing w:line="288" w:lineRule="auto"/>
              <w:ind w:firstLine="420" w:firstLineChars="200"/>
              <w:rPr>
                <w:rFonts w:hint="eastAsia" w:ascii="宋体" w:hAnsi="宋体" w:eastAsia="宋体" w:cs="宋体"/>
                <w:bCs/>
                <w:szCs w:val="21"/>
              </w:rPr>
            </w:pPr>
            <w:r>
              <w:rPr>
                <w:rFonts w:hint="eastAsia" w:ascii="宋体" w:hAnsi="宋体" w:eastAsia="宋体" w:cs="宋体"/>
                <w:bCs/>
                <w:szCs w:val="21"/>
              </w:rPr>
              <w:t>网络交换机端口配置：至少含8个10/100/1000Mbps自适应电口，以及至少2个10G SFP+光口，支持PoE+（以太网供电）功能，以便为网络摄像头或其他IP终端设备供电。</w:t>
            </w:r>
          </w:p>
          <w:p w14:paraId="7AFD60F0">
            <w:pPr>
              <w:adjustRightInd w:val="0"/>
              <w:spacing w:line="288" w:lineRule="auto"/>
              <w:ind w:firstLine="420" w:firstLineChars="200"/>
              <w:rPr>
                <w:rFonts w:hint="eastAsia" w:ascii="宋体" w:hAnsi="宋体" w:eastAsia="宋体" w:cs="宋体"/>
                <w:szCs w:val="21"/>
                <w:lang w:bidi="ar"/>
              </w:rPr>
            </w:pPr>
            <w:r>
              <w:rPr>
                <w:rStyle w:val="109"/>
                <w:rFonts w:hint="eastAsia" w:ascii="宋体" w:hAnsi="宋体" w:eastAsia="宋体" w:cs="宋体"/>
                <w:b w:val="0"/>
                <w:bCs/>
                <w:szCs w:val="21"/>
                <w:lang w:bidi="ar"/>
              </w:rPr>
              <w:t>操作系统与软件兼容性：</w:t>
            </w:r>
            <w:r>
              <w:rPr>
                <w:rFonts w:hint="eastAsia" w:ascii="宋体" w:hAnsi="宋体" w:eastAsia="宋体" w:cs="宋体"/>
                <w:szCs w:val="21"/>
                <w:lang w:bidi="ar"/>
              </w:rPr>
              <w:t>支持正版Windows 10及以上版本、Linux（Ubuntu、CentOS等）或</w:t>
            </w:r>
            <w:r>
              <w:rPr>
                <w:rFonts w:hint="eastAsia" w:ascii="宋体" w:hAnsi="宋体" w:eastAsia="宋体" w:cs="宋体"/>
                <w:szCs w:val="21"/>
              </w:rPr>
              <w:t>国产</w:t>
            </w:r>
            <w:r>
              <w:rPr>
                <w:rFonts w:hint="eastAsia" w:ascii="宋体" w:hAnsi="宋体" w:eastAsia="宋体" w:cs="宋体"/>
                <w:szCs w:val="21"/>
                <w:lang w:bidi="ar"/>
              </w:rPr>
              <w:t>操作系统，确保与常用行为分析软件（如FaceReader、OpenFace等）及深度学习框架（TensorFlow、PyTorch）的兼容性。</w:t>
            </w:r>
          </w:p>
          <w:p w14:paraId="657CD178">
            <w:pPr>
              <w:adjustRightInd w:val="0"/>
              <w:spacing w:line="288" w:lineRule="auto"/>
              <w:ind w:firstLine="420" w:firstLineChars="200"/>
              <w:rPr>
                <w:rFonts w:hint="eastAsia" w:ascii="宋体" w:hAnsi="宋体" w:eastAsia="宋体" w:cs="宋体"/>
                <w:szCs w:val="21"/>
              </w:rPr>
            </w:pPr>
            <w:r>
              <w:rPr>
                <w:rStyle w:val="109"/>
                <w:rFonts w:hint="eastAsia" w:ascii="宋体" w:hAnsi="宋体" w:eastAsia="宋体" w:cs="宋体"/>
                <w:b w:val="0"/>
                <w:szCs w:val="21"/>
                <w:lang w:bidi="ar"/>
              </w:rPr>
              <w:t>显示屏：尺寸≥27寸，分辨率≥1920x1080高清显示屏，IPS面板，刷新率≥60Hz，至少包含HDMI, DisplayPort，以及USB-C接口以适应不同设备连接。</w:t>
            </w:r>
          </w:p>
        </w:tc>
        <w:tc>
          <w:tcPr>
            <w:tcW w:w="304" w:type="pct"/>
            <w:vAlign w:val="center"/>
          </w:tcPr>
          <w:p w14:paraId="007CD339">
            <w:pPr>
              <w:spacing w:line="288" w:lineRule="auto"/>
              <w:jc w:val="center"/>
              <w:rPr>
                <w:rFonts w:hint="eastAsia" w:ascii="宋体" w:hAnsi="宋体" w:eastAsia="宋体" w:cs="宋体"/>
                <w:szCs w:val="21"/>
              </w:rPr>
            </w:pPr>
            <w:r>
              <w:rPr>
                <w:rFonts w:hint="eastAsia" w:ascii="宋体" w:hAnsi="宋体" w:eastAsia="宋体" w:cs="宋体"/>
                <w:szCs w:val="21"/>
              </w:rPr>
              <w:t>1套</w:t>
            </w:r>
          </w:p>
        </w:tc>
      </w:tr>
      <w:bookmarkEnd w:id="42"/>
    </w:tbl>
    <w:p w14:paraId="0CC2D08A">
      <w:pPr>
        <w:adjustRightInd w:val="0"/>
        <w:snapToGrid w:val="0"/>
        <w:spacing w:line="288" w:lineRule="auto"/>
        <w:rPr>
          <w:rFonts w:hint="eastAsia" w:ascii="宋体" w:hAnsi="宋体" w:eastAsia="宋体" w:cs="Times New Roman"/>
          <w:b/>
          <w:bCs/>
          <w:szCs w:val="21"/>
        </w:rPr>
      </w:pPr>
    </w:p>
    <w:p w14:paraId="28C6F8A7">
      <w:pPr>
        <w:adjustRightInd w:val="0"/>
        <w:snapToGrid w:val="0"/>
        <w:spacing w:line="288" w:lineRule="auto"/>
        <w:rPr>
          <w:rFonts w:hint="eastAsia" w:ascii="宋体" w:hAnsi="宋体" w:eastAsia="宋体" w:cs="Times New Roman"/>
          <w:b/>
          <w:bCs/>
          <w:szCs w:val="21"/>
        </w:rPr>
      </w:pPr>
    </w:p>
    <w:p w14:paraId="743DF32F">
      <w:pPr>
        <w:rPr>
          <w:rFonts w:hint="eastAsia" w:ascii="宋体" w:hAnsi="宋体" w:eastAsia="宋体" w:cs="Times New Roman"/>
          <w:b/>
          <w:bCs/>
          <w:spacing w:val="-4"/>
          <w:szCs w:val="21"/>
        </w:rPr>
      </w:pPr>
      <w:r>
        <w:rPr>
          <w:rFonts w:hint="eastAsia" w:ascii="宋体" w:hAnsi="宋体" w:eastAsia="宋体" w:cs="Times New Roman"/>
          <w:b/>
          <w:bCs/>
          <w:spacing w:val="-4"/>
          <w:szCs w:val="21"/>
        </w:rPr>
        <w:br w:type="page"/>
      </w:r>
    </w:p>
    <w:p w14:paraId="07A74E16">
      <w:pPr>
        <w:adjustRightInd w:val="0"/>
        <w:snapToGrid w:val="0"/>
        <w:spacing w:line="288" w:lineRule="auto"/>
        <w:outlineLvl w:val="2"/>
        <w:rPr>
          <w:rFonts w:hint="eastAsia" w:ascii="宋体" w:hAnsi="宋体" w:eastAsia="宋体" w:cs="Times New Roman"/>
          <w:b/>
          <w:bCs/>
          <w:spacing w:val="-4"/>
          <w:szCs w:val="21"/>
        </w:rPr>
      </w:pPr>
      <w:r>
        <w:rPr>
          <w:rFonts w:hint="eastAsia" w:ascii="宋体" w:hAnsi="宋体" w:eastAsia="宋体" w:cs="Times New Roman"/>
          <w:b/>
          <w:bCs/>
          <w:spacing w:val="-4"/>
          <w:szCs w:val="21"/>
        </w:rPr>
        <w:t>标项二：</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45"/>
        <w:gridCol w:w="7270"/>
        <w:gridCol w:w="786"/>
      </w:tblGrid>
      <w:tr w14:paraId="7733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vAlign w:val="center"/>
          </w:tcPr>
          <w:p w14:paraId="386B46C8">
            <w:pPr>
              <w:spacing w:line="288" w:lineRule="auto"/>
              <w:jc w:val="center"/>
              <w:rPr>
                <w:rFonts w:hint="eastAsia" w:ascii="宋体" w:hAnsi="宋体" w:eastAsia="宋体" w:cs="宋体"/>
                <w:szCs w:val="21"/>
              </w:rPr>
            </w:pPr>
            <w:r>
              <w:rPr>
                <w:rFonts w:hint="eastAsia" w:ascii="宋体" w:hAnsi="宋体" w:eastAsia="宋体" w:cs="宋体"/>
                <w:b/>
                <w:szCs w:val="21"/>
              </w:rPr>
              <w:t>序号</w:t>
            </w:r>
          </w:p>
        </w:tc>
        <w:tc>
          <w:tcPr>
            <w:tcW w:w="595" w:type="pct"/>
            <w:vAlign w:val="center"/>
          </w:tcPr>
          <w:p w14:paraId="0687479E">
            <w:pPr>
              <w:spacing w:line="288" w:lineRule="auto"/>
              <w:jc w:val="center"/>
              <w:rPr>
                <w:rFonts w:hint="eastAsia" w:ascii="宋体" w:hAnsi="宋体" w:eastAsia="宋体" w:cs="宋体"/>
                <w:szCs w:val="21"/>
              </w:rPr>
            </w:pPr>
            <w:r>
              <w:rPr>
                <w:rFonts w:hint="eastAsia" w:ascii="宋体" w:hAnsi="宋体" w:eastAsia="宋体" w:cs="宋体"/>
                <w:b/>
                <w:szCs w:val="21"/>
              </w:rPr>
              <w:t>货物名称</w:t>
            </w:r>
          </w:p>
        </w:tc>
        <w:tc>
          <w:tcPr>
            <w:tcW w:w="3774" w:type="pct"/>
            <w:vAlign w:val="center"/>
          </w:tcPr>
          <w:p w14:paraId="0ED32D87">
            <w:pPr>
              <w:spacing w:line="288" w:lineRule="auto"/>
              <w:ind w:firstLine="422" w:firstLineChars="200"/>
              <w:jc w:val="center"/>
              <w:rPr>
                <w:rFonts w:hint="eastAsia" w:ascii="宋体" w:hAnsi="宋体" w:eastAsia="宋体" w:cs="宋体"/>
                <w:szCs w:val="21"/>
              </w:rPr>
            </w:pPr>
            <w:r>
              <w:rPr>
                <w:rFonts w:hint="eastAsia" w:ascii="宋体" w:hAnsi="宋体" w:eastAsia="宋体" w:cs="宋体"/>
                <w:b/>
                <w:szCs w:val="21"/>
              </w:rPr>
              <w:t>货物的技术参数及具体配置等</w:t>
            </w:r>
          </w:p>
        </w:tc>
        <w:tc>
          <w:tcPr>
            <w:tcW w:w="408" w:type="pct"/>
            <w:vAlign w:val="center"/>
          </w:tcPr>
          <w:p w14:paraId="56863F33">
            <w:pPr>
              <w:spacing w:line="288" w:lineRule="auto"/>
              <w:jc w:val="center"/>
              <w:rPr>
                <w:rFonts w:hint="eastAsia" w:ascii="宋体" w:hAnsi="宋体" w:eastAsia="宋体" w:cs="宋体"/>
                <w:szCs w:val="21"/>
                <w:highlight w:val="yellow"/>
              </w:rPr>
            </w:pPr>
            <w:r>
              <w:rPr>
                <w:rFonts w:hint="eastAsia" w:ascii="宋体" w:hAnsi="宋体" w:eastAsia="宋体" w:cs="宋体"/>
                <w:b/>
                <w:szCs w:val="21"/>
              </w:rPr>
              <w:t>数量</w:t>
            </w:r>
          </w:p>
        </w:tc>
      </w:tr>
      <w:tr w14:paraId="3B1F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vAlign w:val="center"/>
          </w:tcPr>
          <w:p w14:paraId="0CC2FB71">
            <w:pPr>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595" w:type="pct"/>
            <w:vAlign w:val="center"/>
          </w:tcPr>
          <w:p w14:paraId="2F34C2D8">
            <w:pPr>
              <w:pStyle w:val="101"/>
              <w:spacing w:line="288" w:lineRule="auto"/>
              <w:ind w:left="0"/>
              <w:jc w:val="center"/>
              <w:rPr>
                <w:rFonts w:hint="eastAsia" w:ascii="宋体" w:hAnsi="宋体" w:cs="宋体"/>
                <w:sz w:val="21"/>
                <w:szCs w:val="21"/>
              </w:rPr>
            </w:pPr>
            <w:r>
              <w:rPr>
                <w:rFonts w:hint="eastAsia" w:ascii="宋体" w:hAnsi="宋体" w:cs="宋体"/>
                <w:sz w:val="21"/>
                <w:szCs w:val="21"/>
              </w:rPr>
              <w:t>共同富裕数据采集系统</w:t>
            </w:r>
          </w:p>
        </w:tc>
        <w:tc>
          <w:tcPr>
            <w:tcW w:w="3774" w:type="pct"/>
            <w:vAlign w:val="center"/>
          </w:tcPr>
          <w:p w14:paraId="16239311">
            <w:pPr>
              <w:spacing w:line="288" w:lineRule="auto"/>
              <w:ind w:firstLine="420" w:firstLineChars="200"/>
              <w:rPr>
                <w:rFonts w:hint="eastAsia" w:ascii="宋体" w:hAnsi="宋体" w:eastAsia="宋体" w:cs="宋体"/>
                <w:szCs w:val="21"/>
                <w:lang w:eastAsia="zh"/>
              </w:rPr>
            </w:pPr>
            <w:r>
              <w:rPr>
                <w:rFonts w:hint="eastAsia" w:ascii="宋体" w:hAnsi="宋体" w:eastAsia="宋体" w:cs="宋体"/>
                <w:szCs w:val="21"/>
                <w:lang w:eastAsia="zh"/>
              </w:rPr>
              <w:t>功能要求：可以为支持共同富裕指数可视化、共同富裕相关数据分析、开放共享、梳理共同富裕政策标准分类体系、支持利用所采集的数据开展社区合作、教育以及产业转化等提供协作共用的方案，具有但不限于系统的功能涵盖数据资源目录管理、数据归集、数据治理、数据挖掘分析及共享服务等功能，可助力区域协调发展、收入分配优化及政策创新。</w:t>
            </w:r>
          </w:p>
          <w:p w14:paraId="6DCDA84C">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eastAsia="zh"/>
              </w:rPr>
              <w:t>具体包括但不限于以下功能模块：</w:t>
            </w:r>
          </w:p>
          <w:p w14:paraId="05BE6380">
            <w:pPr>
              <w:pStyle w:val="101"/>
              <w:spacing w:line="288" w:lineRule="auto"/>
              <w:ind w:left="0" w:firstLine="422" w:firstLineChars="200"/>
              <w:jc w:val="left"/>
              <w:rPr>
                <w:rFonts w:hint="eastAsia" w:ascii="宋体" w:hAnsi="宋体" w:cs="宋体"/>
                <w:b/>
                <w:bCs/>
                <w:sz w:val="21"/>
                <w:szCs w:val="21"/>
              </w:rPr>
            </w:pPr>
            <w:r>
              <w:rPr>
                <w:rFonts w:hint="eastAsia" w:ascii="宋体" w:hAnsi="宋体" w:cs="宋体"/>
                <w:b/>
                <w:bCs/>
                <w:sz w:val="21"/>
                <w:szCs w:val="21"/>
                <w:lang w:eastAsia="zh"/>
              </w:rPr>
              <w:t>（1）</w:t>
            </w:r>
            <w:r>
              <w:rPr>
                <w:rFonts w:hint="eastAsia" w:ascii="宋体" w:hAnsi="宋体" w:cs="宋体"/>
                <w:b/>
                <w:bCs/>
                <w:sz w:val="21"/>
                <w:szCs w:val="21"/>
              </w:rPr>
              <w:t>数据资源目录</w:t>
            </w:r>
          </w:p>
          <w:p w14:paraId="73FBCA96">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①数据编目管理</w:t>
            </w:r>
            <w:r>
              <w:rPr>
                <w:rFonts w:hint="eastAsia" w:ascii="宋体" w:hAnsi="宋体" w:cs="宋体"/>
                <w:sz w:val="21"/>
                <w:szCs w:val="21"/>
                <w:lang w:eastAsia="zh"/>
              </w:rPr>
              <w:t>应</w:t>
            </w:r>
            <w:r>
              <w:rPr>
                <w:rFonts w:hint="eastAsia" w:ascii="宋体" w:hAnsi="宋体" w:cs="宋体"/>
                <w:sz w:val="21"/>
                <w:szCs w:val="21"/>
              </w:rPr>
              <w:t xml:space="preserve">包含数据来源管理和数据分类管理两个模块。对数据仓内容依据数据类型进行多级编目，动态生成所有编目并自动刷新，实时反映数据仓变化。 </w:t>
            </w:r>
          </w:p>
          <w:p w14:paraId="1D97D953">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 xml:space="preserve">②支持按需满足数据管理要求，确保连续收集和管理与每个数据集相关的元数据。快速浏览和检索数据时，提供多维度的分类与索引结构，提升检索效率。 </w:t>
            </w:r>
          </w:p>
          <w:p w14:paraId="6579104E">
            <w:pPr>
              <w:pStyle w:val="101"/>
              <w:spacing w:line="288" w:lineRule="auto"/>
              <w:ind w:left="0" w:firstLine="422" w:firstLineChars="200"/>
              <w:jc w:val="left"/>
              <w:rPr>
                <w:rFonts w:hint="eastAsia" w:ascii="宋体" w:hAnsi="宋体" w:cs="宋体"/>
                <w:b/>
                <w:bCs/>
                <w:sz w:val="21"/>
                <w:szCs w:val="21"/>
              </w:rPr>
            </w:pPr>
            <w:r>
              <w:rPr>
                <w:rFonts w:hint="eastAsia" w:ascii="宋体" w:hAnsi="宋体" w:cs="宋体"/>
                <w:b/>
                <w:bCs/>
                <w:sz w:val="21"/>
                <w:szCs w:val="21"/>
                <w:lang w:eastAsia="zh"/>
              </w:rPr>
              <w:t>（2）</w:t>
            </w:r>
            <w:r>
              <w:rPr>
                <w:rFonts w:hint="eastAsia" w:ascii="宋体" w:hAnsi="宋体" w:cs="宋体"/>
                <w:b/>
                <w:bCs/>
                <w:sz w:val="21"/>
                <w:szCs w:val="21"/>
              </w:rPr>
              <w:t>数据归集服务</w:t>
            </w:r>
          </w:p>
          <w:p w14:paraId="7073614A">
            <w:pPr>
              <w:pStyle w:val="101"/>
              <w:spacing w:line="288" w:lineRule="auto"/>
              <w:ind w:left="0" w:firstLine="420" w:firstLineChars="200"/>
              <w:jc w:val="left"/>
              <w:rPr>
                <w:rFonts w:hint="eastAsia" w:ascii="宋体" w:hAnsi="宋体" w:cs="宋体"/>
                <w:sz w:val="21"/>
                <w:szCs w:val="21"/>
                <w:lang w:eastAsia="zh"/>
              </w:rPr>
            </w:pPr>
            <w:r>
              <w:rPr>
                <w:rFonts w:hint="eastAsia" w:ascii="宋体" w:hAnsi="宋体" w:cs="宋体"/>
                <w:sz w:val="21"/>
                <w:szCs w:val="21"/>
              </w:rPr>
              <w:t>①建设区域协调发展、收入分配制度、政策等专题数据库。主要负责被交换数据资源的采集、处理、整合、转换等处理，即从数据源抽取所需数据，经数据转换、脱敏等处理，最终按预定数据模型将数据加载到目的地；采集范围</w:t>
            </w:r>
            <w:r>
              <w:rPr>
                <w:rFonts w:hint="eastAsia" w:ascii="宋体" w:hAnsi="宋体" w:cs="宋体"/>
                <w:sz w:val="21"/>
                <w:szCs w:val="21"/>
                <w:lang w:eastAsia="zh"/>
              </w:rPr>
              <w:t>涵盖但不限于</w:t>
            </w:r>
            <w:r>
              <w:rPr>
                <w:rFonts w:hint="eastAsia" w:ascii="宋体" w:hAnsi="宋体" w:cs="宋体"/>
                <w:sz w:val="21"/>
                <w:szCs w:val="21"/>
              </w:rPr>
              <w:t>全球37个发达国家、中国各省市及浙江省区县。需确保数据来源广泛且具备一定的时效性和代表性。</w:t>
            </w:r>
            <w:r>
              <w:rPr>
                <w:rFonts w:hint="eastAsia" w:ascii="宋体" w:hAnsi="宋体" w:cs="宋体"/>
                <w:sz w:val="21"/>
                <w:szCs w:val="21"/>
                <w:lang w:eastAsia="zh"/>
              </w:rPr>
              <w:t>数据至少一周更新一次，服务周期至少三年，质保期至少三年。</w:t>
            </w:r>
          </w:p>
          <w:p w14:paraId="156855BD">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lang w:eastAsia="zh" w:bidi="ar"/>
              </w:rPr>
              <w:t>②</w:t>
            </w:r>
            <w:r>
              <w:rPr>
                <w:rFonts w:hint="eastAsia" w:ascii="宋体" w:hAnsi="宋体" w:cs="宋体"/>
                <w:sz w:val="21"/>
                <w:szCs w:val="21"/>
                <w:lang w:bidi="ar"/>
              </w:rPr>
              <w:t>共同富裕政策知识库</w:t>
            </w:r>
          </w:p>
          <w:p w14:paraId="5EADDEE4">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lang w:bidi="ar"/>
              </w:rPr>
              <w:t>政策标准分类：按照发文类型、政策主题、专题领域、面向主体等政策维度建设政策标准化分类体系，并实现政策智能分类。</w:t>
            </w:r>
          </w:p>
          <w:p w14:paraId="4F4CC99D">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lang w:bidi="ar"/>
              </w:rPr>
              <w:t>政策知识库建设：创建政策向量数据库，设计数据库的架构和模式，高效地存储和查询政策相关的知识。</w:t>
            </w:r>
          </w:p>
          <w:p w14:paraId="4FDF5E61">
            <w:pPr>
              <w:pStyle w:val="101"/>
              <w:spacing w:line="288" w:lineRule="auto"/>
              <w:ind w:left="0" w:firstLine="420" w:firstLineChars="200"/>
              <w:jc w:val="left"/>
              <w:rPr>
                <w:rFonts w:hint="eastAsia" w:ascii="宋体" w:hAnsi="宋体" w:cs="宋体"/>
                <w:sz w:val="21"/>
                <w:szCs w:val="21"/>
                <w:lang w:eastAsia="zh"/>
              </w:rPr>
            </w:pPr>
            <w:r>
              <w:rPr>
                <w:rFonts w:hint="eastAsia" w:ascii="宋体" w:hAnsi="宋体" w:cs="宋体"/>
                <w:sz w:val="21"/>
                <w:szCs w:val="21"/>
                <w:lang w:bidi="ar"/>
              </w:rPr>
              <w:t>知识库可视化管理：页面支持知识库、文档的增、删、改、查，文档上传时支持多种拆分规则，提高平台的易用性。</w:t>
            </w:r>
          </w:p>
          <w:p w14:paraId="4734A0FB">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③系统需支持适配结构化、半结构化和非结构化数据源，</w:t>
            </w:r>
            <w:r>
              <w:rPr>
                <w:rFonts w:hint="eastAsia" w:ascii="宋体" w:hAnsi="宋体" w:cs="宋体"/>
                <w:sz w:val="21"/>
                <w:szCs w:val="21"/>
                <w:lang w:eastAsia="zh"/>
              </w:rPr>
              <w:t>适配常见的数据库</w:t>
            </w:r>
            <w:r>
              <w:rPr>
                <w:rFonts w:hint="eastAsia" w:ascii="宋体" w:hAnsi="宋体" w:cs="宋体"/>
                <w:sz w:val="21"/>
                <w:szCs w:val="21"/>
              </w:rPr>
              <w:t>；采集信息资源需支持多种数据源类型，确保采集到的数据可存储至共享库，按需支持不同数据模型。</w:t>
            </w:r>
          </w:p>
          <w:p w14:paraId="49108CAF">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lang w:eastAsia="zh"/>
              </w:rPr>
              <w:t>④</w:t>
            </w:r>
            <w:r>
              <w:rPr>
                <w:rFonts w:hint="eastAsia" w:ascii="宋体" w:hAnsi="宋体" w:cs="宋体"/>
                <w:sz w:val="21"/>
                <w:szCs w:val="21"/>
              </w:rPr>
              <w:t>支持触发器、数据库日志、时间戳、轮询等</w:t>
            </w:r>
            <w:r>
              <w:rPr>
                <w:rFonts w:hint="eastAsia" w:ascii="宋体" w:hAnsi="宋体" w:cs="宋体"/>
                <w:sz w:val="21"/>
                <w:szCs w:val="21"/>
                <w:lang w:eastAsia="zh"/>
              </w:rPr>
              <w:t>多种</w:t>
            </w:r>
            <w:r>
              <w:rPr>
                <w:rFonts w:hint="eastAsia" w:ascii="宋体" w:hAnsi="宋体" w:cs="宋体"/>
                <w:sz w:val="21"/>
                <w:szCs w:val="21"/>
              </w:rPr>
              <w:t>方式</w:t>
            </w:r>
            <w:r>
              <w:rPr>
                <w:rFonts w:hint="eastAsia" w:ascii="宋体" w:hAnsi="宋体" w:cs="宋体"/>
                <w:sz w:val="21"/>
                <w:szCs w:val="21"/>
                <w:lang w:eastAsia="zh"/>
              </w:rPr>
              <w:t>数据进行归集；支持</w:t>
            </w:r>
            <w:r>
              <w:rPr>
                <w:rFonts w:hint="eastAsia" w:ascii="宋体" w:hAnsi="宋体" w:cs="宋体"/>
                <w:sz w:val="21"/>
                <w:szCs w:val="21"/>
              </w:rPr>
              <w:t>数据脱敏处理，确保敏感信息在传输和处理过程中符合数据安全与隐私保护法规 。</w:t>
            </w:r>
          </w:p>
          <w:p w14:paraId="1AF1E4B3">
            <w:pPr>
              <w:pStyle w:val="101"/>
              <w:spacing w:line="288" w:lineRule="auto"/>
              <w:ind w:left="0" w:firstLine="422" w:firstLineChars="200"/>
              <w:jc w:val="left"/>
              <w:rPr>
                <w:rFonts w:hint="eastAsia" w:ascii="宋体" w:hAnsi="宋体" w:cs="宋体"/>
                <w:b/>
                <w:bCs/>
                <w:sz w:val="21"/>
                <w:szCs w:val="21"/>
              </w:rPr>
            </w:pPr>
            <w:r>
              <w:rPr>
                <w:rFonts w:hint="eastAsia" w:ascii="宋体" w:hAnsi="宋体" w:cs="宋体"/>
                <w:b/>
                <w:bCs/>
                <w:sz w:val="21"/>
                <w:szCs w:val="21"/>
                <w:lang w:eastAsia="zh"/>
              </w:rPr>
              <w:t>（3）</w:t>
            </w:r>
            <w:r>
              <w:rPr>
                <w:rFonts w:hint="eastAsia" w:ascii="宋体" w:hAnsi="宋体" w:cs="宋体"/>
                <w:b/>
                <w:bCs/>
                <w:sz w:val="21"/>
                <w:szCs w:val="21"/>
              </w:rPr>
              <w:t>数据治理服务</w:t>
            </w:r>
          </w:p>
          <w:p w14:paraId="4CDF79AC">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①</w:t>
            </w:r>
            <w:r>
              <w:rPr>
                <w:rFonts w:hint="eastAsia" w:ascii="宋体" w:hAnsi="宋体" w:cs="宋体"/>
                <w:sz w:val="21"/>
                <w:szCs w:val="21"/>
                <w:lang w:eastAsia="zh"/>
              </w:rPr>
              <w:t>支持</w:t>
            </w:r>
            <w:r>
              <w:rPr>
                <w:rFonts w:hint="eastAsia" w:ascii="宋体" w:hAnsi="宋体" w:cs="宋体"/>
                <w:sz w:val="21"/>
                <w:szCs w:val="21"/>
              </w:rPr>
              <w:t>从操作性数据基础库中提取数据，</w:t>
            </w:r>
            <w:r>
              <w:rPr>
                <w:rFonts w:hint="eastAsia" w:ascii="宋体" w:hAnsi="宋体" w:cs="宋体"/>
                <w:sz w:val="21"/>
                <w:szCs w:val="21"/>
                <w:lang w:eastAsia="zh"/>
              </w:rPr>
              <w:t>提供</w:t>
            </w:r>
            <w:r>
              <w:rPr>
                <w:rFonts w:hint="eastAsia" w:ascii="宋体" w:hAnsi="宋体" w:cs="宋体"/>
                <w:sz w:val="21"/>
                <w:szCs w:val="21"/>
              </w:rPr>
              <w:t>抽取、转换和清洗比对</w:t>
            </w:r>
            <w:r>
              <w:rPr>
                <w:rFonts w:hint="eastAsia" w:ascii="宋体" w:hAnsi="宋体" w:cs="宋体"/>
                <w:sz w:val="21"/>
                <w:szCs w:val="21"/>
                <w:lang w:eastAsia="zh"/>
              </w:rPr>
              <w:t>等</w:t>
            </w:r>
            <w:r>
              <w:rPr>
                <w:rFonts w:hint="eastAsia" w:ascii="宋体" w:hAnsi="宋体" w:cs="宋体"/>
                <w:sz w:val="21"/>
                <w:szCs w:val="21"/>
              </w:rPr>
              <w:t>功能，</w:t>
            </w:r>
            <w:r>
              <w:rPr>
                <w:rFonts w:hint="eastAsia" w:ascii="宋体" w:hAnsi="宋体" w:cs="宋体"/>
                <w:sz w:val="21"/>
                <w:szCs w:val="21"/>
                <w:lang w:eastAsia="zh"/>
              </w:rPr>
              <w:t>以</w:t>
            </w:r>
            <w:r>
              <w:rPr>
                <w:rFonts w:hint="eastAsia" w:ascii="宋体" w:hAnsi="宋体" w:cs="宋体"/>
                <w:sz w:val="21"/>
                <w:szCs w:val="21"/>
              </w:rPr>
              <w:t>实现数据的一致性</w:t>
            </w:r>
            <w:r>
              <w:rPr>
                <w:rFonts w:hint="eastAsia" w:ascii="宋体" w:hAnsi="宋体" w:cs="宋体"/>
                <w:sz w:val="21"/>
                <w:szCs w:val="21"/>
                <w:lang w:eastAsia="zh"/>
              </w:rPr>
              <w:t>与</w:t>
            </w:r>
            <w:r>
              <w:rPr>
                <w:rFonts w:hint="eastAsia" w:ascii="宋体" w:hAnsi="宋体" w:cs="宋体"/>
                <w:sz w:val="21"/>
                <w:szCs w:val="21"/>
              </w:rPr>
              <w:t>准确性</w:t>
            </w:r>
            <w:r>
              <w:rPr>
                <w:rFonts w:hint="eastAsia" w:ascii="宋体" w:hAnsi="宋体" w:cs="宋体"/>
                <w:sz w:val="21"/>
                <w:szCs w:val="21"/>
                <w:lang w:eastAsia="zh"/>
              </w:rPr>
              <w:t>，</w:t>
            </w:r>
            <w:r>
              <w:rPr>
                <w:rFonts w:hint="eastAsia" w:ascii="宋体" w:hAnsi="宋体" w:cs="宋体"/>
                <w:sz w:val="21"/>
                <w:szCs w:val="21"/>
              </w:rPr>
              <w:t>并</w:t>
            </w:r>
            <w:r>
              <w:rPr>
                <w:rFonts w:hint="eastAsia" w:ascii="宋体" w:hAnsi="宋体" w:cs="宋体"/>
                <w:sz w:val="21"/>
                <w:szCs w:val="21"/>
                <w:lang w:eastAsia="zh"/>
              </w:rPr>
              <w:t>支持将</w:t>
            </w:r>
            <w:r>
              <w:rPr>
                <w:rFonts w:hint="eastAsia" w:ascii="宋体" w:hAnsi="宋体" w:cs="宋体"/>
                <w:sz w:val="21"/>
                <w:szCs w:val="21"/>
              </w:rPr>
              <w:t>融合形成</w:t>
            </w:r>
            <w:r>
              <w:rPr>
                <w:rFonts w:hint="eastAsia" w:ascii="宋体" w:hAnsi="宋体" w:cs="宋体"/>
                <w:sz w:val="21"/>
                <w:szCs w:val="21"/>
                <w:lang w:eastAsia="zh"/>
              </w:rPr>
              <w:t>的</w:t>
            </w:r>
            <w:r>
              <w:rPr>
                <w:rFonts w:hint="eastAsia" w:ascii="宋体" w:hAnsi="宋体" w:cs="宋体"/>
                <w:sz w:val="21"/>
                <w:szCs w:val="21"/>
              </w:rPr>
              <w:t>数据间关系</w:t>
            </w:r>
            <w:r>
              <w:rPr>
                <w:rFonts w:hint="eastAsia" w:ascii="宋体" w:hAnsi="宋体" w:cs="宋体"/>
                <w:sz w:val="21"/>
                <w:szCs w:val="21"/>
                <w:lang w:eastAsia="zh"/>
              </w:rPr>
              <w:t>存储至</w:t>
            </w:r>
            <w:r>
              <w:rPr>
                <w:rFonts w:hint="eastAsia" w:ascii="宋体" w:hAnsi="宋体" w:cs="宋体"/>
                <w:sz w:val="21"/>
                <w:szCs w:val="21"/>
              </w:rPr>
              <w:t>综合数据库中</w:t>
            </w:r>
            <w:r>
              <w:rPr>
                <w:rFonts w:hint="eastAsia" w:ascii="宋体" w:hAnsi="宋体" w:cs="宋体"/>
                <w:sz w:val="21"/>
                <w:szCs w:val="21"/>
                <w:lang w:eastAsia="zh"/>
              </w:rPr>
              <w:t>；异常数据</w:t>
            </w:r>
            <w:r>
              <w:rPr>
                <w:rFonts w:hint="eastAsia" w:ascii="宋体" w:hAnsi="宋体" w:cs="宋体"/>
                <w:sz w:val="21"/>
                <w:szCs w:val="21"/>
              </w:rPr>
              <w:t>存入异常数据表并返回</w:t>
            </w:r>
            <w:r>
              <w:rPr>
                <w:rFonts w:hint="eastAsia" w:ascii="宋体" w:hAnsi="宋体" w:cs="宋体"/>
                <w:sz w:val="21"/>
                <w:szCs w:val="21"/>
                <w:lang w:eastAsia="zh"/>
              </w:rPr>
              <w:t>，供进一步核对和处理</w:t>
            </w:r>
            <w:r>
              <w:rPr>
                <w:rFonts w:hint="eastAsia" w:ascii="宋体" w:hAnsi="宋体" w:cs="宋体"/>
                <w:sz w:val="21"/>
                <w:szCs w:val="21"/>
              </w:rPr>
              <w:t>；</w:t>
            </w:r>
          </w:p>
          <w:p w14:paraId="344BA2BD">
            <w:pPr>
              <w:pStyle w:val="101"/>
              <w:spacing w:line="288" w:lineRule="auto"/>
              <w:ind w:left="0" w:firstLine="420" w:firstLineChars="200"/>
              <w:jc w:val="left"/>
              <w:rPr>
                <w:rFonts w:hint="eastAsia" w:ascii="宋体" w:hAnsi="宋体" w:cs="宋体"/>
                <w:sz w:val="21"/>
                <w:szCs w:val="21"/>
                <w:lang w:eastAsia="zh"/>
              </w:rPr>
            </w:pPr>
            <w:r>
              <w:rPr>
                <w:rFonts w:hint="eastAsia" w:ascii="宋体" w:hAnsi="宋体" w:cs="宋体"/>
                <w:sz w:val="21"/>
                <w:szCs w:val="21"/>
              </w:rPr>
              <w:t>②</w:t>
            </w:r>
            <w:r>
              <w:rPr>
                <w:rFonts w:hint="eastAsia" w:ascii="宋体" w:hAnsi="宋体" w:cs="宋体"/>
                <w:sz w:val="21"/>
                <w:szCs w:val="21"/>
                <w:lang w:eastAsia="zh"/>
              </w:rPr>
              <w:t>支持</w:t>
            </w:r>
            <w:r>
              <w:rPr>
                <w:rFonts w:hint="eastAsia" w:ascii="宋体" w:hAnsi="宋体" w:cs="宋体"/>
                <w:sz w:val="21"/>
                <w:szCs w:val="21"/>
              </w:rPr>
              <w:t>数据</w:t>
            </w:r>
            <w:r>
              <w:rPr>
                <w:rFonts w:hint="eastAsia" w:ascii="宋体" w:hAnsi="宋体" w:cs="宋体"/>
                <w:sz w:val="21"/>
                <w:szCs w:val="21"/>
                <w:lang w:eastAsia="zh"/>
              </w:rPr>
              <w:t>的</w:t>
            </w:r>
            <w:r>
              <w:rPr>
                <w:rFonts w:hint="eastAsia" w:ascii="宋体" w:hAnsi="宋体" w:cs="宋体"/>
                <w:sz w:val="21"/>
                <w:szCs w:val="21"/>
              </w:rPr>
              <w:t>质量化、规范化、关系化、结构化处理，</w:t>
            </w:r>
            <w:r>
              <w:rPr>
                <w:rFonts w:hint="eastAsia" w:ascii="宋体" w:hAnsi="宋体" w:cs="宋体"/>
                <w:sz w:val="21"/>
                <w:szCs w:val="21"/>
                <w:lang w:eastAsia="zh"/>
              </w:rPr>
              <w:t>确保</w:t>
            </w:r>
            <w:r>
              <w:rPr>
                <w:rFonts w:hint="eastAsia" w:ascii="宋体" w:hAnsi="宋体" w:cs="宋体"/>
                <w:sz w:val="21"/>
                <w:szCs w:val="21"/>
              </w:rPr>
              <w:t>数据主外键关系、直接业务关系、类与类之间的关系、主题关系的</w:t>
            </w:r>
            <w:r>
              <w:rPr>
                <w:rFonts w:hint="eastAsia" w:ascii="宋体" w:hAnsi="宋体" w:cs="宋体"/>
                <w:sz w:val="21"/>
                <w:szCs w:val="21"/>
                <w:lang w:eastAsia="zh"/>
              </w:rPr>
              <w:t>准确构建；支持标准化的综合数据库、面向主题的专题库建设，确保在数据重构过程中对数据质量与规范性的全程控制，及时处理资源变更引发的相关数据变动。</w:t>
            </w:r>
          </w:p>
          <w:p w14:paraId="54AEEBAD">
            <w:pPr>
              <w:pStyle w:val="101"/>
              <w:spacing w:line="288" w:lineRule="auto"/>
              <w:ind w:left="0" w:firstLine="422" w:firstLineChars="200"/>
              <w:jc w:val="left"/>
              <w:rPr>
                <w:rFonts w:hint="eastAsia" w:ascii="宋体" w:hAnsi="宋体" w:cs="宋体"/>
                <w:b/>
                <w:bCs/>
                <w:sz w:val="21"/>
                <w:szCs w:val="21"/>
              </w:rPr>
            </w:pPr>
            <w:r>
              <w:rPr>
                <w:rFonts w:hint="eastAsia" w:ascii="宋体" w:hAnsi="宋体" w:cs="宋体"/>
                <w:b/>
                <w:bCs/>
                <w:sz w:val="21"/>
                <w:szCs w:val="21"/>
                <w:lang w:eastAsia="zh"/>
              </w:rPr>
              <w:t>（4）</w:t>
            </w:r>
            <w:r>
              <w:rPr>
                <w:rFonts w:hint="eastAsia" w:ascii="宋体" w:hAnsi="宋体" w:cs="宋体"/>
                <w:b/>
                <w:bCs/>
                <w:sz w:val="21"/>
                <w:szCs w:val="21"/>
              </w:rPr>
              <w:t>数据仓分层建设</w:t>
            </w:r>
          </w:p>
          <w:p w14:paraId="55941C78">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①支持海量数据的存储和管理，</w:t>
            </w:r>
            <w:r>
              <w:rPr>
                <w:rFonts w:hint="eastAsia" w:ascii="宋体" w:hAnsi="宋体" w:cs="宋体"/>
                <w:sz w:val="21"/>
                <w:szCs w:val="21"/>
                <w:lang w:eastAsia="zh"/>
              </w:rPr>
              <w:t>支持</w:t>
            </w:r>
            <w:r>
              <w:rPr>
                <w:rFonts w:hint="eastAsia" w:ascii="宋体" w:hAnsi="宋体" w:cs="宋体"/>
                <w:sz w:val="21"/>
                <w:szCs w:val="21"/>
              </w:rPr>
              <w:t xml:space="preserve">库内进行大量统计分析和多表关联运算，确保高并发访问和即时查询能力，能够支撑各业务部门的数据分析需求。 </w:t>
            </w:r>
          </w:p>
          <w:p w14:paraId="2E151285">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②数据仓是面向主题、集成、相对稳定、随时间不断变化的数据集合，数据仓面向主题用以在统一的数据模型基础上提炼数据分析结果和价值及支持经营管理中的决策制定过程；</w:t>
            </w:r>
          </w:p>
          <w:p w14:paraId="79743382">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③在保证数据架构稳定性及可扩展性前提下，数据仓需采用分层架构，包括采集层、存储层、分析层及应用层。采集层负责数据接入，存储层进行数据整合与持久化，分析层支持数据挖掘与建模，应用层提供高效的查询和决策支持。通过分层架构，实现数据仓对数据架构的稳定性及可扩展性的要求，推动多场景快速落地，充分发挥数据资产价值。</w:t>
            </w:r>
          </w:p>
          <w:p w14:paraId="79E8EF18">
            <w:pPr>
              <w:pStyle w:val="101"/>
              <w:spacing w:line="288" w:lineRule="auto"/>
              <w:ind w:left="0" w:firstLine="422" w:firstLineChars="200"/>
              <w:jc w:val="left"/>
              <w:rPr>
                <w:rFonts w:hint="eastAsia" w:ascii="宋体" w:hAnsi="宋体" w:cs="宋体"/>
                <w:b/>
                <w:bCs/>
                <w:sz w:val="21"/>
                <w:szCs w:val="21"/>
              </w:rPr>
            </w:pPr>
            <w:r>
              <w:rPr>
                <w:rFonts w:hint="eastAsia" w:ascii="宋体" w:hAnsi="宋体" w:cs="宋体"/>
                <w:b/>
                <w:bCs/>
                <w:sz w:val="21"/>
                <w:szCs w:val="21"/>
                <w:lang w:eastAsia="zh"/>
              </w:rPr>
              <w:t>（5）</w:t>
            </w:r>
            <w:r>
              <w:rPr>
                <w:rFonts w:hint="eastAsia" w:ascii="宋体" w:hAnsi="宋体" w:cs="宋体"/>
                <w:b/>
                <w:bCs/>
                <w:sz w:val="21"/>
                <w:szCs w:val="21"/>
              </w:rPr>
              <w:t>数据仓建设标准</w:t>
            </w:r>
          </w:p>
          <w:p w14:paraId="78296912">
            <w:pPr>
              <w:pStyle w:val="101"/>
              <w:spacing w:line="288" w:lineRule="auto"/>
              <w:ind w:left="0" w:firstLine="420" w:firstLineChars="200"/>
              <w:jc w:val="left"/>
              <w:rPr>
                <w:rFonts w:hint="eastAsia" w:ascii="宋体" w:hAnsi="宋体" w:cs="宋体"/>
                <w:sz w:val="21"/>
                <w:szCs w:val="21"/>
              </w:rPr>
            </w:pPr>
            <w:r>
              <w:rPr>
                <w:rFonts w:hint="eastAsia" w:ascii="宋体" w:hAnsi="宋体" w:cs="宋体"/>
                <w:sz w:val="21"/>
                <w:szCs w:val="21"/>
              </w:rPr>
              <w:t>基于数据仓建设已有的标准规范，结合实际情况，在此基础上建立共同富裕数据标准体系用于指导后续数据仓建设。确保数据模型统一、数据质量可控，并支持灵活扩展。</w:t>
            </w:r>
          </w:p>
          <w:p w14:paraId="67B0D365">
            <w:pPr>
              <w:pStyle w:val="101"/>
              <w:spacing w:line="288" w:lineRule="auto"/>
              <w:ind w:left="0" w:firstLine="422" w:firstLineChars="200"/>
              <w:jc w:val="left"/>
              <w:rPr>
                <w:rFonts w:hint="eastAsia" w:ascii="宋体" w:hAnsi="宋体" w:cs="宋体"/>
                <w:sz w:val="21"/>
                <w:szCs w:val="21"/>
              </w:rPr>
            </w:pPr>
            <w:r>
              <w:rPr>
                <w:rFonts w:hint="eastAsia" w:ascii="宋体" w:hAnsi="宋体" w:cs="宋体"/>
                <w:b/>
                <w:bCs/>
                <w:sz w:val="21"/>
                <w:szCs w:val="21"/>
                <w:lang w:eastAsia="zh"/>
              </w:rPr>
              <w:t>（6）</w:t>
            </w:r>
            <w:r>
              <w:rPr>
                <w:rFonts w:hint="eastAsia" w:ascii="宋体" w:hAnsi="宋体" w:cs="宋体"/>
                <w:b/>
                <w:bCs/>
                <w:sz w:val="21"/>
                <w:szCs w:val="21"/>
              </w:rPr>
              <w:t>数据挖掘分析</w:t>
            </w:r>
          </w:p>
          <w:p w14:paraId="05AAAD46">
            <w:pPr>
              <w:pStyle w:val="101"/>
              <w:numPr>
                <w:ilvl w:val="255"/>
                <w:numId w:val="0"/>
              </w:numPr>
              <w:spacing w:line="288" w:lineRule="auto"/>
              <w:ind w:firstLine="420" w:firstLineChars="200"/>
              <w:jc w:val="left"/>
              <w:rPr>
                <w:rFonts w:hint="eastAsia" w:ascii="宋体" w:hAnsi="宋体" w:cs="宋体"/>
                <w:sz w:val="21"/>
                <w:szCs w:val="21"/>
              </w:rPr>
            </w:pPr>
            <w:r>
              <w:rPr>
                <w:rFonts w:hint="eastAsia" w:ascii="宋体" w:hAnsi="宋体" w:cs="宋体"/>
                <w:sz w:val="21"/>
                <w:szCs w:val="21"/>
              </w:rPr>
              <w:t>实现</w:t>
            </w:r>
            <w:r>
              <w:rPr>
                <w:rFonts w:hint="eastAsia" w:ascii="宋体" w:hAnsi="宋体" w:cs="宋体"/>
                <w:sz w:val="21"/>
                <w:szCs w:val="21"/>
                <w:lang w:eastAsia="zh"/>
              </w:rPr>
              <w:t>对</w:t>
            </w:r>
            <w:r>
              <w:rPr>
                <w:rFonts w:hint="eastAsia" w:ascii="宋体" w:hAnsi="宋体" w:cs="宋体"/>
                <w:sz w:val="21"/>
                <w:szCs w:val="21"/>
              </w:rPr>
              <w:t>采集数据的时间、区域等多维度的对比分析，支持回归分析、聚类分析等常见数据挖掘方法。需支持基于机器学习和深度学习的模型构建，提供预测分析、模式识别等高级数据挖掘功能。</w:t>
            </w:r>
          </w:p>
          <w:p w14:paraId="7FC61943">
            <w:pPr>
              <w:pStyle w:val="101"/>
              <w:spacing w:line="288" w:lineRule="auto"/>
              <w:ind w:left="0" w:firstLine="422" w:firstLineChars="200"/>
              <w:jc w:val="left"/>
              <w:rPr>
                <w:rFonts w:hint="eastAsia" w:ascii="宋体" w:hAnsi="宋体" w:cs="宋体"/>
                <w:sz w:val="21"/>
                <w:szCs w:val="21"/>
                <w:lang w:eastAsia="zh"/>
              </w:rPr>
            </w:pPr>
            <w:r>
              <w:rPr>
                <w:rFonts w:hint="eastAsia" w:ascii="宋体" w:hAnsi="宋体" w:cs="宋体"/>
                <w:b/>
                <w:bCs/>
                <w:sz w:val="21"/>
                <w:szCs w:val="21"/>
                <w:lang w:eastAsia="zh"/>
              </w:rPr>
              <w:t>（7）</w:t>
            </w:r>
            <w:r>
              <w:rPr>
                <w:rFonts w:hint="eastAsia" w:ascii="宋体" w:hAnsi="宋体" w:cs="宋体"/>
                <w:b/>
                <w:bCs/>
                <w:sz w:val="21"/>
                <w:szCs w:val="21"/>
              </w:rPr>
              <w:t>数据共享服务</w:t>
            </w:r>
            <w:r>
              <w:rPr>
                <w:rFonts w:hint="eastAsia" w:ascii="宋体" w:hAnsi="宋体" w:cs="宋体"/>
                <w:b/>
                <w:bCs/>
                <w:sz w:val="21"/>
                <w:szCs w:val="21"/>
                <w:lang w:eastAsia="zh"/>
              </w:rPr>
              <w:t>与数据安全</w:t>
            </w:r>
          </w:p>
          <w:p w14:paraId="6DC42070">
            <w:pPr>
              <w:pStyle w:val="101"/>
              <w:numPr>
                <w:ilvl w:val="255"/>
                <w:numId w:val="0"/>
              </w:numPr>
              <w:spacing w:line="288" w:lineRule="auto"/>
              <w:ind w:firstLine="420" w:firstLineChars="200"/>
              <w:jc w:val="left"/>
              <w:rPr>
                <w:rFonts w:hint="eastAsia" w:ascii="宋体" w:hAnsi="宋体" w:cs="宋体"/>
                <w:sz w:val="21"/>
                <w:szCs w:val="21"/>
              </w:rPr>
            </w:pPr>
            <w:r>
              <w:rPr>
                <w:rFonts w:hint="eastAsia" w:ascii="宋体" w:hAnsi="宋体" w:cs="宋体"/>
                <w:sz w:val="21"/>
                <w:szCs w:val="21"/>
                <w:lang w:eastAsia="zh"/>
              </w:rPr>
              <w:t>支持</w:t>
            </w:r>
            <w:r>
              <w:rPr>
                <w:rFonts w:hint="eastAsia" w:ascii="宋体" w:hAnsi="宋体" w:cs="宋体"/>
                <w:sz w:val="21"/>
                <w:szCs w:val="21"/>
              </w:rPr>
              <w:t>采集数据的接口共享、库表共享、文件共享。为确保数据安全性，系统需具备完善的访问控制和权限管理机制。数据共享过程应支持加密传输，确保数据在跨部门共享过程中安全可靠。</w:t>
            </w:r>
          </w:p>
        </w:tc>
        <w:tc>
          <w:tcPr>
            <w:tcW w:w="408" w:type="pct"/>
            <w:vAlign w:val="center"/>
          </w:tcPr>
          <w:p w14:paraId="181D67B2">
            <w:pPr>
              <w:spacing w:line="288" w:lineRule="auto"/>
              <w:jc w:val="center"/>
              <w:rPr>
                <w:rFonts w:hint="eastAsia" w:ascii="宋体" w:hAnsi="宋体" w:eastAsia="宋体" w:cs="宋体"/>
                <w:szCs w:val="21"/>
                <w:highlight w:val="yellow"/>
              </w:rPr>
            </w:pPr>
            <w:r>
              <w:rPr>
                <w:rFonts w:hint="eastAsia" w:ascii="宋体" w:hAnsi="宋体" w:eastAsia="宋体" w:cs="宋体"/>
                <w:szCs w:val="21"/>
              </w:rPr>
              <w:t>1套</w:t>
            </w:r>
          </w:p>
        </w:tc>
      </w:tr>
      <w:tr w14:paraId="5176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vAlign w:val="center"/>
          </w:tcPr>
          <w:p w14:paraId="4D147D82">
            <w:pPr>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595" w:type="pct"/>
            <w:vAlign w:val="center"/>
          </w:tcPr>
          <w:p w14:paraId="261FCEB4">
            <w:pPr>
              <w:pStyle w:val="20"/>
              <w:widowControl w:val="0"/>
              <w:spacing w:before="0" w:beforeAutospacing="0" w:after="0" w:afterAutospacing="0" w:line="288" w:lineRule="auto"/>
              <w:ind w:firstLine="0"/>
              <w:jc w:val="center"/>
              <w:rPr>
                <w:rFonts w:hint="eastAsia" w:cs="宋体"/>
                <w:sz w:val="21"/>
                <w:szCs w:val="21"/>
              </w:rPr>
            </w:pPr>
            <w:r>
              <w:rPr>
                <w:rFonts w:hint="eastAsia" w:cs="宋体"/>
                <w:b/>
                <w:bCs/>
                <w:kern w:val="2"/>
                <w:sz w:val="21"/>
                <w:szCs w:val="21"/>
                <w:lang w:eastAsia="zh" w:bidi="ar"/>
              </w:rPr>
              <w:t>“</w:t>
            </w:r>
            <w:r>
              <w:rPr>
                <w:rFonts w:hint="eastAsia" w:cs="宋体"/>
                <w:b/>
                <w:bCs/>
                <w:kern w:val="2"/>
                <w:sz w:val="21"/>
                <w:szCs w:val="21"/>
                <w:lang w:bidi="ar"/>
              </w:rPr>
              <w:t>数字+”驾驶舱平台</w:t>
            </w:r>
          </w:p>
        </w:tc>
        <w:tc>
          <w:tcPr>
            <w:tcW w:w="3774" w:type="pct"/>
            <w:vAlign w:val="center"/>
          </w:tcPr>
          <w:p w14:paraId="2D498724">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lang w:eastAsia="zh" w:bidi="ar"/>
              </w:rPr>
            </w:pPr>
            <w:r>
              <w:rPr>
                <w:rFonts w:hint="eastAsia" w:cs="宋体"/>
                <w:kern w:val="2"/>
                <w:sz w:val="21"/>
                <w:szCs w:val="21"/>
                <w:lang w:eastAsia="zh" w:bidi="ar"/>
              </w:rPr>
              <w:t>功能要求：可以为决策者，可提供即时、在线、集成化的数据可视化信息，具有但不限于共同富裕数据实时共享、数据横向贯通与纵向比较、智能预警和数据驱动决策支持等功能。</w:t>
            </w:r>
          </w:p>
          <w:p w14:paraId="78D228F2">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lang w:eastAsia="zh" w:bidi="ar"/>
              </w:rPr>
            </w:pPr>
            <w:r>
              <w:rPr>
                <w:rFonts w:hint="eastAsia" w:cs="宋体"/>
                <w:kern w:val="2"/>
                <w:sz w:val="21"/>
                <w:szCs w:val="21"/>
                <w:lang w:eastAsia="zh" w:bidi="ar"/>
              </w:rPr>
              <w:t>通过硬件配置：能够支持集中分散在各个部门的数据，保障数据的集中展示。</w:t>
            </w:r>
          </w:p>
          <w:p w14:paraId="3179C6F3">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lang w:bidi="ar"/>
              </w:rPr>
            </w:pPr>
            <w:r>
              <w:rPr>
                <w:rFonts w:hint="eastAsia" w:cs="宋体"/>
                <w:kern w:val="2"/>
                <w:sz w:val="21"/>
                <w:szCs w:val="21"/>
                <w:lang w:eastAsia="zh" w:bidi="ar"/>
              </w:rPr>
              <w:t>具体包括但不限于以下功能模块</w:t>
            </w:r>
            <w:r>
              <w:rPr>
                <w:rFonts w:hint="eastAsia" w:cs="宋体"/>
                <w:kern w:val="2"/>
                <w:sz w:val="21"/>
                <w:szCs w:val="21"/>
                <w:lang w:bidi="ar"/>
              </w:rPr>
              <w:t>：</w:t>
            </w:r>
          </w:p>
          <w:p w14:paraId="27D215A5">
            <w:pPr>
              <w:pStyle w:val="20"/>
              <w:widowControl w:val="0"/>
              <w:numPr>
                <w:ilvl w:val="255"/>
                <w:numId w:val="0"/>
              </w:numPr>
              <w:spacing w:before="0" w:beforeAutospacing="0" w:after="0" w:afterAutospacing="0" w:line="288" w:lineRule="auto"/>
              <w:ind w:firstLine="422" w:firstLineChars="200"/>
              <w:rPr>
                <w:rFonts w:hint="eastAsia" w:cs="宋体"/>
                <w:kern w:val="2"/>
                <w:sz w:val="21"/>
                <w:szCs w:val="21"/>
                <w:lang w:eastAsia="zh"/>
              </w:rPr>
            </w:pPr>
            <w:r>
              <w:rPr>
                <w:rFonts w:hint="eastAsia" w:cs="宋体"/>
                <w:b/>
                <w:bCs/>
                <w:kern w:val="2"/>
                <w:sz w:val="21"/>
                <w:szCs w:val="21"/>
                <w:lang w:eastAsia="zh" w:bidi="ar"/>
              </w:rPr>
              <w:t>（1）</w:t>
            </w:r>
            <w:r>
              <w:rPr>
                <w:rFonts w:hint="eastAsia" w:cs="宋体"/>
                <w:b/>
                <w:bCs/>
                <w:kern w:val="2"/>
                <w:sz w:val="21"/>
                <w:szCs w:val="21"/>
                <w:lang w:bidi="ar"/>
              </w:rPr>
              <w:t>前端页面开发</w:t>
            </w:r>
            <w:r>
              <w:rPr>
                <w:rFonts w:hint="eastAsia" w:cs="宋体"/>
                <w:b/>
                <w:bCs/>
                <w:kern w:val="2"/>
                <w:sz w:val="21"/>
                <w:szCs w:val="21"/>
                <w:lang w:eastAsia="zh" w:bidi="ar"/>
              </w:rPr>
              <w:t>模块</w:t>
            </w:r>
          </w:p>
          <w:p w14:paraId="41952BB7">
            <w:pPr>
              <w:pStyle w:val="20"/>
              <w:widowControl w:val="0"/>
              <w:spacing w:before="0" w:beforeAutospacing="0" w:after="0" w:afterAutospacing="0" w:line="288" w:lineRule="auto"/>
              <w:ind w:firstLineChars="200"/>
              <w:rPr>
                <w:rFonts w:hint="eastAsia" w:cs="宋体"/>
                <w:kern w:val="2"/>
                <w:sz w:val="21"/>
                <w:szCs w:val="21"/>
                <w:lang w:eastAsia="zh" w:bidi="ar"/>
              </w:rPr>
            </w:pPr>
            <w:r>
              <w:rPr>
                <w:rFonts w:hint="eastAsia" w:cs="宋体"/>
                <w:kern w:val="2"/>
                <w:sz w:val="21"/>
                <w:szCs w:val="21"/>
                <w:lang w:eastAsia="zh" w:bidi="ar"/>
              </w:rPr>
              <w:t>①核心功能展示：涵盖核心指标、共同富裕指数体系、共同富裕指标多维度对比分析、可视化地图等模块。页面设计采用高响应、低延迟标准，保障数据展示的实时性与用户体验。</w:t>
            </w:r>
          </w:p>
          <w:p w14:paraId="12BADDFB">
            <w:pPr>
              <w:pStyle w:val="20"/>
              <w:widowControl w:val="0"/>
              <w:spacing w:before="0" w:beforeAutospacing="0" w:after="0" w:afterAutospacing="0" w:line="288" w:lineRule="auto"/>
              <w:ind w:firstLineChars="200"/>
              <w:rPr>
                <w:rFonts w:hint="eastAsia" w:cs="宋体"/>
                <w:kern w:val="2"/>
                <w:sz w:val="21"/>
                <w:szCs w:val="21"/>
                <w:lang w:eastAsia="zh" w:bidi="ar"/>
              </w:rPr>
            </w:pPr>
            <w:r>
              <w:rPr>
                <w:rFonts w:hint="eastAsia" w:cs="宋体"/>
                <w:kern w:val="2"/>
                <w:sz w:val="21"/>
                <w:szCs w:val="21"/>
                <w:lang w:eastAsia="zh" w:bidi="ar"/>
              </w:rPr>
              <w:t>②自适应设计与多设备兼容：适应现今主流设备，确保页面内容自适应显示，界面交互统一，操作简便。</w:t>
            </w:r>
          </w:p>
          <w:p w14:paraId="25E29923">
            <w:pPr>
              <w:pStyle w:val="20"/>
              <w:widowControl w:val="0"/>
              <w:numPr>
                <w:ilvl w:val="255"/>
                <w:numId w:val="0"/>
              </w:numPr>
              <w:spacing w:before="0" w:beforeAutospacing="0" w:after="0" w:afterAutospacing="0" w:line="288" w:lineRule="auto"/>
              <w:ind w:firstLine="422" w:firstLineChars="200"/>
              <w:rPr>
                <w:rFonts w:hint="eastAsia" w:cs="宋体"/>
                <w:b/>
                <w:bCs/>
                <w:kern w:val="2"/>
                <w:sz w:val="21"/>
                <w:szCs w:val="21"/>
                <w:lang w:eastAsia="zh"/>
              </w:rPr>
            </w:pPr>
            <w:r>
              <w:rPr>
                <w:rFonts w:hint="eastAsia" w:cs="宋体"/>
                <w:b/>
                <w:bCs/>
                <w:kern w:val="2"/>
                <w:sz w:val="21"/>
                <w:szCs w:val="21"/>
                <w:lang w:eastAsia="zh" w:bidi="ar"/>
              </w:rPr>
              <w:t>（2）</w:t>
            </w:r>
            <w:r>
              <w:rPr>
                <w:rFonts w:hint="eastAsia" w:cs="宋体"/>
                <w:b/>
                <w:bCs/>
                <w:kern w:val="2"/>
                <w:sz w:val="21"/>
                <w:szCs w:val="21"/>
                <w:lang w:bidi="ar"/>
              </w:rPr>
              <w:t>指标建设</w:t>
            </w:r>
            <w:r>
              <w:rPr>
                <w:rFonts w:hint="eastAsia" w:cs="宋体"/>
                <w:b/>
                <w:bCs/>
                <w:kern w:val="2"/>
                <w:sz w:val="21"/>
                <w:szCs w:val="21"/>
                <w:lang w:eastAsia="zh" w:bidi="ar"/>
              </w:rPr>
              <w:t>模块</w:t>
            </w:r>
          </w:p>
          <w:p w14:paraId="01199AFA">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①</w:t>
            </w:r>
            <w:r>
              <w:rPr>
                <w:rFonts w:hint="eastAsia" w:cs="宋体"/>
                <w:kern w:val="2"/>
                <w:sz w:val="21"/>
                <w:szCs w:val="21"/>
                <w:lang w:bidi="ar"/>
              </w:rPr>
              <w:t>指标体系建设</w:t>
            </w:r>
          </w:p>
          <w:p w14:paraId="4E5B1254">
            <w:pPr>
              <w:pStyle w:val="20"/>
              <w:widowControl w:val="0"/>
              <w:spacing w:before="0" w:beforeAutospacing="0" w:after="0" w:afterAutospacing="0" w:line="288" w:lineRule="auto"/>
              <w:ind w:firstLineChars="200"/>
              <w:rPr>
                <w:rFonts w:hint="eastAsia" w:cs="宋体"/>
                <w:kern w:val="2"/>
                <w:sz w:val="21"/>
                <w:szCs w:val="21"/>
              </w:rPr>
            </w:pPr>
            <w:r>
              <w:rPr>
                <w:rFonts w:hint="eastAsia" w:cs="宋体"/>
                <w:kern w:val="2"/>
                <w:sz w:val="21"/>
                <w:szCs w:val="21"/>
                <w:lang w:bidi="ar"/>
              </w:rPr>
              <w:t>a.分类</w:t>
            </w:r>
            <w:r>
              <w:rPr>
                <w:rFonts w:hint="eastAsia" w:cs="宋体"/>
                <w:kern w:val="2"/>
                <w:sz w:val="21"/>
                <w:szCs w:val="21"/>
                <w:lang w:eastAsia="zh" w:bidi="ar"/>
              </w:rPr>
              <w:t>体系搭建：科学梳理并分类已接入的各类指标，围绕发展性、共享性、可持续性等维度构建三级指标体系，提供全方位的评价与对比体系</w:t>
            </w:r>
            <w:r>
              <w:rPr>
                <w:rFonts w:hint="eastAsia" w:cs="宋体"/>
                <w:sz w:val="21"/>
                <w:szCs w:val="21"/>
              </w:rPr>
              <w:t xml:space="preserve">。 </w:t>
            </w:r>
          </w:p>
          <w:p w14:paraId="16DB127C">
            <w:pPr>
              <w:pStyle w:val="20"/>
              <w:widowControl w:val="0"/>
              <w:spacing w:before="0" w:beforeAutospacing="0" w:after="0" w:afterAutospacing="0" w:line="288" w:lineRule="auto"/>
              <w:ind w:firstLineChars="200"/>
              <w:rPr>
                <w:rFonts w:hint="eastAsia" w:cs="宋体"/>
                <w:kern w:val="2"/>
                <w:sz w:val="21"/>
                <w:szCs w:val="21"/>
                <w:lang w:eastAsia="zh" w:bidi="ar"/>
              </w:rPr>
            </w:pPr>
            <w:r>
              <w:rPr>
                <w:rFonts w:hint="eastAsia" w:cs="宋体"/>
                <w:kern w:val="2"/>
                <w:sz w:val="21"/>
                <w:szCs w:val="21"/>
                <w:lang w:bidi="ar"/>
              </w:rPr>
              <w:t>b.指标内容整</w:t>
            </w:r>
            <w:r>
              <w:rPr>
                <w:rFonts w:hint="eastAsia" w:cs="宋体"/>
                <w:kern w:val="2"/>
                <w:sz w:val="21"/>
                <w:szCs w:val="21"/>
                <w:lang w:eastAsia="zh" w:bidi="ar"/>
              </w:rPr>
              <w:t>理：对接入指标进行统一规范化管理，包括名称、说明、计算方式、部门归属、负责人信息、更新频率等，确保数据的一致性与可追溯性。功能模块包括：指标信息管理、API配置、报警管理、同比环比分析等。</w:t>
            </w:r>
          </w:p>
          <w:p w14:paraId="6D60E88D">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②</w:t>
            </w:r>
            <w:r>
              <w:rPr>
                <w:rFonts w:hint="eastAsia" w:cs="宋体"/>
                <w:kern w:val="2"/>
                <w:sz w:val="21"/>
                <w:szCs w:val="21"/>
                <w:lang w:bidi="ar"/>
              </w:rPr>
              <w:t>系统对接和指标接入</w:t>
            </w:r>
          </w:p>
          <w:p w14:paraId="39C64A55">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lang w:eastAsia="zh" w:bidi="ar"/>
              </w:rPr>
            </w:pPr>
            <w:r>
              <w:rPr>
                <w:rFonts w:hint="eastAsia" w:cs="宋体"/>
                <w:kern w:val="2"/>
                <w:sz w:val="21"/>
                <w:szCs w:val="21"/>
                <w:lang w:eastAsia="zh" w:bidi="ar"/>
              </w:rPr>
              <w:t>a.</w:t>
            </w:r>
            <w:r>
              <w:rPr>
                <w:rFonts w:hint="eastAsia" w:cs="宋体"/>
                <w:kern w:val="2"/>
                <w:sz w:val="21"/>
                <w:szCs w:val="21"/>
                <w:lang w:bidi="ar"/>
              </w:rPr>
              <w:t>系统</w:t>
            </w:r>
            <w:r>
              <w:rPr>
                <w:rFonts w:hint="eastAsia" w:cs="宋体"/>
                <w:kern w:val="2"/>
                <w:sz w:val="21"/>
                <w:szCs w:val="21"/>
                <w:lang w:eastAsia="zh" w:bidi="ar"/>
              </w:rPr>
              <w:t>接口管理：确保已接入系统的API文档符合标准，具备清晰的版本记录及变更追踪，保障业务对接的顺利进行。</w:t>
            </w:r>
          </w:p>
          <w:p w14:paraId="071E61F2">
            <w:pPr>
              <w:pStyle w:val="20"/>
              <w:widowControl w:val="0"/>
              <w:spacing w:before="0" w:beforeAutospacing="0" w:after="0" w:afterAutospacing="0" w:line="288" w:lineRule="auto"/>
              <w:ind w:firstLineChars="200"/>
              <w:rPr>
                <w:rFonts w:hint="eastAsia" w:cs="宋体"/>
                <w:kern w:val="2"/>
                <w:sz w:val="21"/>
                <w:szCs w:val="21"/>
              </w:rPr>
            </w:pPr>
            <w:r>
              <w:rPr>
                <w:rFonts w:hint="eastAsia" w:cs="宋体"/>
                <w:kern w:val="2"/>
                <w:sz w:val="21"/>
                <w:szCs w:val="21"/>
                <w:lang w:bidi="ar"/>
              </w:rPr>
              <w:t>b.</w:t>
            </w:r>
            <w:r>
              <w:rPr>
                <w:rFonts w:hint="eastAsia" w:cs="宋体"/>
                <w:kern w:val="2"/>
                <w:sz w:val="21"/>
                <w:szCs w:val="21"/>
                <w:lang w:eastAsia="zh" w:bidi="ar"/>
              </w:rPr>
              <w:t>数据</w:t>
            </w:r>
            <w:r>
              <w:rPr>
                <w:rFonts w:hint="eastAsia" w:cs="宋体"/>
                <w:kern w:val="2"/>
                <w:sz w:val="21"/>
                <w:szCs w:val="21"/>
                <w:lang w:bidi="ar"/>
              </w:rPr>
              <w:t>对</w:t>
            </w:r>
            <w:r>
              <w:rPr>
                <w:rFonts w:hint="eastAsia" w:cs="宋体"/>
                <w:kern w:val="2"/>
                <w:sz w:val="21"/>
                <w:szCs w:val="21"/>
                <w:lang w:eastAsia="zh" w:bidi="ar"/>
              </w:rPr>
              <w:t>接协调：通过获取后台传输的消息内容，动态展示于</w:t>
            </w:r>
            <w:r>
              <w:rPr>
                <w:rFonts w:hint="eastAsia" w:cs="宋体"/>
                <w:kern w:val="2"/>
                <w:sz w:val="21"/>
                <w:szCs w:val="21"/>
                <w:lang w:bidi="ar"/>
              </w:rPr>
              <w:t>数据采集终端</w:t>
            </w:r>
            <w:r>
              <w:rPr>
                <w:rFonts w:hint="eastAsia" w:cs="宋体"/>
                <w:kern w:val="2"/>
                <w:sz w:val="21"/>
                <w:szCs w:val="21"/>
                <w:lang w:eastAsia="zh" w:bidi="ar"/>
              </w:rPr>
              <w:t>，确保驾驶舱数据的实时性与完整性。</w:t>
            </w:r>
          </w:p>
          <w:p w14:paraId="33A023D5">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③</w:t>
            </w:r>
            <w:r>
              <w:rPr>
                <w:rFonts w:hint="eastAsia" w:cs="宋体"/>
                <w:kern w:val="2"/>
                <w:sz w:val="21"/>
                <w:szCs w:val="21"/>
                <w:lang w:bidi="ar"/>
              </w:rPr>
              <w:t>指标调通和质量保障</w:t>
            </w:r>
          </w:p>
          <w:p w14:paraId="218B6E95">
            <w:pPr>
              <w:pStyle w:val="20"/>
              <w:widowControl w:val="0"/>
              <w:spacing w:before="0" w:beforeAutospacing="0" w:after="0" w:afterAutospacing="0" w:line="288" w:lineRule="auto"/>
              <w:ind w:firstLineChars="200"/>
              <w:rPr>
                <w:rFonts w:hint="eastAsia" w:cs="宋体"/>
                <w:kern w:val="2"/>
                <w:sz w:val="21"/>
                <w:szCs w:val="21"/>
                <w:lang w:eastAsia="zh" w:bidi="ar"/>
              </w:rPr>
            </w:pPr>
            <w:r>
              <w:rPr>
                <w:rFonts w:hint="eastAsia" w:cs="宋体"/>
                <w:kern w:val="2"/>
                <w:sz w:val="21"/>
                <w:szCs w:val="21"/>
                <w:lang w:eastAsia="zh" w:bidi="ar"/>
              </w:rPr>
              <w:t xml:space="preserve">a.指标调通：根据梳理结果，申请访问权限并验证接口数据的准确性。提供稳定性保障，确保系统在不同负载下的正常运行。 </w:t>
            </w:r>
          </w:p>
          <w:p w14:paraId="7D1E198D">
            <w:pPr>
              <w:pStyle w:val="20"/>
              <w:widowControl w:val="0"/>
              <w:spacing w:before="0" w:beforeAutospacing="0" w:after="0" w:afterAutospacing="0" w:line="288" w:lineRule="auto"/>
              <w:ind w:firstLineChars="200"/>
              <w:rPr>
                <w:rFonts w:hint="eastAsia" w:cs="宋体"/>
                <w:kern w:val="2"/>
                <w:sz w:val="21"/>
                <w:szCs w:val="21"/>
              </w:rPr>
            </w:pPr>
            <w:r>
              <w:rPr>
                <w:rFonts w:hint="eastAsia" w:cs="宋体"/>
                <w:kern w:val="2"/>
                <w:sz w:val="21"/>
                <w:szCs w:val="21"/>
                <w:lang w:eastAsia="zh" w:bidi="ar"/>
              </w:rPr>
              <w:t>b.智能报警系统：基于数字指标阈值配置，实现实时监控与预警，提升指标异常情况的及时处理能力。</w:t>
            </w:r>
          </w:p>
          <w:p w14:paraId="06C724BF">
            <w:pPr>
              <w:pStyle w:val="20"/>
              <w:widowControl w:val="0"/>
              <w:numPr>
                <w:ilvl w:val="255"/>
                <w:numId w:val="0"/>
              </w:numPr>
              <w:spacing w:before="0" w:beforeAutospacing="0" w:after="0" w:afterAutospacing="0" w:line="288" w:lineRule="auto"/>
              <w:ind w:firstLine="422" w:firstLineChars="200"/>
              <w:rPr>
                <w:rFonts w:hint="eastAsia" w:cs="宋体"/>
                <w:b/>
                <w:bCs/>
                <w:kern w:val="2"/>
                <w:sz w:val="21"/>
                <w:szCs w:val="21"/>
                <w:lang w:eastAsia="zh"/>
              </w:rPr>
            </w:pPr>
            <w:r>
              <w:rPr>
                <w:rFonts w:hint="eastAsia" w:cs="宋体"/>
                <w:b/>
                <w:bCs/>
                <w:kern w:val="2"/>
                <w:sz w:val="21"/>
                <w:szCs w:val="21"/>
                <w:lang w:eastAsia="zh" w:bidi="ar"/>
              </w:rPr>
              <w:t>（3）</w:t>
            </w:r>
            <w:r>
              <w:rPr>
                <w:rFonts w:hint="eastAsia" w:cs="宋体"/>
                <w:b/>
                <w:bCs/>
                <w:kern w:val="2"/>
                <w:sz w:val="21"/>
                <w:szCs w:val="21"/>
                <w:lang w:bidi="ar"/>
              </w:rPr>
              <w:t>数字驾驶舱底座能力</w:t>
            </w:r>
            <w:r>
              <w:rPr>
                <w:rFonts w:hint="eastAsia" w:cs="宋体"/>
                <w:b/>
                <w:bCs/>
                <w:kern w:val="2"/>
                <w:sz w:val="21"/>
                <w:szCs w:val="21"/>
                <w:lang w:eastAsia="zh" w:bidi="ar"/>
              </w:rPr>
              <w:t>模块</w:t>
            </w:r>
          </w:p>
          <w:p w14:paraId="20D963DE">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①</w:t>
            </w:r>
            <w:r>
              <w:rPr>
                <w:rFonts w:hint="eastAsia" w:cs="宋体"/>
                <w:kern w:val="2"/>
                <w:sz w:val="21"/>
                <w:szCs w:val="21"/>
                <w:lang w:bidi="ar"/>
              </w:rPr>
              <w:t>指标管理</w:t>
            </w:r>
            <w:r>
              <w:rPr>
                <w:rFonts w:hint="eastAsia" w:cs="宋体"/>
                <w:kern w:val="2"/>
                <w:sz w:val="21"/>
                <w:szCs w:val="21"/>
                <w:lang w:eastAsia="zh" w:bidi="ar"/>
              </w:rPr>
              <w:t>与数据治理</w:t>
            </w:r>
            <w:r>
              <w:rPr>
                <w:rFonts w:hint="eastAsia" w:cs="宋体"/>
                <w:kern w:val="2"/>
                <w:sz w:val="21"/>
                <w:szCs w:val="21"/>
                <w:lang w:bidi="ar"/>
              </w:rPr>
              <w:t>：</w:t>
            </w:r>
            <w:r>
              <w:rPr>
                <w:rFonts w:hint="eastAsia" w:cs="宋体"/>
                <w:sz w:val="21"/>
                <w:szCs w:val="21"/>
              </w:rPr>
              <w:t>提供全方位、多维度的指标管理服务，对驾驶舱内的所有指标进行</w:t>
            </w:r>
            <w:r>
              <w:rPr>
                <w:rStyle w:val="26"/>
                <w:rFonts w:hint="eastAsia" w:cs="宋体"/>
                <w:sz w:val="21"/>
                <w:szCs w:val="21"/>
              </w:rPr>
              <w:t>实时监控与管理</w:t>
            </w:r>
            <w:r>
              <w:rPr>
                <w:rFonts w:hint="eastAsia" w:cs="宋体"/>
                <w:sz w:val="21"/>
                <w:szCs w:val="21"/>
              </w:rPr>
              <w:t>。支持跨部门的</w:t>
            </w:r>
            <w:r>
              <w:rPr>
                <w:rStyle w:val="26"/>
                <w:rFonts w:hint="eastAsia" w:cs="宋体"/>
                <w:sz w:val="21"/>
                <w:szCs w:val="21"/>
              </w:rPr>
              <w:t>基础信息管理</w:t>
            </w:r>
            <w:r>
              <w:rPr>
                <w:rFonts w:hint="eastAsia" w:cs="宋体"/>
                <w:sz w:val="21"/>
                <w:szCs w:val="21"/>
              </w:rPr>
              <w:t xml:space="preserve">。 </w:t>
            </w:r>
          </w:p>
          <w:p w14:paraId="4ED90321">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②</w:t>
            </w:r>
            <w:r>
              <w:rPr>
                <w:rStyle w:val="26"/>
                <w:rFonts w:hint="eastAsia" w:cs="宋体"/>
                <w:sz w:val="21"/>
                <w:szCs w:val="21"/>
              </w:rPr>
              <w:t>可视化引擎编辑器</w:t>
            </w:r>
            <w:r>
              <w:rPr>
                <w:rFonts w:hint="eastAsia" w:cs="宋体"/>
                <w:sz w:val="21"/>
                <w:szCs w:val="21"/>
              </w:rPr>
              <w:t>：提供动态的代码编辑工具，内置多种图表模板，支持</w:t>
            </w:r>
            <w:r>
              <w:rPr>
                <w:rStyle w:val="26"/>
                <w:rFonts w:hint="eastAsia" w:cs="宋体"/>
                <w:sz w:val="21"/>
                <w:szCs w:val="21"/>
              </w:rPr>
              <w:t>可视化效果预览</w:t>
            </w:r>
            <w:r>
              <w:rPr>
                <w:rFonts w:hint="eastAsia" w:cs="宋体"/>
                <w:sz w:val="21"/>
                <w:szCs w:val="21"/>
              </w:rPr>
              <w:t xml:space="preserve">和快速数据提取，帮助运营人员灵活配置前端展示内容。 </w:t>
            </w:r>
          </w:p>
          <w:p w14:paraId="7659EDC4">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③</w:t>
            </w:r>
            <w:r>
              <w:rPr>
                <w:rFonts w:hint="eastAsia" w:cs="宋体"/>
                <w:kern w:val="2"/>
                <w:sz w:val="21"/>
                <w:szCs w:val="21"/>
                <w:lang w:bidi="ar"/>
              </w:rPr>
              <w:t>展台管理：可视化引擎模块为数字驾驶舱提供个性化的展台配置、满足灵活的前端页面展示需求</w:t>
            </w:r>
            <w:r>
              <w:rPr>
                <w:rFonts w:hint="eastAsia" w:cs="宋体"/>
                <w:kern w:val="2"/>
                <w:sz w:val="21"/>
                <w:szCs w:val="21"/>
                <w:lang w:eastAsia="zh" w:bidi="ar"/>
              </w:rPr>
              <w:t>。</w:t>
            </w:r>
          </w:p>
          <w:p w14:paraId="73035DCE">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④</w:t>
            </w:r>
            <w:r>
              <w:rPr>
                <w:rFonts w:hint="eastAsia" w:cs="宋体"/>
                <w:kern w:val="2"/>
                <w:sz w:val="21"/>
                <w:szCs w:val="21"/>
                <w:lang w:bidi="ar"/>
              </w:rPr>
              <w:t>驾驶舱低代码编辑器：</w:t>
            </w:r>
            <w:r>
              <w:rPr>
                <w:rFonts w:hint="eastAsia" w:cs="宋体"/>
                <w:sz w:val="21"/>
                <w:szCs w:val="21"/>
              </w:rPr>
              <w:t xml:space="preserve">支持图形化页面编辑，通过模块嵌套、自由组装实现快速页面搭建，满足不同业务场景需求。 </w:t>
            </w:r>
          </w:p>
          <w:p w14:paraId="63328D5D">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⑤</w:t>
            </w:r>
            <w:r>
              <w:rPr>
                <w:rFonts w:hint="eastAsia" w:cs="宋体"/>
                <w:kern w:val="2"/>
                <w:sz w:val="21"/>
                <w:szCs w:val="21"/>
                <w:lang w:bidi="ar"/>
              </w:rPr>
              <w:t>驾驶舱自动化打包：开发自动打包驾驶舱前后端服务，获取部署文件后即可按规范完成部署，实现流程更高效、效果可预览。</w:t>
            </w:r>
          </w:p>
          <w:p w14:paraId="2566076C">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⑥</w:t>
            </w:r>
            <w:r>
              <w:rPr>
                <w:rFonts w:hint="eastAsia" w:cs="宋体"/>
                <w:kern w:val="2"/>
                <w:sz w:val="21"/>
                <w:szCs w:val="21"/>
                <w:lang w:bidi="ar"/>
              </w:rPr>
              <w:t>服务健康自动巡检体系：自动化脚本管理系统能24小时关注数字驾驶舱健康状况，对指标数值异常、接口异常、驾驶舱异常等各种异常情况进行实时监控预警，对各类监控脚本进行多元化的配置和管理；</w:t>
            </w:r>
          </w:p>
          <w:p w14:paraId="56377D85">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⑦</w:t>
            </w:r>
            <w:r>
              <w:rPr>
                <w:rFonts w:hint="eastAsia" w:cs="宋体"/>
                <w:kern w:val="2"/>
                <w:sz w:val="21"/>
                <w:szCs w:val="21"/>
                <w:lang w:bidi="ar"/>
              </w:rPr>
              <w:t>数据保障体系：提供数据访问安全保障、指标数据缓存保障，确保指标数据源接口异常等情况发生时驾驶舱可以正常运行。</w:t>
            </w:r>
          </w:p>
          <w:p w14:paraId="29D73581">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⑧</w:t>
            </w:r>
            <w:r>
              <w:rPr>
                <w:rFonts w:hint="eastAsia" w:cs="宋体"/>
                <w:kern w:val="2"/>
                <w:sz w:val="21"/>
                <w:szCs w:val="21"/>
                <w:lang w:bidi="ar"/>
              </w:rPr>
              <w:t>搜索管理：用于对驾驶舱前端的搜索功能提供后台支持，包括搜索推荐指标配置和搜索关键词标签配置两部分。</w:t>
            </w:r>
          </w:p>
          <w:p w14:paraId="402C55B4">
            <w:pPr>
              <w:pStyle w:val="20"/>
              <w:widowControl w:val="0"/>
              <w:numPr>
                <w:ilvl w:val="255"/>
                <w:numId w:val="0"/>
              </w:numPr>
              <w:spacing w:before="0" w:beforeAutospacing="0" w:after="0" w:afterAutospacing="0" w:line="288" w:lineRule="auto"/>
              <w:ind w:firstLine="420" w:firstLineChars="200"/>
              <w:rPr>
                <w:rFonts w:hint="eastAsia" w:cs="宋体"/>
                <w:kern w:val="2"/>
                <w:sz w:val="21"/>
                <w:szCs w:val="21"/>
              </w:rPr>
            </w:pPr>
            <w:r>
              <w:rPr>
                <w:rFonts w:hint="eastAsia" w:cs="宋体"/>
                <w:kern w:val="2"/>
                <w:sz w:val="21"/>
                <w:szCs w:val="21"/>
                <w:lang w:eastAsia="zh" w:bidi="ar"/>
              </w:rPr>
              <w:t>⑨</w:t>
            </w:r>
            <w:r>
              <w:rPr>
                <w:rFonts w:hint="eastAsia" w:cs="宋体"/>
                <w:kern w:val="2"/>
                <w:sz w:val="21"/>
                <w:szCs w:val="21"/>
                <w:lang w:bidi="ar"/>
              </w:rPr>
              <w:t>地图服务：实现共富要素上图。</w:t>
            </w:r>
          </w:p>
          <w:p w14:paraId="7FE0AAEF">
            <w:pPr>
              <w:pStyle w:val="20"/>
              <w:widowControl w:val="0"/>
              <w:numPr>
                <w:ilvl w:val="255"/>
                <w:numId w:val="0"/>
              </w:numPr>
              <w:spacing w:before="0" w:beforeAutospacing="0" w:after="0" w:afterAutospacing="0" w:line="288" w:lineRule="auto"/>
              <w:ind w:firstLine="422" w:firstLineChars="200"/>
              <w:rPr>
                <w:rFonts w:hint="eastAsia" w:cs="宋体"/>
                <w:b/>
                <w:bCs/>
                <w:kern w:val="2"/>
                <w:sz w:val="21"/>
                <w:szCs w:val="21"/>
                <w:lang w:eastAsia="zh"/>
              </w:rPr>
            </w:pPr>
            <w:r>
              <w:rPr>
                <w:rFonts w:hint="eastAsia" w:cs="宋体"/>
                <w:b/>
                <w:bCs/>
                <w:kern w:val="2"/>
                <w:sz w:val="21"/>
                <w:szCs w:val="21"/>
                <w:lang w:eastAsia="zh" w:bidi="ar"/>
              </w:rPr>
              <w:t>（4）</w:t>
            </w:r>
            <w:r>
              <w:rPr>
                <w:rFonts w:hint="eastAsia" w:cs="宋体"/>
                <w:b/>
                <w:bCs/>
                <w:kern w:val="2"/>
                <w:sz w:val="21"/>
                <w:szCs w:val="21"/>
                <w:lang w:bidi="ar"/>
              </w:rPr>
              <w:t>数字驾驶舱AI问答</w:t>
            </w:r>
            <w:r>
              <w:rPr>
                <w:rFonts w:hint="eastAsia" w:cs="宋体"/>
                <w:b/>
                <w:bCs/>
                <w:kern w:val="2"/>
                <w:sz w:val="21"/>
                <w:szCs w:val="21"/>
                <w:lang w:eastAsia="zh" w:bidi="ar"/>
              </w:rPr>
              <w:t>模块</w:t>
            </w:r>
          </w:p>
          <w:p w14:paraId="690A9D24">
            <w:pPr>
              <w:pStyle w:val="20"/>
              <w:widowControl w:val="0"/>
              <w:spacing w:before="0" w:beforeAutospacing="0" w:after="0" w:afterAutospacing="0" w:line="288" w:lineRule="auto"/>
              <w:ind w:firstLineChars="200"/>
              <w:rPr>
                <w:rFonts w:hint="eastAsia" w:cs="宋体"/>
                <w:kern w:val="2"/>
                <w:sz w:val="21"/>
                <w:szCs w:val="21"/>
                <w:lang w:bidi="ar"/>
              </w:rPr>
            </w:pPr>
            <w:r>
              <w:rPr>
                <w:rFonts w:hint="eastAsia" w:cs="宋体"/>
                <w:kern w:val="2"/>
                <w:sz w:val="21"/>
                <w:szCs w:val="21"/>
                <w:lang w:bidi="ar"/>
              </w:rPr>
              <w:t>智能问答系统：集成先进的自然语言处理技术，根据用户的语音或文本输入提供智能化内容回复，支持深度交互和自动学习机制，提供</w:t>
            </w:r>
            <w:r>
              <w:rPr>
                <w:rFonts w:hint="eastAsia" w:cs="宋体"/>
                <w:kern w:val="2"/>
                <w:sz w:val="21"/>
                <w:szCs w:val="21"/>
                <w:lang w:eastAsia="zh" w:bidi="ar"/>
              </w:rPr>
              <w:t>智能化、</w:t>
            </w:r>
            <w:r>
              <w:rPr>
                <w:rFonts w:hint="eastAsia" w:cs="宋体"/>
                <w:kern w:val="2"/>
                <w:sz w:val="21"/>
                <w:szCs w:val="21"/>
                <w:lang w:bidi="ar"/>
              </w:rPr>
              <w:t>精准化的共同富裕指数解答</w:t>
            </w:r>
            <w:r>
              <w:rPr>
                <w:rFonts w:hint="eastAsia" w:cs="宋体"/>
                <w:kern w:val="2"/>
                <w:sz w:val="21"/>
                <w:szCs w:val="21"/>
                <w:lang w:eastAsia="zh" w:bidi="ar"/>
              </w:rPr>
              <w:t>与互动服务</w:t>
            </w:r>
            <w:r>
              <w:rPr>
                <w:rFonts w:hint="eastAsia" w:cs="宋体"/>
                <w:kern w:val="2"/>
                <w:sz w:val="21"/>
                <w:szCs w:val="21"/>
                <w:lang w:bidi="ar"/>
              </w:rPr>
              <w:t>。</w:t>
            </w:r>
          </w:p>
          <w:p w14:paraId="573B53E8">
            <w:pPr>
              <w:pStyle w:val="20"/>
              <w:widowControl w:val="0"/>
              <w:numPr>
                <w:ilvl w:val="255"/>
                <w:numId w:val="0"/>
              </w:numPr>
              <w:spacing w:before="0" w:beforeAutospacing="0" w:after="0" w:afterAutospacing="0" w:line="288" w:lineRule="auto"/>
              <w:ind w:firstLine="422" w:firstLineChars="200"/>
              <w:rPr>
                <w:rFonts w:hint="eastAsia" w:cs="宋体"/>
                <w:b/>
                <w:bCs/>
                <w:kern w:val="2"/>
                <w:sz w:val="21"/>
                <w:szCs w:val="21"/>
                <w:lang w:eastAsia="zh" w:bidi="ar"/>
              </w:rPr>
            </w:pPr>
            <w:r>
              <w:rPr>
                <w:rFonts w:hint="eastAsia" w:cs="宋体"/>
                <w:b/>
                <w:bCs/>
                <w:kern w:val="2"/>
                <w:sz w:val="21"/>
                <w:szCs w:val="21"/>
                <w:lang w:eastAsia="zh" w:bidi="ar"/>
              </w:rPr>
              <w:t>（5）政策地图</w:t>
            </w:r>
          </w:p>
          <w:p w14:paraId="1A0EBF5A">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统计政策知识库中共同富裕类政策的发布地区/省市区、发布单位和归集途径，并将全国省市区共同富裕领域的政策数量在地图上可视化呈现。</w:t>
            </w:r>
          </w:p>
          <w:p w14:paraId="42CFB1E4">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需要配备以下相关组件（包括但不限于）：</w:t>
            </w:r>
          </w:p>
          <w:p w14:paraId="34E85BA2">
            <w:pPr>
              <w:spacing w:line="288" w:lineRule="auto"/>
              <w:ind w:firstLine="422" w:firstLineChars="200"/>
              <w:rPr>
                <w:rFonts w:hint="eastAsia" w:ascii="宋体" w:hAnsi="宋体" w:eastAsia="宋体" w:cs="宋体"/>
                <w:szCs w:val="21"/>
                <w:lang w:eastAsia="zh" w:bidi="ar"/>
              </w:rPr>
            </w:pPr>
            <w:r>
              <w:rPr>
                <w:rFonts w:hint="eastAsia" w:ascii="宋体" w:hAnsi="宋体" w:eastAsia="宋体" w:cs="宋体"/>
                <w:b/>
                <w:bCs/>
                <w:szCs w:val="21"/>
                <w:lang w:eastAsia="zh" w:bidi="ar"/>
              </w:rPr>
              <w:t>（1）</w:t>
            </w:r>
            <w:r>
              <w:rPr>
                <w:rFonts w:hint="eastAsia" w:ascii="宋体" w:hAnsi="宋体" w:eastAsia="宋体" w:cs="宋体"/>
                <w:b/>
                <w:bCs/>
                <w:szCs w:val="21"/>
                <w:lang w:bidi="ar"/>
              </w:rPr>
              <w:t>数据采集终端</w:t>
            </w:r>
            <w:r>
              <w:rPr>
                <w:rFonts w:hint="eastAsia" w:ascii="宋体" w:hAnsi="宋体" w:eastAsia="宋体" w:cs="宋体"/>
                <w:b/>
                <w:bCs/>
                <w:szCs w:val="21"/>
                <w:lang w:eastAsia="zh" w:bidi="ar"/>
              </w:rPr>
              <w:t>（1个）</w:t>
            </w:r>
          </w:p>
          <w:p w14:paraId="51102D98">
            <w:pPr>
              <w:widowControl/>
              <w:spacing w:line="288" w:lineRule="auto"/>
              <w:ind w:firstLine="420" w:firstLineChars="200"/>
              <w:jc w:val="left"/>
              <w:rPr>
                <w:rFonts w:hint="eastAsia" w:ascii="宋体" w:hAnsi="宋体" w:eastAsia="宋体" w:cs="宋体"/>
                <w:szCs w:val="21"/>
                <w:lang w:eastAsia="zh" w:bidi="ar"/>
              </w:rPr>
            </w:pPr>
            <w:r>
              <w:rPr>
                <w:rFonts w:hint="eastAsia" w:ascii="宋体" w:hAnsi="宋体" w:eastAsia="宋体" w:cs="宋体"/>
                <w:szCs w:val="21"/>
                <w:lang w:eastAsia="zh" w:bidi="ar"/>
              </w:rPr>
              <w:t>房间侧面大墙建设。房间侧墙尺寸长约12米，吊顶下高约2.8</w:t>
            </w:r>
            <w:r>
              <w:rPr>
                <w:rFonts w:hint="eastAsia" w:ascii="宋体" w:hAnsi="宋体" w:eastAsia="宋体" w:cs="宋体"/>
                <w:szCs w:val="21"/>
                <w:lang w:bidi="ar"/>
              </w:rPr>
              <w:t>米</w:t>
            </w:r>
            <w:r>
              <w:rPr>
                <w:rFonts w:hint="eastAsia" w:ascii="宋体" w:hAnsi="宋体" w:eastAsia="宋体" w:cs="宋体"/>
                <w:szCs w:val="21"/>
                <w:lang w:eastAsia="zh" w:bidi="ar"/>
              </w:rPr>
              <w:t>，</w:t>
            </w:r>
            <w:r>
              <w:rPr>
                <w:rFonts w:hint="eastAsia" w:ascii="宋体" w:hAnsi="宋体" w:eastAsia="宋体" w:cs="宋体"/>
                <w:szCs w:val="21"/>
                <w:lang w:bidi="ar"/>
              </w:rPr>
              <w:t>计划</w:t>
            </w:r>
            <w:r>
              <w:rPr>
                <w:rFonts w:hint="eastAsia" w:ascii="宋体" w:hAnsi="宋体" w:eastAsia="宋体" w:cs="宋体"/>
                <w:szCs w:val="21"/>
                <w:lang w:eastAsia="zh" w:bidi="ar"/>
              </w:rPr>
              <w:t>建设</w:t>
            </w:r>
            <w:r>
              <w:rPr>
                <w:rFonts w:hint="eastAsia" w:ascii="宋体" w:hAnsi="宋体" w:eastAsia="宋体" w:cs="宋体"/>
                <w:szCs w:val="21"/>
                <w:lang w:bidi="ar"/>
              </w:rPr>
              <w:t>数据采集终端</w:t>
            </w:r>
            <w:r>
              <w:rPr>
                <w:rFonts w:hint="eastAsia" w:ascii="宋体" w:hAnsi="宋体" w:eastAsia="宋体" w:cs="宋体"/>
                <w:szCs w:val="21"/>
                <w:lang w:eastAsia="zh" w:bidi="ar"/>
              </w:rPr>
              <w:t xml:space="preserve">。系统化配置图像处理器、发送卡、接收卡、配电箱、以及配的安装架及各类线材，屏幕采用P1.2间距模组LED屏进行规划。 </w:t>
            </w:r>
          </w:p>
          <w:p w14:paraId="74B1EE97">
            <w:pPr>
              <w:widowControl/>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室内全彩显示屏：显示比例为2个16:9；尺寸约为7200mm x 2025 mm (宽x高) ；面积约为14.58 ㎡；像素间距不高于1.25 mm，全倒装COB；模组尺寸不小于300mm *168mm；箱体尺寸与单元尺寸不小于600mm *335mm；像素密度不低于640000点/㎡；箱体分辨率不低于480*270；箱体材质为压铸铝；刷新率不低于3840 Hz，用电量不高于10 kw。</w:t>
            </w:r>
          </w:p>
          <w:p w14:paraId="691B16E8">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屏幕支架</w:t>
            </w:r>
            <w:r>
              <w:rPr>
                <w:rFonts w:hint="eastAsia" w:ascii="宋体" w:hAnsi="宋体" w:eastAsia="宋体" w:cs="宋体"/>
                <w:szCs w:val="21"/>
                <w:lang w:eastAsia="zh" w:bidi="ar"/>
              </w:rPr>
              <w:t>：</w:t>
            </w:r>
            <w:r>
              <w:rPr>
                <w:rFonts w:hint="eastAsia" w:ascii="宋体" w:hAnsi="宋体" w:eastAsia="宋体" w:cs="宋体"/>
                <w:szCs w:val="21"/>
                <w:lang w:bidi="ar"/>
              </w:rPr>
              <w:t>需按照现场具体进行安装钢结构的设计。钢结构必须防腐、防锈、牢固、安全、可靠，不得发生任何不稳定性故障。外装饰包边满足LED高清显示屏的整体均匀平滑要求。</w:t>
            </w:r>
          </w:p>
          <w:p w14:paraId="4F4AAC74">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bidi="ar"/>
              </w:rPr>
              <w:t>图像处理器</w:t>
            </w:r>
            <w:r>
              <w:rPr>
                <w:rFonts w:hint="eastAsia" w:ascii="宋体" w:hAnsi="宋体" w:eastAsia="宋体" w:cs="宋体"/>
                <w:szCs w:val="21"/>
                <w:lang w:eastAsia="zh" w:bidi="ar"/>
              </w:rPr>
              <w:t>：至少支持</w:t>
            </w:r>
            <w:r>
              <w:rPr>
                <w:rFonts w:hint="eastAsia" w:ascii="宋体" w:hAnsi="宋体" w:eastAsia="宋体" w:cs="宋体"/>
                <w:szCs w:val="21"/>
                <w:lang w:bidi="ar"/>
              </w:rPr>
              <w:t>4路hdmi输入、16路网口输出</w:t>
            </w:r>
            <w:r>
              <w:rPr>
                <w:rFonts w:hint="eastAsia" w:ascii="宋体" w:hAnsi="宋体" w:eastAsia="宋体" w:cs="宋体"/>
                <w:szCs w:val="21"/>
                <w:lang w:eastAsia="zh" w:bidi="ar"/>
              </w:rPr>
              <w:t>。</w:t>
            </w:r>
          </w:p>
          <w:p w14:paraId="7EC6C6BD">
            <w:pPr>
              <w:pStyle w:val="20"/>
              <w:widowControl w:val="0"/>
              <w:spacing w:before="0" w:beforeAutospacing="0" w:after="0" w:afterAutospacing="0" w:line="288" w:lineRule="auto"/>
              <w:ind w:firstLineChars="200"/>
              <w:rPr>
                <w:rFonts w:hint="eastAsia" w:cs="宋体"/>
                <w:kern w:val="2"/>
                <w:sz w:val="21"/>
                <w:szCs w:val="21"/>
                <w:lang w:eastAsia="zh" w:bidi="ar"/>
              </w:rPr>
            </w:pPr>
            <w:r>
              <w:rPr>
                <w:rFonts w:hint="eastAsia" w:cs="宋体"/>
                <w:sz w:val="21"/>
                <w:szCs w:val="21"/>
                <w:lang w:bidi="ar"/>
              </w:rPr>
              <w:t>智能配电柜</w:t>
            </w:r>
            <w:r>
              <w:rPr>
                <w:rFonts w:hint="eastAsia" w:cs="宋体"/>
                <w:sz w:val="21"/>
                <w:szCs w:val="21"/>
                <w:lang w:eastAsia="zh" w:bidi="ar"/>
              </w:rPr>
              <w:t>：</w:t>
            </w:r>
            <w:r>
              <w:rPr>
                <w:rFonts w:hint="eastAsia" w:cs="宋体"/>
                <w:sz w:val="21"/>
                <w:szCs w:val="21"/>
                <w:lang w:bidi="ar"/>
              </w:rPr>
              <w:t>带PLC控制器，网络远程控制</w:t>
            </w:r>
            <w:r>
              <w:rPr>
                <w:rFonts w:hint="eastAsia" w:cs="宋体"/>
                <w:sz w:val="21"/>
                <w:szCs w:val="21"/>
                <w:lang w:eastAsia="zh" w:bidi="ar"/>
              </w:rPr>
              <w:t>。</w:t>
            </w:r>
          </w:p>
          <w:p w14:paraId="2AC33061">
            <w:pPr>
              <w:widowControl/>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扩声系统：需满足</w:t>
            </w:r>
            <w:r>
              <w:rPr>
                <w:rFonts w:hint="eastAsia" w:ascii="宋体" w:hAnsi="宋体" w:eastAsia="宋体" w:cs="宋体"/>
                <w:szCs w:val="21"/>
                <w:lang w:bidi="ar"/>
              </w:rPr>
              <w:t>整个会场空间发言功能需求</w:t>
            </w:r>
            <w:r>
              <w:rPr>
                <w:rFonts w:hint="eastAsia" w:ascii="宋体" w:hAnsi="宋体" w:eastAsia="宋体" w:cs="宋体"/>
                <w:szCs w:val="21"/>
                <w:lang w:eastAsia="zh" w:bidi="ar"/>
              </w:rPr>
              <w:t>，配置电声建设设备，包括音频处理矩阵、功放、扬声器等，满足现场拾音扩声、视频会议等不同扩声使用需求。根据项目情况配置宽频阵列扬声器，布置在屏幕两侧，并配置补声扬声器、低音扬声器等。其中屏幕</w:t>
            </w:r>
            <w:r>
              <w:rPr>
                <w:rFonts w:hint="eastAsia" w:ascii="宋体" w:hAnsi="宋体" w:eastAsia="宋体" w:cs="宋体"/>
                <w:szCs w:val="21"/>
                <w:lang w:bidi="ar"/>
              </w:rPr>
              <w:t>二侧配置隐藏式主扬声器音柱，场地中后场配置补声扬声器</w:t>
            </w:r>
            <w:r>
              <w:rPr>
                <w:rFonts w:hint="eastAsia" w:ascii="宋体" w:hAnsi="宋体" w:eastAsia="宋体" w:cs="宋体"/>
                <w:szCs w:val="21"/>
                <w:lang w:eastAsia="zh" w:bidi="ar"/>
              </w:rPr>
              <w:t>。至少</w:t>
            </w:r>
            <w:r>
              <w:rPr>
                <w:rFonts w:hint="eastAsia" w:ascii="宋体" w:hAnsi="宋体" w:eastAsia="宋体" w:cs="宋体"/>
                <w:szCs w:val="21"/>
                <w:lang w:bidi="ar"/>
              </w:rPr>
              <w:t>配置2套无线话筒，配置6-8只有线话筒，同时配置相应的音频处理器，功率放大器等其它扩声所需的设备。</w:t>
            </w:r>
          </w:p>
          <w:p w14:paraId="1D23CC7C">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bidi="ar"/>
              </w:rPr>
              <w:t>视频源</w:t>
            </w:r>
            <w:r>
              <w:rPr>
                <w:rFonts w:hint="eastAsia" w:ascii="宋体" w:hAnsi="宋体" w:eastAsia="宋体" w:cs="宋体"/>
                <w:szCs w:val="21"/>
                <w:lang w:eastAsia="zh" w:bidi="ar"/>
              </w:rPr>
              <w:t>：</w:t>
            </w:r>
            <w:r>
              <w:rPr>
                <w:rFonts w:hint="eastAsia" w:ascii="宋体" w:hAnsi="宋体" w:eastAsia="宋体" w:cs="宋体"/>
                <w:szCs w:val="21"/>
                <w:lang w:bidi="ar"/>
              </w:rPr>
              <w:t>场地摄像机信号、插座临时接入信号，工位电脑主机，以及显示器等设备，根据项目需求提供。支持接入不少于4台电脑、2个会议摄像机、2个多媒体插座</w:t>
            </w:r>
            <w:r>
              <w:rPr>
                <w:rFonts w:hint="eastAsia" w:ascii="宋体" w:hAnsi="宋体" w:eastAsia="宋体" w:cs="宋体"/>
                <w:szCs w:val="21"/>
                <w:lang w:eastAsia="zh" w:bidi="ar"/>
              </w:rPr>
              <w:t>。</w:t>
            </w:r>
          </w:p>
          <w:p w14:paraId="01688353">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bidi="ar"/>
              </w:rPr>
              <w:t>分布式系统</w:t>
            </w:r>
            <w:r>
              <w:rPr>
                <w:rFonts w:hint="eastAsia" w:ascii="宋体" w:hAnsi="宋体" w:eastAsia="宋体" w:cs="宋体"/>
                <w:szCs w:val="21"/>
                <w:lang w:eastAsia="zh" w:bidi="ar"/>
              </w:rPr>
              <w:t>：需满足</w:t>
            </w:r>
            <w:r>
              <w:rPr>
                <w:rFonts w:hint="eastAsia" w:ascii="宋体" w:hAnsi="宋体" w:eastAsia="宋体" w:cs="宋体"/>
                <w:szCs w:val="21"/>
                <w:lang w:bidi="ar"/>
              </w:rPr>
              <w:t>所有视频信号和显示端通过分布式系统进行切换，操作席可以通过KVM功能任意调取信号源上屏。支持至少8个输入、8个输出节点</w:t>
            </w:r>
            <w:r>
              <w:rPr>
                <w:rFonts w:hint="eastAsia" w:ascii="宋体" w:hAnsi="宋体" w:eastAsia="宋体" w:cs="宋体"/>
                <w:szCs w:val="21"/>
                <w:lang w:eastAsia="zh" w:bidi="ar"/>
              </w:rPr>
              <w:t>。</w:t>
            </w:r>
          </w:p>
          <w:p w14:paraId="2182A533">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bidi="ar"/>
              </w:rPr>
              <w:t>设备附件辅材</w:t>
            </w:r>
            <w:r>
              <w:rPr>
                <w:rFonts w:hint="eastAsia" w:ascii="宋体" w:hAnsi="宋体" w:eastAsia="宋体" w:cs="宋体"/>
                <w:szCs w:val="21"/>
                <w:lang w:eastAsia="zh" w:bidi="ar"/>
              </w:rPr>
              <w:t>：至少1台机柜，以及配套的</w:t>
            </w:r>
            <w:r>
              <w:rPr>
                <w:rFonts w:hint="eastAsia" w:ascii="宋体" w:hAnsi="宋体" w:eastAsia="宋体" w:cs="宋体"/>
                <w:szCs w:val="21"/>
                <w:lang w:bidi="ar"/>
              </w:rPr>
              <w:t>管路、接插件、线材等，按实际需要提供</w:t>
            </w:r>
            <w:r>
              <w:rPr>
                <w:rFonts w:hint="eastAsia" w:ascii="宋体" w:hAnsi="宋体" w:eastAsia="宋体" w:cs="宋体"/>
                <w:szCs w:val="21"/>
                <w:lang w:eastAsia="zh" w:bidi="ar"/>
              </w:rPr>
              <w:t>。</w:t>
            </w:r>
          </w:p>
          <w:p w14:paraId="2C086926">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视频集中处理系统：满足视频输入输出信号路由，具备客户中心接入的数据展示功能，管理视频会议、多媒体插座等各类信号源的接入。满足视频信号、音频信号、USB信号的传输、路由、切换与控制功能。</w:t>
            </w:r>
          </w:p>
          <w:p w14:paraId="59B6B10E">
            <w:pPr>
              <w:pStyle w:val="20"/>
              <w:widowControl w:val="0"/>
              <w:spacing w:before="0" w:beforeAutospacing="0" w:after="0" w:afterAutospacing="0" w:line="288" w:lineRule="auto"/>
              <w:ind w:firstLineChars="200"/>
              <w:jc w:val="both"/>
              <w:rPr>
                <w:rFonts w:hint="eastAsia" w:cs="宋体"/>
                <w:kern w:val="2"/>
                <w:sz w:val="21"/>
                <w:szCs w:val="21"/>
                <w:lang w:eastAsia="zh"/>
              </w:rPr>
            </w:pPr>
            <w:r>
              <w:rPr>
                <w:rFonts w:hint="eastAsia" w:cs="宋体"/>
                <w:kern w:val="2"/>
                <w:sz w:val="21"/>
                <w:szCs w:val="21"/>
                <w:lang w:bidi="ar"/>
              </w:rPr>
              <w:t>智能中央控制平台：以控制总线方式、RS232/485协议、红外协议等方式与各控制设备联接，接受操作员发出的控制要求，然后向各个延伸控制设备及被控设备发出控制指令。</w:t>
            </w:r>
            <w:r>
              <w:rPr>
                <w:rFonts w:hint="eastAsia" w:cs="宋体"/>
                <w:sz w:val="21"/>
                <w:szCs w:val="21"/>
                <w:shd w:val="clear" w:color="auto" w:fill="FFFFFF"/>
              </w:rPr>
              <w:t>对场地内的</w:t>
            </w:r>
            <w:r>
              <w:rPr>
                <w:rFonts w:hint="eastAsia" w:cs="宋体"/>
                <w:kern w:val="2"/>
                <w:sz w:val="21"/>
                <w:szCs w:val="21"/>
                <w:lang w:bidi="ar"/>
              </w:rPr>
              <w:t>数据采集终端</w:t>
            </w:r>
            <w:r>
              <w:rPr>
                <w:rFonts w:hint="eastAsia" w:cs="宋体"/>
                <w:sz w:val="21"/>
                <w:szCs w:val="21"/>
                <w:shd w:val="clear" w:color="auto" w:fill="FFFFFF"/>
              </w:rPr>
              <w:t>，扩声设备</w:t>
            </w:r>
            <w:r>
              <w:rPr>
                <w:rFonts w:hint="eastAsia" w:cs="宋体"/>
                <w:sz w:val="21"/>
                <w:szCs w:val="21"/>
                <w:shd w:val="clear" w:color="auto" w:fill="FFFFFF"/>
                <w:lang w:eastAsia="zh"/>
              </w:rPr>
              <w:t>、</w:t>
            </w:r>
            <w:r>
              <w:rPr>
                <w:rFonts w:hint="eastAsia" w:cs="宋体"/>
                <w:kern w:val="2"/>
                <w:sz w:val="21"/>
                <w:szCs w:val="21"/>
                <w:lang w:bidi="ar"/>
              </w:rPr>
              <w:t>图像处理器、数字视频处理平台等进行</w:t>
            </w:r>
            <w:r>
              <w:rPr>
                <w:rFonts w:hint="eastAsia" w:cs="宋体"/>
                <w:sz w:val="21"/>
                <w:szCs w:val="21"/>
                <w:shd w:val="clear" w:color="auto" w:fill="FFFFFF"/>
              </w:rPr>
              <w:t>集中</w:t>
            </w:r>
            <w:r>
              <w:rPr>
                <w:rFonts w:hint="eastAsia" w:cs="宋体"/>
                <w:kern w:val="2"/>
                <w:sz w:val="21"/>
                <w:szCs w:val="21"/>
                <w:lang w:bidi="ar"/>
              </w:rPr>
              <w:t>管理与控制</w:t>
            </w:r>
            <w:r>
              <w:rPr>
                <w:rFonts w:hint="eastAsia" w:cs="宋体"/>
                <w:sz w:val="21"/>
                <w:szCs w:val="21"/>
                <w:shd w:val="clear" w:color="auto" w:fill="FFFFFF"/>
              </w:rPr>
              <w:t>，可支持</w:t>
            </w:r>
            <w:r>
              <w:rPr>
                <w:rFonts w:hint="eastAsia" w:cs="宋体"/>
                <w:kern w:val="2"/>
                <w:sz w:val="21"/>
                <w:szCs w:val="21"/>
                <w:lang w:bidi="ar"/>
              </w:rPr>
              <w:t>对场地内的灯光照明、窗帘等进行集中控制</w:t>
            </w:r>
            <w:r>
              <w:rPr>
                <w:rFonts w:hint="eastAsia" w:cs="宋体"/>
                <w:kern w:val="2"/>
                <w:sz w:val="21"/>
                <w:szCs w:val="21"/>
                <w:lang w:eastAsia="zh" w:bidi="ar"/>
              </w:rPr>
              <w:t>，以</w:t>
            </w:r>
            <w:r>
              <w:rPr>
                <w:rFonts w:hint="eastAsia" w:cs="宋体"/>
                <w:sz w:val="21"/>
                <w:szCs w:val="21"/>
                <w:shd w:val="clear" w:color="auto" w:fill="FFFFFF"/>
              </w:rPr>
              <w:t>提高设备自动操作的便捷性。</w:t>
            </w:r>
            <w:r>
              <w:rPr>
                <w:rFonts w:hint="eastAsia" w:cs="宋体"/>
                <w:sz w:val="21"/>
                <w:szCs w:val="21"/>
                <w:shd w:val="clear" w:color="auto" w:fill="FFFFFF"/>
                <w:lang w:eastAsia="zh"/>
              </w:rPr>
              <w:t>为</w:t>
            </w:r>
            <w:r>
              <w:rPr>
                <w:rFonts w:hint="eastAsia" w:cs="宋体"/>
                <w:sz w:val="21"/>
                <w:szCs w:val="21"/>
                <w:shd w:val="clear" w:color="auto" w:fill="FFFFFF"/>
              </w:rPr>
              <w:t>有利于后期设备使用，采用一键开关机等操作。</w:t>
            </w:r>
          </w:p>
          <w:p w14:paraId="50B34AE7">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IP支撑系统：保障音视频系统以及客户中心的工作电脑等所需设备的基础布线，主要包括数据点位、语音点位、视频传输、音频信号、音响信号、控制信号等传输线路。</w:t>
            </w:r>
          </w:p>
          <w:p w14:paraId="094D55CA">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bidi="ar"/>
              </w:rPr>
              <w:t>专业操作席：</w:t>
            </w:r>
            <w:r>
              <w:rPr>
                <w:rFonts w:hint="eastAsia" w:cs="宋体"/>
                <w:kern w:val="2"/>
                <w:sz w:val="21"/>
                <w:szCs w:val="21"/>
                <w:lang w:eastAsia="zh" w:bidi="ar"/>
              </w:rPr>
              <w:t>专业操作作席旨在</w:t>
            </w:r>
            <w:r>
              <w:rPr>
                <w:rFonts w:hint="eastAsia" w:cs="宋体"/>
                <w:kern w:val="2"/>
                <w:sz w:val="21"/>
                <w:szCs w:val="21"/>
                <w:lang w:bidi="ar"/>
              </w:rPr>
              <w:t>满足场地内人员指挥、操作</w:t>
            </w:r>
            <w:r>
              <w:rPr>
                <w:rFonts w:hint="eastAsia" w:cs="宋体"/>
                <w:kern w:val="2"/>
                <w:sz w:val="21"/>
                <w:szCs w:val="21"/>
                <w:lang w:eastAsia="zh" w:bidi="ar"/>
              </w:rPr>
              <w:t>以及</w:t>
            </w:r>
            <w:r>
              <w:rPr>
                <w:rFonts w:hint="eastAsia" w:cs="宋体"/>
                <w:kern w:val="2"/>
                <w:sz w:val="21"/>
                <w:szCs w:val="21"/>
                <w:lang w:bidi="ar"/>
              </w:rPr>
              <w:t>桌席工位的使用需求。</w:t>
            </w:r>
            <w:r>
              <w:rPr>
                <w:rFonts w:hint="eastAsia" w:cs="宋体"/>
                <w:kern w:val="2"/>
                <w:sz w:val="21"/>
                <w:szCs w:val="21"/>
                <w:lang w:eastAsia="zh" w:bidi="ar"/>
              </w:rPr>
              <w:t>专业操作席间应至少可容纳10人参观，供至少6至8个</w:t>
            </w:r>
            <w:r>
              <w:rPr>
                <w:rFonts w:hint="eastAsia" w:cs="宋体"/>
                <w:kern w:val="2"/>
                <w:sz w:val="21"/>
                <w:szCs w:val="21"/>
                <w:lang w:bidi="ar"/>
              </w:rPr>
              <w:t>工位用于操作人员使用</w:t>
            </w:r>
            <w:r>
              <w:rPr>
                <w:rFonts w:hint="eastAsia" w:cs="宋体"/>
                <w:kern w:val="2"/>
                <w:sz w:val="21"/>
                <w:szCs w:val="21"/>
                <w:lang w:eastAsia="zh" w:bidi="ar"/>
              </w:rPr>
              <w:t>。</w:t>
            </w:r>
          </w:p>
          <w:p w14:paraId="76E0E000">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投标人应完成</w:t>
            </w:r>
            <w:r>
              <w:rPr>
                <w:rFonts w:hint="eastAsia" w:cs="宋体"/>
                <w:kern w:val="2"/>
                <w:sz w:val="21"/>
                <w:szCs w:val="21"/>
                <w:lang w:bidi="ar"/>
              </w:rPr>
              <w:t>数据采集终端</w:t>
            </w:r>
            <w:r>
              <w:rPr>
                <w:rFonts w:hint="eastAsia" w:cs="宋体"/>
                <w:kern w:val="2"/>
                <w:sz w:val="21"/>
                <w:szCs w:val="21"/>
                <w:lang w:eastAsia="zh" w:bidi="ar"/>
              </w:rPr>
              <w:t>安装的相关事宜，包含布线、布管路屏幕包边及美化装饰等工作，如若涉及对原有设施与环境的破坏，应进行相应的恢复。</w:t>
            </w:r>
          </w:p>
          <w:p w14:paraId="2BFE53FE">
            <w:pPr>
              <w:pStyle w:val="20"/>
              <w:widowControl w:val="0"/>
              <w:numPr>
                <w:ilvl w:val="255"/>
                <w:numId w:val="0"/>
              </w:numPr>
              <w:spacing w:before="0" w:beforeAutospacing="0" w:after="0" w:afterAutospacing="0" w:line="288" w:lineRule="auto"/>
              <w:ind w:firstLine="422" w:firstLineChars="200"/>
              <w:rPr>
                <w:rFonts w:hint="eastAsia" w:cs="宋体"/>
                <w:b/>
                <w:bCs/>
                <w:kern w:val="2"/>
                <w:sz w:val="21"/>
                <w:szCs w:val="21"/>
              </w:rPr>
            </w:pPr>
            <w:r>
              <w:rPr>
                <w:rFonts w:hint="eastAsia" w:cs="宋体"/>
                <w:b/>
                <w:bCs/>
                <w:kern w:val="2"/>
                <w:sz w:val="21"/>
                <w:szCs w:val="21"/>
                <w:lang w:eastAsia="zh" w:bidi="ar"/>
              </w:rPr>
              <w:t>（2）</w:t>
            </w:r>
            <w:r>
              <w:rPr>
                <w:rFonts w:hint="eastAsia" w:cs="宋体"/>
                <w:b/>
                <w:bCs/>
                <w:kern w:val="2"/>
                <w:sz w:val="21"/>
                <w:szCs w:val="21"/>
                <w:lang w:bidi="ar"/>
              </w:rPr>
              <w:t>专用工作站</w:t>
            </w:r>
            <w:r>
              <w:rPr>
                <w:rFonts w:hint="eastAsia" w:cs="宋体"/>
                <w:b/>
                <w:bCs/>
                <w:kern w:val="2"/>
                <w:sz w:val="21"/>
                <w:szCs w:val="21"/>
                <w:lang w:eastAsia="zh" w:bidi="ar"/>
              </w:rPr>
              <w:t>（1台）</w:t>
            </w:r>
          </w:p>
          <w:p w14:paraId="56E8F1A4">
            <w:pPr>
              <w:pStyle w:val="20"/>
              <w:widowControl w:val="0"/>
              <w:spacing w:before="0" w:beforeAutospacing="0" w:after="0" w:afterAutospacing="0" w:line="288" w:lineRule="auto"/>
              <w:ind w:firstLine="422" w:firstLineChars="200"/>
              <w:jc w:val="both"/>
              <w:rPr>
                <w:rFonts w:hint="eastAsia" w:cs="宋体"/>
                <w:sz w:val="21"/>
                <w:szCs w:val="21"/>
              </w:rPr>
            </w:pPr>
            <w:r>
              <w:rPr>
                <w:rStyle w:val="26"/>
                <w:rFonts w:hint="eastAsia" w:cs="宋体"/>
                <w:sz w:val="21"/>
                <w:szCs w:val="21"/>
              </w:rPr>
              <w:t>处理器</w:t>
            </w:r>
            <w:r>
              <w:rPr>
                <w:rFonts w:hint="eastAsia" w:cs="宋体"/>
                <w:sz w:val="21"/>
                <w:szCs w:val="21"/>
              </w:rPr>
              <w:t>：</w:t>
            </w:r>
            <w:r>
              <w:rPr>
                <w:rFonts w:hint="eastAsia" w:cs="宋体"/>
                <w:sz w:val="21"/>
                <w:szCs w:val="21"/>
                <w:lang w:eastAsia="zh"/>
              </w:rPr>
              <w:t>至少</w:t>
            </w:r>
            <w:r>
              <w:rPr>
                <w:rFonts w:hint="eastAsia" w:cs="宋体"/>
                <w:sz w:val="21"/>
                <w:szCs w:val="21"/>
              </w:rPr>
              <w:t>2颗16核2.5GH</w:t>
            </w:r>
            <w:r>
              <w:rPr>
                <w:rFonts w:hint="eastAsia" w:cs="宋体"/>
                <w:sz w:val="21"/>
                <w:szCs w:val="21"/>
                <w:lang w:eastAsia="zh"/>
              </w:rPr>
              <w:t>z</w:t>
            </w:r>
            <w:r>
              <w:rPr>
                <w:rFonts w:hint="eastAsia" w:cs="宋体"/>
                <w:sz w:val="21"/>
                <w:szCs w:val="21"/>
              </w:rPr>
              <w:t>处理器</w:t>
            </w:r>
            <w:r>
              <w:rPr>
                <w:rFonts w:hint="eastAsia" w:cs="宋体"/>
                <w:color w:val="000000" w:themeColor="text1"/>
                <w:sz w:val="21"/>
                <w:szCs w:val="21"/>
                <w:lang w:eastAsia="zh"/>
                <w14:textFill>
                  <w14:solidFill>
                    <w14:schemeClr w14:val="tx1"/>
                  </w14:solidFill>
                </w14:textFill>
              </w:rPr>
              <w:t>及其以上，</w:t>
            </w:r>
            <w:r>
              <w:rPr>
                <w:rFonts w:hint="eastAsia" w:cs="宋体"/>
                <w:sz w:val="21"/>
                <w:szCs w:val="21"/>
              </w:rPr>
              <w:t>满足信创要求。</w:t>
            </w:r>
          </w:p>
          <w:p w14:paraId="418B0D86">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内存：</w:t>
            </w:r>
            <w:r>
              <w:rPr>
                <w:rFonts w:hint="eastAsia" w:cs="宋体"/>
                <w:bCs/>
                <w:sz w:val="21"/>
                <w:szCs w:val="21"/>
              </w:rPr>
              <w:t>至少2</w:t>
            </w:r>
            <w:r>
              <w:rPr>
                <w:rFonts w:hint="eastAsia" w:cs="宋体"/>
                <w:bCs/>
                <w:sz w:val="21"/>
                <w:szCs w:val="21"/>
                <w:lang w:eastAsia="zh"/>
              </w:rPr>
              <w:t>块</w:t>
            </w:r>
            <w:r>
              <w:rPr>
                <w:rFonts w:hint="eastAsia" w:cs="宋体"/>
                <w:bCs/>
                <w:sz w:val="21"/>
                <w:szCs w:val="21"/>
              </w:rPr>
              <w:t>64GB ECC DDR4 RAM</w:t>
            </w:r>
            <w:r>
              <w:rPr>
                <w:rFonts w:hint="eastAsia" w:cs="宋体"/>
                <w:kern w:val="2"/>
                <w:sz w:val="21"/>
                <w:szCs w:val="21"/>
                <w:lang w:eastAsia="zh" w:bidi="ar"/>
              </w:rPr>
              <w:t>。</w:t>
            </w:r>
            <w:r>
              <w:rPr>
                <w:rFonts w:hint="eastAsia" w:cs="宋体"/>
                <w:kern w:val="2"/>
                <w:sz w:val="21"/>
                <w:szCs w:val="21"/>
                <w:lang w:bidi="ar"/>
              </w:rPr>
              <w:t>保证大数据处理和复杂算法运行的流畅性。</w:t>
            </w:r>
          </w:p>
          <w:p w14:paraId="0E92AB91">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存储：SSD系统固态硬盘，容量不低于100GB；3*8TB SATA硬盘，支持RAID阵列，确保数据存储安全与读取速度。</w:t>
            </w:r>
            <w:r>
              <w:rPr>
                <w:rFonts w:hint="eastAsia" w:cs="宋体"/>
                <w:sz w:val="21"/>
                <w:szCs w:val="21"/>
              </w:rPr>
              <w:t xml:space="preserve"> </w:t>
            </w:r>
          </w:p>
          <w:p w14:paraId="2BCCA402">
            <w:pPr>
              <w:pStyle w:val="20"/>
              <w:widowControl w:val="0"/>
              <w:spacing w:before="0" w:beforeAutospacing="0" w:after="0" w:afterAutospacing="0" w:line="288" w:lineRule="auto"/>
              <w:ind w:firstLine="422" w:firstLineChars="200"/>
              <w:jc w:val="both"/>
              <w:rPr>
                <w:rFonts w:hint="eastAsia" w:cs="宋体"/>
                <w:kern w:val="2"/>
                <w:sz w:val="21"/>
                <w:szCs w:val="21"/>
                <w:lang w:bidi="ar"/>
              </w:rPr>
            </w:pPr>
            <w:r>
              <w:rPr>
                <w:rStyle w:val="26"/>
                <w:rFonts w:hint="eastAsia" w:cs="宋体"/>
                <w:sz w:val="21"/>
                <w:szCs w:val="21"/>
              </w:rPr>
              <w:t>操作系统</w:t>
            </w:r>
            <w:r>
              <w:rPr>
                <w:rFonts w:hint="eastAsia" w:cs="宋体"/>
                <w:b/>
                <w:bCs/>
                <w:sz w:val="21"/>
                <w:szCs w:val="21"/>
              </w:rPr>
              <w:t>：</w:t>
            </w:r>
            <w:r>
              <w:rPr>
                <w:rFonts w:hint="eastAsia" w:cs="宋体"/>
                <w:sz w:val="21"/>
                <w:szCs w:val="21"/>
                <w:lang w:eastAsia="zh"/>
              </w:rPr>
              <w:t>需要</w:t>
            </w:r>
            <w:r>
              <w:rPr>
                <w:rFonts w:hint="eastAsia" w:cs="宋体"/>
                <w:sz w:val="21"/>
                <w:szCs w:val="21"/>
                <w:lang w:bidi="ar"/>
              </w:rPr>
              <w:t>支持正版Windows 10及以上版本、Linux（Ubuntu、CentOS等）或</w:t>
            </w:r>
            <w:r>
              <w:rPr>
                <w:rFonts w:hint="eastAsia" w:cs="宋体"/>
                <w:sz w:val="21"/>
                <w:szCs w:val="21"/>
              </w:rPr>
              <w:t>国产</w:t>
            </w:r>
            <w:r>
              <w:rPr>
                <w:rFonts w:hint="eastAsia" w:cs="宋体"/>
                <w:sz w:val="21"/>
                <w:szCs w:val="21"/>
                <w:lang w:bidi="ar"/>
              </w:rPr>
              <w:t>操作系统</w:t>
            </w:r>
            <w:r>
              <w:rPr>
                <w:rFonts w:hint="eastAsia" w:cs="宋体"/>
                <w:sz w:val="21"/>
                <w:szCs w:val="21"/>
              </w:rPr>
              <w:t>，符合信息创新要求</w:t>
            </w:r>
            <w:r>
              <w:rPr>
                <w:rFonts w:hint="eastAsia" w:cs="宋体"/>
                <w:sz w:val="21"/>
                <w:szCs w:val="21"/>
                <w:lang w:eastAsia="zh"/>
              </w:rPr>
              <w:t>。</w:t>
            </w:r>
          </w:p>
          <w:p w14:paraId="64BC9B65">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可扩展性：支持易于升级的硬件配置，如内存、硬盘扩展槽，以及PCIe插槽，为未来技术升级留足空间。</w:t>
            </w:r>
          </w:p>
          <w:p w14:paraId="32A25426">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稳定性与安全：具备ECC内存和硬件RAID支持，确保数据完整性，同时预装专业级安全软件，保护工作站免受病毒和恶意软件攻击。</w:t>
            </w:r>
          </w:p>
          <w:p w14:paraId="18830335">
            <w:pPr>
              <w:pStyle w:val="20"/>
              <w:widowControl w:val="0"/>
              <w:spacing w:before="0" w:beforeAutospacing="0" w:after="0" w:afterAutospacing="0" w:line="288" w:lineRule="auto"/>
              <w:ind w:firstLine="422" w:firstLineChars="200"/>
              <w:jc w:val="both"/>
              <w:rPr>
                <w:rFonts w:hint="eastAsia" w:cs="宋体"/>
                <w:b/>
                <w:bCs/>
                <w:kern w:val="2"/>
                <w:sz w:val="21"/>
                <w:szCs w:val="21"/>
                <w:lang w:bidi="ar"/>
              </w:rPr>
            </w:pPr>
            <w:r>
              <w:rPr>
                <w:rFonts w:hint="eastAsia" w:cs="宋体"/>
                <w:b/>
                <w:bCs/>
                <w:kern w:val="2"/>
                <w:sz w:val="21"/>
                <w:szCs w:val="21"/>
                <w:lang w:bidi="ar"/>
              </w:rPr>
              <w:t>项目实施要求：</w:t>
            </w:r>
          </w:p>
          <w:p w14:paraId="751ED414">
            <w:pPr>
              <w:pStyle w:val="20"/>
              <w:widowControl w:val="0"/>
              <w:spacing w:before="0" w:beforeAutospacing="0" w:after="0" w:afterAutospacing="0" w:line="288" w:lineRule="auto"/>
              <w:ind w:firstLineChars="200"/>
              <w:jc w:val="both"/>
              <w:rPr>
                <w:rFonts w:hint="eastAsia" w:cs="宋体"/>
                <w:sz w:val="21"/>
                <w:szCs w:val="21"/>
              </w:rPr>
            </w:pPr>
            <w:r>
              <w:rPr>
                <w:rFonts w:hint="eastAsia" w:cs="宋体"/>
                <w:sz w:val="21"/>
                <w:szCs w:val="21"/>
              </w:rPr>
              <w:t>（1）项目需要在实施过程中，提供明确的职责分工，确保每个阶段、每个环节有组织架构和人员保障。</w:t>
            </w:r>
          </w:p>
          <w:p w14:paraId="3ABAFC93">
            <w:pPr>
              <w:pStyle w:val="20"/>
              <w:widowControl w:val="0"/>
              <w:spacing w:before="0" w:beforeAutospacing="0" w:after="0" w:afterAutospacing="0" w:line="288" w:lineRule="auto"/>
              <w:ind w:firstLineChars="200"/>
              <w:jc w:val="both"/>
              <w:rPr>
                <w:rFonts w:hint="eastAsia" w:cs="宋体"/>
                <w:sz w:val="21"/>
                <w:szCs w:val="21"/>
              </w:rPr>
            </w:pPr>
            <w:r>
              <w:rPr>
                <w:rFonts w:hint="eastAsia" w:cs="宋体"/>
                <w:sz w:val="21"/>
                <w:szCs w:val="21"/>
              </w:rPr>
              <w:t>（2）项目实施期间，要求投标人安排相关人员在项目实施期间负责本地或项目现场。合同签订后10个月内完成安装、调试，达到验收要求。</w:t>
            </w:r>
          </w:p>
        </w:tc>
        <w:tc>
          <w:tcPr>
            <w:tcW w:w="408" w:type="pct"/>
            <w:vAlign w:val="center"/>
          </w:tcPr>
          <w:p w14:paraId="3278703D">
            <w:pPr>
              <w:spacing w:line="288" w:lineRule="auto"/>
              <w:jc w:val="center"/>
              <w:rPr>
                <w:rFonts w:hint="eastAsia" w:ascii="宋体" w:hAnsi="宋体" w:eastAsia="宋体" w:cs="宋体"/>
                <w:szCs w:val="21"/>
                <w:highlight w:val="yellow"/>
              </w:rPr>
            </w:pPr>
            <w:r>
              <w:rPr>
                <w:rFonts w:hint="eastAsia" w:ascii="宋体" w:hAnsi="宋体" w:eastAsia="宋体" w:cs="宋体"/>
                <w:szCs w:val="21"/>
              </w:rPr>
              <w:t>1套</w:t>
            </w:r>
          </w:p>
        </w:tc>
      </w:tr>
    </w:tbl>
    <w:p w14:paraId="514BA42E">
      <w:pPr>
        <w:adjustRightInd w:val="0"/>
        <w:snapToGrid w:val="0"/>
        <w:spacing w:line="288" w:lineRule="auto"/>
        <w:rPr>
          <w:rFonts w:hint="eastAsia" w:ascii="宋体" w:hAnsi="宋体" w:eastAsia="宋体" w:cs="Times New Roman"/>
          <w:b/>
          <w:bCs/>
          <w:szCs w:val="21"/>
        </w:rPr>
      </w:pPr>
    </w:p>
    <w:p w14:paraId="5DE655EC">
      <w:pPr>
        <w:rPr>
          <w:rFonts w:hint="eastAsia" w:ascii="宋体" w:hAnsi="宋体" w:eastAsia="宋体" w:cs="Times New Roman"/>
          <w:b/>
          <w:bCs/>
          <w:spacing w:val="-4"/>
          <w:szCs w:val="21"/>
        </w:rPr>
      </w:pPr>
      <w:r>
        <w:rPr>
          <w:rFonts w:hint="eastAsia" w:ascii="宋体" w:hAnsi="宋体" w:eastAsia="宋体" w:cs="Times New Roman"/>
          <w:b/>
          <w:bCs/>
          <w:spacing w:val="-4"/>
          <w:szCs w:val="21"/>
        </w:rPr>
        <w:br w:type="page"/>
      </w:r>
    </w:p>
    <w:p w14:paraId="687B1713">
      <w:pPr>
        <w:adjustRightInd w:val="0"/>
        <w:snapToGrid w:val="0"/>
        <w:spacing w:line="288" w:lineRule="auto"/>
        <w:outlineLvl w:val="2"/>
        <w:rPr>
          <w:rFonts w:hint="eastAsia" w:ascii="宋体" w:hAnsi="宋体" w:eastAsia="宋体" w:cs="Times New Roman"/>
          <w:b/>
          <w:bCs/>
          <w:spacing w:val="-4"/>
          <w:szCs w:val="21"/>
        </w:rPr>
      </w:pPr>
      <w:r>
        <w:rPr>
          <w:rFonts w:hint="eastAsia" w:ascii="宋体" w:hAnsi="宋体" w:eastAsia="宋体" w:cs="Times New Roman"/>
          <w:b/>
          <w:bCs/>
          <w:spacing w:val="-4"/>
          <w:szCs w:val="21"/>
        </w:rPr>
        <w:t>标项三：</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058"/>
        <w:gridCol w:w="7486"/>
        <w:gridCol w:w="616"/>
      </w:tblGrid>
      <w:tr w14:paraId="5C4A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14:paraId="553113A9">
            <w:pPr>
              <w:spacing w:line="288" w:lineRule="auto"/>
              <w:jc w:val="center"/>
              <w:rPr>
                <w:rFonts w:hint="eastAsia" w:ascii="宋体" w:hAnsi="宋体" w:eastAsia="宋体" w:cs="宋体"/>
                <w:szCs w:val="21"/>
              </w:rPr>
            </w:pPr>
            <w:r>
              <w:rPr>
                <w:rFonts w:hint="eastAsia" w:ascii="宋体" w:hAnsi="宋体" w:eastAsia="宋体" w:cs="宋体"/>
                <w:b/>
                <w:szCs w:val="21"/>
              </w:rPr>
              <w:t>序号</w:t>
            </w:r>
          </w:p>
        </w:tc>
        <w:tc>
          <w:tcPr>
            <w:tcW w:w="549" w:type="pct"/>
            <w:vAlign w:val="center"/>
          </w:tcPr>
          <w:p w14:paraId="56CC197A">
            <w:pPr>
              <w:spacing w:line="288" w:lineRule="auto"/>
              <w:jc w:val="center"/>
              <w:rPr>
                <w:rFonts w:hint="eastAsia" w:ascii="宋体" w:hAnsi="宋体" w:eastAsia="宋体" w:cs="宋体"/>
                <w:szCs w:val="21"/>
              </w:rPr>
            </w:pPr>
            <w:r>
              <w:rPr>
                <w:rFonts w:hint="eastAsia" w:ascii="宋体" w:hAnsi="宋体" w:eastAsia="宋体" w:cs="宋体"/>
                <w:b/>
                <w:szCs w:val="21"/>
              </w:rPr>
              <w:t>货物名称</w:t>
            </w:r>
          </w:p>
        </w:tc>
        <w:tc>
          <w:tcPr>
            <w:tcW w:w="3886" w:type="pct"/>
            <w:vAlign w:val="center"/>
          </w:tcPr>
          <w:p w14:paraId="6EFA4A6A">
            <w:pPr>
              <w:spacing w:line="288" w:lineRule="auto"/>
              <w:ind w:firstLine="422"/>
              <w:jc w:val="center"/>
              <w:rPr>
                <w:rFonts w:hint="eastAsia" w:ascii="宋体" w:hAnsi="宋体" w:eastAsia="宋体" w:cs="宋体"/>
                <w:szCs w:val="21"/>
              </w:rPr>
            </w:pPr>
            <w:r>
              <w:rPr>
                <w:rFonts w:hint="eastAsia" w:ascii="宋体" w:hAnsi="宋体" w:eastAsia="宋体" w:cs="宋体"/>
                <w:b/>
                <w:szCs w:val="21"/>
              </w:rPr>
              <w:t>货物的技术参数及具体配置等</w:t>
            </w:r>
          </w:p>
        </w:tc>
        <w:tc>
          <w:tcPr>
            <w:tcW w:w="320" w:type="pct"/>
            <w:vAlign w:val="center"/>
          </w:tcPr>
          <w:p w14:paraId="1305B055">
            <w:pPr>
              <w:spacing w:line="288" w:lineRule="auto"/>
              <w:jc w:val="center"/>
              <w:rPr>
                <w:rFonts w:hint="eastAsia" w:ascii="宋体" w:hAnsi="宋体" w:eastAsia="宋体" w:cs="宋体"/>
                <w:szCs w:val="21"/>
              </w:rPr>
            </w:pPr>
            <w:r>
              <w:rPr>
                <w:rFonts w:hint="eastAsia" w:ascii="宋体" w:hAnsi="宋体" w:eastAsia="宋体" w:cs="宋体"/>
                <w:b/>
                <w:szCs w:val="21"/>
              </w:rPr>
              <w:t>数量</w:t>
            </w:r>
          </w:p>
        </w:tc>
      </w:tr>
      <w:tr w14:paraId="6E65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3" w:type="pct"/>
            <w:vAlign w:val="center"/>
          </w:tcPr>
          <w:p w14:paraId="2E92BB62">
            <w:pPr>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549" w:type="pct"/>
            <w:vAlign w:val="center"/>
          </w:tcPr>
          <w:p w14:paraId="4E2B75E4">
            <w:pPr>
              <w:pStyle w:val="20"/>
              <w:widowControl w:val="0"/>
              <w:spacing w:before="0" w:beforeAutospacing="0" w:after="0" w:afterAutospacing="0" w:line="288" w:lineRule="auto"/>
              <w:ind w:firstLine="0"/>
              <w:jc w:val="both"/>
              <w:rPr>
                <w:rFonts w:hint="eastAsia" w:cs="宋体"/>
                <w:b/>
                <w:bCs/>
                <w:kern w:val="2"/>
                <w:sz w:val="21"/>
                <w:szCs w:val="21"/>
              </w:rPr>
            </w:pPr>
            <w:r>
              <w:rPr>
                <w:rFonts w:hint="eastAsia" w:cs="宋体"/>
                <w:b/>
                <w:bCs/>
                <w:kern w:val="2"/>
                <w:sz w:val="21"/>
                <w:szCs w:val="21"/>
                <w:lang w:bidi="ar"/>
              </w:rPr>
              <w:t>大模型私有化实施服务系统</w:t>
            </w:r>
          </w:p>
        </w:tc>
        <w:tc>
          <w:tcPr>
            <w:tcW w:w="3886" w:type="pct"/>
            <w:vAlign w:val="center"/>
          </w:tcPr>
          <w:p w14:paraId="74569D1E">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功能要求：可以为大语言模型的本地化部署和个性化定制方案，具有但不限于根据不同场景需求灵活选择如LLaMA3、通义千问-70B、ChatGLM-6B等模型进行优先部署，以及提供全面的模型管理、量化、推理加速等功能，具体应用领域包括但不限于客户服务、内容生成、决策支持等。</w:t>
            </w:r>
          </w:p>
          <w:p w14:paraId="39D67A51">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该系统需要通过先进的模型部署技术和隐私保护机制，适应不同企业和机构的大模型私有化需求，兼容多种硬件环境和应用场景，可应用于广泛的业务领域，如客户服务、内容生成、决策支持等。</w:t>
            </w:r>
          </w:p>
          <w:p w14:paraId="741F36FC">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eastAsia="zh" w:bidi="ar"/>
              </w:rPr>
              <w:t>具体包括但不限于以下功能模块</w:t>
            </w:r>
            <w:r>
              <w:rPr>
                <w:rFonts w:hint="eastAsia" w:cs="宋体"/>
                <w:kern w:val="2"/>
                <w:sz w:val="21"/>
                <w:szCs w:val="21"/>
                <w:lang w:bidi="ar"/>
              </w:rPr>
              <w:t>：</w:t>
            </w:r>
          </w:p>
          <w:p w14:paraId="6C8D5F46">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（1）</w:t>
            </w:r>
            <w:r>
              <w:rPr>
                <w:rFonts w:hint="eastAsia" w:cs="宋体"/>
                <w:b/>
                <w:bCs/>
                <w:kern w:val="2"/>
                <w:sz w:val="21"/>
                <w:szCs w:val="21"/>
                <w:lang w:bidi="ar"/>
              </w:rPr>
              <w:t>模型管理与部署</w:t>
            </w:r>
            <w:r>
              <w:rPr>
                <w:rFonts w:hint="eastAsia" w:cs="宋体"/>
                <w:b/>
                <w:bCs/>
                <w:kern w:val="2"/>
                <w:sz w:val="21"/>
                <w:szCs w:val="21"/>
                <w:lang w:eastAsia="zh" w:bidi="ar"/>
              </w:rPr>
              <w:t>模块</w:t>
            </w:r>
          </w:p>
          <w:p w14:paraId="068CF8D8">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bidi="ar"/>
              </w:rPr>
              <w:t>容器化平</w:t>
            </w:r>
            <w:r>
              <w:rPr>
                <w:rFonts w:hint="eastAsia" w:cs="宋体"/>
                <w:kern w:val="2"/>
                <w:sz w:val="21"/>
                <w:szCs w:val="21"/>
                <w:lang w:eastAsia="zh" w:bidi="ar"/>
              </w:rPr>
              <w:t>台支持与标准化部署：支持通过容器化平台进行开源或已训练模型的私有化与本地化部署</w:t>
            </w:r>
            <w:r>
              <w:rPr>
                <w:rFonts w:hint="eastAsia" w:cs="宋体"/>
                <w:kern w:val="2"/>
                <w:sz w:val="21"/>
                <w:szCs w:val="21"/>
                <w:lang w:bidi="ar"/>
              </w:rPr>
              <w:t>，</w:t>
            </w:r>
            <w:r>
              <w:rPr>
                <w:rFonts w:hint="eastAsia" w:cs="宋体"/>
                <w:kern w:val="2"/>
                <w:sz w:val="21"/>
                <w:szCs w:val="21"/>
                <w:lang w:eastAsia="zh" w:bidi="ar"/>
              </w:rPr>
              <w:t>以快速实现模型的初始化配置和服务发布，支持模型的基础信息配置、服务发布，并能高效实现模型的快速部署。 针对不同来源厂商的大模型，模型部署后通过API方式进行，兼容OpenAI API风格，支持流式输出与上下文缓存，实现业务平台大模型的高效接入。支持多云及混合云部署模式，兼容公有云、私有云以及本地数据中心环境，确保部署灵活且适应各种基础设施。</w:t>
            </w:r>
          </w:p>
          <w:p w14:paraId="6933260C">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bidi="ar"/>
              </w:rPr>
              <w:t>要求基座大模型参数量大于100亿，同时提供对其进行新数据集的训练、微调、优化等服务。</w:t>
            </w:r>
          </w:p>
          <w:p w14:paraId="6A47814F">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可视化管理：系统中接入模型管理页面，支持用户对Embedding、Chat等不同种类模型进行上下线、参数配置、简单对话调试，将已上线模型加入系统可选模型列表，提升模型使用效率。</w:t>
            </w:r>
          </w:p>
          <w:p w14:paraId="5438A391">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管理功能优化：支持模型的全生命周期管理，包括模型的上线、下线、升级、查看、调试等功能，确保模型在不同版本和环境中的稳定运行。增加模型服务的容灾备份及恢复机制，确保模型在出现故障时能够快速恢复，提高服务的高可用性。</w:t>
            </w:r>
            <w:r>
              <w:rPr>
                <w:rFonts w:hint="eastAsia" w:ascii="宋体" w:hAnsi="宋体" w:eastAsia="宋体" w:cs="宋体"/>
                <w:szCs w:val="21"/>
                <w:lang w:bidi="ar"/>
              </w:rPr>
              <w:t>提供预训练大语言模型与知识图谱融合技术开发，并确保模型具备相关的逻辑推理能力，保证内容生成的正确性和合规性。</w:t>
            </w:r>
          </w:p>
          <w:p w14:paraId="1BE7D2C9">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自动化管理：具备模型自动更新功能，简化操作流程，提高管理效率。</w:t>
            </w:r>
          </w:p>
          <w:p w14:paraId="278E2C15">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（2）</w:t>
            </w:r>
            <w:r>
              <w:rPr>
                <w:rFonts w:hint="eastAsia" w:cs="宋体"/>
                <w:b/>
                <w:bCs/>
                <w:kern w:val="2"/>
                <w:sz w:val="21"/>
                <w:szCs w:val="21"/>
                <w:lang w:bidi="ar"/>
              </w:rPr>
              <w:t>模型量化</w:t>
            </w:r>
            <w:r>
              <w:rPr>
                <w:rFonts w:hint="eastAsia" w:cs="宋体"/>
                <w:b/>
                <w:bCs/>
                <w:kern w:val="2"/>
                <w:sz w:val="21"/>
                <w:szCs w:val="21"/>
                <w:lang w:eastAsia="zh" w:bidi="ar"/>
              </w:rPr>
              <w:t>模块</w:t>
            </w:r>
          </w:p>
          <w:p w14:paraId="143DEAE9">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量化支持：支持将大模型转换为低精度版本（如INT8或FP16），减少模型的存储空间并提升推理速度。量化方式支持多种精度模式选择</w:t>
            </w:r>
            <w:r>
              <w:rPr>
                <w:rFonts w:hint="eastAsia" w:cs="宋体"/>
                <w:kern w:val="2"/>
                <w:sz w:val="21"/>
                <w:szCs w:val="21"/>
                <w:lang w:eastAsia="zh" w:bidi="ar"/>
              </w:rPr>
              <w:t>（</w:t>
            </w:r>
            <w:r>
              <w:rPr>
                <w:rFonts w:hint="eastAsia" w:cs="宋体"/>
                <w:kern w:val="2"/>
                <w:sz w:val="21"/>
                <w:szCs w:val="21"/>
                <w:lang w:bidi="ar"/>
              </w:rPr>
              <w:t>如对称和非对称量化），</w:t>
            </w:r>
            <w:r>
              <w:rPr>
                <w:rFonts w:hint="eastAsia" w:cs="宋体"/>
                <w:kern w:val="2"/>
                <w:sz w:val="21"/>
                <w:szCs w:val="21"/>
                <w:lang w:eastAsia="zh" w:bidi="ar"/>
              </w:rPr>
              <w:t>以</w:t>
            </w:r>
            <w:r>
              <w:rPr>
                <w:rFonts w:hint="eastAsia" w:cs="宋体"/>
                <w:kern w:val="2"/>
                <w:sz w:val="21"/>
                <w:szCs w:val="21"/>
                <w:lang w:bidi="ar"/>
              </w:rPr>
              <w:t>平衡性能与模型效果，且量化过程支持定制化设置，用户可根据应用场景选择不同的量化策略，满足特定业务需求。</w:t>
            </w:r>
          </w:p>
          <w:p w14:paraId="2669B8D9">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量化性能评估：</w:t>
            </w:r>
            <w:r>
              <w:rPr>
                <w:rFonts w:hint="eastAsia" w:cs="宋体"/>
                <w:kern w:val="2"/>
                <w:sz w:val="21"/>
                <w:szCs w:val="21"/>
                <w:lang w:eastAsia="zh" w:bidi="ar"/>
              </w:rPr>
              <w:t>提供</w:t>
            </w:r>
            <w:r>
              <w:rPr>
                <w:rFonts w:hint="eastAsia" w:cs="宋体"/>
                <w:kern w:val="2"/>
                <w:sz w:val="21"/>
                <w:szCs w:val="21"/>
                <w:lang w:bidi="ar"/>
              </w:rPr>
              <w:t>量化模型的性能评估报告，</w:t>
            </w:r>
            <w:r>
              <w:rPr>
                <w:rFonts w:hint="eastAsia" w:cs="宋体"/>
                <w:kern w:val="2"/>
                <w:sz w:val="21"/>
                <w:szCs w:val="21"/>
                <w:lang w:eastAsia="zh" w:bidi="ar"/>
              </w:rPr>
              <w:t>包含</w:t>
            </w:r>
            <w:r>
              <w:rPr>
                <w:rFonts w:hint="eastAsia" w:cs="宋体"/>
                <w:kern w:val="2"/>
                <w:sz w:val="21"/>
                <w:szCs w:val="21"/>
                <w:lang w:bidi="ar"/>
              </w:rPr>
              <w:t>量化前后模型的精度对比、推理速度提升等详细数据</w:t>
            </w:r>
            <w:r>
              <w:rPr>
                <w:rFonts w:hint="eastAsia" w:cs="宋体"/>
                <w:kern w:val="2"/>
                <w:sz w:val="21"/>
                <w:szCs w:val="21"/>
                <w:lang w:eastAsia="zh" w:bidi="ar"/>
              </w:rPr>
              <w:t>，</w:t>
            </w:r>
            <w:r>
              <w:rPr>
                <w:rFonts w:hint="eastAsia" w:cs="宋体"/>
                <w:kern w:val="2"/>
                <w:sz w:val="21"/>
                <w:szCs w:val="21"/>
                <w:lang w:bidi="ar"/>
              </w:rPr>
              <w:t>以确保模型精度损失在可接受范围内。</w:t>
            </w:r>
          </w:p>
          <w:p w14:paraId="40E52C42">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（3）</w:t>
            </w:r>
            <w:r>
              <w:rPr>
                <w:rFonts w:hint="eastAsia" w:cs="宋体"/>
                <w:b/>
                <w:bCs/>
                <w:kern w:val="2"/>
                <w:sz w:val="21"/>
                <w:szCs w:val="21"/>
                <w:lang w:bidi="ar"/>
              </w:rPr>
              <w:t>推理加速</w:t>
            </w:r>
            <w:r>
              <w:rPr>
                <w:rFonts w:hint="eastAsia" w:cs="宋体"/>
                <w:b/>
                <w:bCs/>
                <w:kern w:val="2"/>
                <w:sz w:val="21"/>
                <w:szCs w:val="21"/>
                <w:lang w:eastAsia="zh" w:bidi="ar"/>
              </w:rPr>
              <w:t>模块</w:t>
            </w:r>
          </w:p>
          <w:p w14:paraId="32DFA822">
            <w:pPr>
              <w:pStyle w:val="20"/>
              <w:widowControl w:val="0"/>
              <w:spacing w:before="0" w:beforeAutospacing="0" w:after="0" w:afterAutospacing="0" w:line="288" w:lineRule="auto"/>
              <w:ind w:firstLineChars="200"/>
              <w:jc w:val="both"/>
              <w:rPr>
                <w:rFonts w:hint="eastAsia" w:cs="宋体"/>
                <w:sz w:val="21"/>
                <w:szCs w:val="21"/>
              </w:rPr>
            </w:pPr>
            <w:r>
              <w:rPr>
                <w:rFonts w:hint="eastAsia" w:cs="宋体"/>
                <w:kern w:val="2"/>
                <w:sz w:val="21"/>
                <w:szCs w:val="21"/>
                <w:lang w:bidi="ar"/>
              </w:rPr>
              <w:t>模型推理加速：对于不同来源的大模型，接入不同种类的模型推理加速框架进行性能优化，支持多级多卡推理，如vLLM、LmDeploy。</w:t>
            </w:r>
            <w:r>
              <w:rPr>
                <w:rFonts w:hint="eastAsia" w:cs="宋体"/>
                <w:sz w:val="21"/>
                <w:szCs w:val="21"/>
              </w:rPr>
              <w:t xml:space="preserve">通过缓存多轮对话中的K/V值，避免重复处理历史会话，提升长文本多轮对话效率。 </w:t>
            </w:r>
          </w:p>
          <w:p w14:paraId="4941F71E">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硬件加速优化：支持GPU、TPU、FPGA等硬件加速技术，能够结合场景需求，自动匹配最佳硬件加速方案，实现软硬件协同优化。</w:t>
            </w:r>
          </w:p>
          <w:p w14:paraId="02B220C7">
            <w:pPr>
              <w:pStyle w:val="20"/>
              <w:widowControl w:val="0"/>
              <w:spacing w:before="0" w:beforeAutospacing="0" w:after="0" w:afterAutospacing="0" w:line="288" w:lineRule="auto"/>
              <w:jc w:val="both"/>
              <w:rPr>
                <w:rFonts w:hint="eastAsia" w:cs="宋体"/>
                <w:kern w:val="2"/>
                <w:sz w:val="21"/>
                <w:szCs w:val="21"/>
                <w:lang w:bidi="ar"/>
              </w:rPr>
            </w:pPr>
            <w:r>
              <w:rPr>
                <w:rFonts w:hint="eastAsia" w:cs="宋体"/>
                <w:kern w:val="2"/>
                <w:sz w:val="21"/>
                <w:szCs w:val="21"/>
                <w:lang w:bidi="ar"/>
              </w:rPr>
              <w:t>批量推理</w:t>
            </w:r>
            <w:r>
              <w:rPr>
                <w:rFonts w:hint="eastAsia" w:cs="宋体"/>
                <w:kern w:val="2"/>
                <w:sz w:val="21"/>
                <w:szCs w:val="21"/>
                <w:lang w:eastAsia="zh" w:bidi="ar"/>
              </w:rPr>
              <w:t>与</w:t>
            </w:r>
            <w:r>
              <w:rPr>
                <w:rFonts w:hint="eastAsia" w:cs="宋体"/>
                <w:kern w:val="2"/>
                <w:sz w:val="21"/>
                <w:szCs w:val="21"/>
                <w:lang w:bidi="ar"/>
              </w:rPr>
              <w:t>模型请求并发：优化批量推理能力，提升在大规模数据处理场景下的效率。自适应批处理机制，根据推理请求动态调整批次大小，进一步优化性能。在接入推理加速框架后，模型调用过程中通过请求分发服务，能够更好的满足高并发业务与负载均衡。</w:t>
            </w:r>
          </w:p>
          <w:p w14:paraId="06A034D5">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（4）</w:t>
            </w:r>
            <w:r>
              <w:rPr>
                <w:rFonts w:hint="eastAsia" w:cs="宋体"/>
                <w:b/>
                <w:bCs/>
                <w:kern w:val="2"/>
                <w:sz w:val="21"/>
                <w:szCs w:val="21"/>
                <w:lang w:bidi="ar"/>
              </w:rPr>
              <w:t>模型库管理</w:t>
            </w:r>
            <w:r>
              <w:rPr>
                <w:rFonts w:hint="eastAsia" w:cs="宋体"/>
                <w:b/>
                <w:bCs/>
                <w:kern w:val="2"/>
                <w:sz w:val="21"/>
                <w:szCs w:val="21"/>
                <w:lang w:eastAsia="zh" w:bidi="ar"/>
              </w:rPr>
              <w:t>模块</w:t>
            </w:r>
          </w:p>
          <w:p w14:paraId="4B178E3F">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模型管理功能：支持管理初始模型和训练后的模型，提供模型库的完整视图。</w:t>
            </w:r>
          </w:p>
          <w:p w14:paraId="61B8E091">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模型详情查看：可查看每个模型的详细信息，包括模型参数、训练数据集、训练时间、评测数据集及评测结果。支持对训练日志和可视化分析，便于开发者了解模型的训练过程和性能表现。</w:t>
            </w:r>
          </w:p>
          <w:p w14:paraId="0C8BF57E">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自动化版本控制：支持对模型的版本进行自动化控制，提供清晰的历史记录及模型回溯功能</w:t>
            </w:r>
            <w:r>
              <w:rPr>
                <w:rFonts w:hint="eastAsia" w:cs="宋体"/>
                <w:kern w:val="2"/>
                <w:sz w:val="21"/>
                <w:szCs w:val="21"/>
                <w:lang w:eastAsia="zh" w:bidi="ar"/>
              </w:rPr>
              <w:t>，</w:t>
            </w:r>
            <w:r>
              <w:rPr>
                <w:rFonts w:hint="eastAsia" w:cs="宋体"/>
                <w:kern w:val="2"/>
                <w:sz w:val="21"/>
                <w:szCs w:val="21"/>
                <w:lang w:bidi="ar"/>
              </w:rPr>
              <w:t>确保模型在发生问题时可以回滚至稳定版本。</w:t>
            </w:r>
          </w:p>
          <w:p w14:paraId="70559BF1">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模型健康监控：为大模型提供健康监控功能，实时检测模型服务的性能（如响应时间、内存使用、CPU/GPU负载等），并在出现异常时触发警报，确保部署后服务的稳定性。</w:t>
            </w:r>
          </w:p>
          <w:p w14:paraId="1F4C5D18">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bidi="ar"/>
              </w:rPr>
              <w:t>多租户支持：支持多租户架构，为不同用户或部门提供隔离的环境，确保每个用户的私有化模型部署不会相互干扰，增强资源使用的安全性和效率。</w:t>
            </w:r>
          </w:p>
          <w:p w14:paraId="4F9C34F7">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（5）</w:t>
            </w:r>
            <w:r>
              <w:rPr>
                <w:rFonts w:hint="eastAsia" w:cs="宋体"/>
                <w:b/>
                <w:bCs/>
                <w:kern w:val="2"/>
                <w:sz w:val="21"/>
                <w:szCs w:val="21"/>
                <w:lang w:bidi="ar"/>
              </w:rPr>
              <w:t>服务功能</w:t>
            </w:r>
            <w:r>
              <w:rPr>
                <w:rFonts w:hint="eastAsia" w:cs="宋体"/>
                <w:b/>
                <w:bCs/>
                <w:kern w:val="2"/>
                <w:sz w:val="21"/>
                <w:szCs w:val="21"/>
                <w:lang w:eastAsia="zh" w:bidi="ar"/>
              </w:rPr>
              <w:t>模块</w:t>
            </w:r>
          </w:p>
          <w:p w14:paraId="36A8BA01">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生成任务支持：支持根据文本提示词生成符合要求的文字输出，生成内容具备多样性和一致性，提供可控生成技术以满足特定应用场景的需求。</w:t>
            </w:r>
          </w:p>
          <w:p w14:paraId="01F47CC7">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上下文管理：系统具备上下文管理功能，支持用户提示词和系统提示词的长短期记忆，增强模型在多轮对话中的理解与生成能力，确保上下文一致性。</w:t>
            </w:r>
          </w:p>
          <w:p w14:paraId="1B638B8D">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流式输出：支持生成内容的流式输出，提升响应速度和用户体验。</w:t>
            </w:r>
          </w:p>
          <w:p w14:paraId="54ED6EF9">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函数调用支持：提供标准的函数调用功能，允许模型根据需求执行指定操作。扩展函数调用的API接口，支持多种语言和不同的集成场景。</w:t>
            </w:r>
          </w:p>
          <w:p w14:paraId="33C733A1">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API和SDK支持：提供标准</w:t>
            </w:r>
            <w:r>
              <w:rPr>
                <w:rFonts w:hint="eastAsia" w:cs="宋体"/>
                <w:kern w:val="2"/>
                <w:sz w:val="21"/>
                <w:szCs w:val="21"/>
                <w:lang w:eastAsia="zh" w:bidi="ar"/>
              </w:rPr>
              <w:t>化</w:t>
            </w:r>
            <w:r>
              <w:rPr>
                <w:rFonts w:hint="eastAsia" w:cs="宋体"/>
                <w:kern w:val="2"/>
                <w:sz w:val="21"/>
                <w:szCs w:val="21"/>
                <w:lang w:bidi="ar"/>
              </w:rPr>
              <w:t>大模型</w:t>
            </w:r>
            <w:r>
              <w:rPr>
                <w:rFonts w:hint="eastAsia" w:cs="宋体"/>
                <w:kern w:val="2"/>
                <w:sz w:val="21"/>
                <w:szCs w:val="21"/>
                <w:lang w:eastAsia="zh" w:bidi="ar"/>
              </w:rPr>
              <w:t>可</w:t>
            </w:r>
            <w:r>
              <w:rPr>
                <w:rFonts w:hint="eastAsia" w:cs="宋体"/>
                <w:kern w:val="2"/>
                <w:sz w:val="21"/>
                <w:szCs w:val="21"/>
                <w:lang w:bidi="ar"/>
              </w:rPr>
              <w:t>调用</w:t>
            </w:r>
            <w:r>
              <w:rPr>
                <w:rFonts w:hint="eastAsia" w:cs="宋体"/>
                <w:kern w:val="2"/>
                <w:sz w:val="21"/>
                <w:szCs w:val="21"/>
                <w:lang w:eastAsia="zh" w:bidi="ar"/>
              </w:rPr>
              <w:t>的</w:t>
            </w:r>
            <w:r>
              <w:rPr>
                <w:rFonts w:hint="eastAsia" w:cs="宋体"/>
                <w:kern w:val="2"/>
                <w:sz w:val="21"/>
                <w:szCs w:val="21"/>
                <w:lang w:bidi="ar"/>
              </w:rPr>
              <w:t>API和SDK，便于开发者快速集成模型服务。加强API限流和安全性设计，确保服务的可用性和数据隐私。</w:t>
            </w:r>
          </w:p>
          <w:p w14:paraId="7C1473E9">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bidi="ar"/>
              </w:rPr>
              <w:t>敏感词配置：支持敏感词配置，结合规则库和机器学习模型，实现多层次内容过滤机制，提升内容审核的准确性和效率，对涉及政治、色情、暴恐等一些列敏感词汇不予回答或跳过</w:t>
            </w:r>
            <w:r>
              <w:rPr>
                <w:rFonts w:hint="eastAsia" w:cs="宋体"/>
                <w:kern w:val="2"/>
                <w:sz w:val="21"/>
                <w:szCs w:val="21"/>
                <w:lang w:eastAsia="zh" w:bidi="ar"/>
              </w:rPr>
              <w:t>，</w:t>
            </w:r>
            <w:r>
              <w:rPr>
                <w:rFonts w:hint="eastAsia" w:cs="宋体"/>
                <w:kern w:val="2"/>
                <w:sz w:val="21"/>
                <w:szCs w:val="21"/>
                <w:lang w:bidi="ar"/>
              </w:rPr>
              <w:t>确保生成内容的合规性和安全性</w:t>
            </w:r>
            <w:r>
              <w:rPr>
                <w:rFonts w:hint="eastAsia" w:cs="宋体"/>
                <w:kern w:val="2"/>
                <w:sz w:val="21"/>
                <w:szCs w:val="21"/>
                <w:lang w:eastAsia="zh" w:bidi="ar"/>
              </w:rPr>
              <w:t>。</w:t>
            </w:r>
          </w:p>
          <w:p w14:paraId="37AFBC56">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（6）</w:t>
            </w:r>
            <w:r>
              <w:rPr>
                <w:rFonts w:hint="eastAsia" w:cs="宋体"/>
                <w:b/>
                <w:bCs/>
                <w:kern w:val="2"/>
                <w:sz w:val="21"/>
                <w:szCs w:val="21"/>
                <w:lang w:bidi="ar"/>
              </w:rPr>
              <w:t>高效资源管理</w:t>
            </w:r>
            <w:r>
              <w:rPr>
                <w:rFonts w:hint="eastAsia" w:cs="宋体"/>
                <w:b/>
                <w:bCs/>
                <w:kern w:val="2"/>
                <w:sz w:val="21"/>
                <w:szCs w:val="21"/>
                <w:lang w:eastAsia="zh" w:bidi="ar"/>
              </w:rPr>
              <w:t>模块</w:t>
            </w:r>
          </w:p>
          <w:p w14:paraId="6BD91179">
            <w:pPr>
              <w:pStyle w:val="20"/>
              <w:widowControl w:val="0"/>
              <w:spacing w:before="0" w:beforeAutospacing="0" w:after="0" w:afterAutospacing="0" w:line="288" w:lineRule="auto"/>
              <w:ind w:firstLineChars="200"/>
              <w:jc w:val="both"/>
              <w:rPr>
                <w:rFonts w:hint="eastAsia" w:cs="宋体"/>
                <w:kern w:val="2"/>
                <w:sz w:val="21"/>
                <w:szCs w:val="21"/>
                <w:highlight w:val="yellow"/>
                <w:lang w:eastAsia="zh" w:bidi="ar"/>
              </w:rPr>
            </w:pPr>
            <w:r>
              <w:rPr>
                <w:rFonts w:hint="eastAsia" w:cs="宋体"/>
                <w:kern w:val="2"/>
                <w:sz w:val="21"/>
                <w:szCs w:val="21"/>
                <w:lang w:bidi="ar"/>
              </w:rPr>
              <w:t>弹性资源调度：为大规模模型的推理加速引入弹性资源调度机制，支持根据工作负载动态分配计算资源，确保在高峰期有足够的计算资源可用，低负载时可节约资源，降低运营成本。</w:t>
            </w:r>
          </w:p>
          <w:p w14:paraId="01802DD2">
            <w:pPr>
              <w:pStyle w:val="20"/>
              <w:widowControl w:val="0"/>
              <w:spacing w:before="0" w:beforeAutospacing="0" w:after="0" w:afterAutospacing="0" w:line="288" w:lineRule="auto"/>
              <w:ind w:firstLineChars="200"/>
              <w:jc w:val="both"/>
              <w:rPr>
                <w:rFonts w:hint="eastAsia" w:cs="宋体"/>
                <w:kern w:val="2"/>
                <w:sz w:val="21"/>
                <w:szCs w:val="21"/>
                <w:highlight w:val="yellow"/>
                <w:lang w:eastAsia="zh" w:bidi="ar"/>
              </w:rPr>
            </w:pPr>
            <w:r>
              <w:rPr>
                <w:rFonts w:hint="eastAsia" w:cs="宋体"/>
                <w:kern w:val="2"/>
                <w:sz w:val="21"/>
                <w:szCs w:val="21"/>
                <w:lang w:bidi="ar"/>
              </w:rPr>
              <w:t>动态资源调度：根据系统实时负载动态调整资源分配，确保推理服务的稳定性和高效性，在高并发场景下确保服务的稳定运行。</w:t>
            </w:r>
          </w:p>
          <w:p w14:paraId="2D6A8345">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（7）</w:t>
            </w:r>
            <w:r>
              <w:rPr>
                <w:rFonts w:hint="eastAsia" w:cs="宋体"/>
                <w:b/>
                <w:bCs/>
                <w:kern w:val="2"/>
                <w:sz w:val="21"/>
                <w:szCs w:val="21"/>
                <w:lang w:bidi="ar"/>
              </w:rPr>
              <w:t>自动化部署与管理</w:t>
            </w:r>
            <w:r>
              <w:rPr>
                <w:rFonts w:hint="eastAsia" w:cs="宋体"/>
                <w:b/>
                <w:bCs/>
                <w:kern w:val="2"/>
                <w:sz w:val="21"/>
                <w:szCs w:val="21"/>
                <w:lang w:eastAsia="zh" w:bidi="ar"/>
              </w:rPr>
              <w:t>模块</w:t>
            </w:r>
          </w:p>
          <w:p w14:paraId="6A3AA776">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自动化模型部署管道：引入自动化模型部署管道，通过自动化脚本或流程配置，简化模型的发布、版本控制和部署步骤，减少人为错误并提升模型上线效率。</w:t>
            </w:r>
          </w:p>
          <w:p w14:paraId="67374473">
            <w:pPr>
              <w:numPr>
                <w:ilvl w:val="0"/>
                <w:numId w:val="4"/>
              </w:numPr>
              <w:spacing w:line="288" w:lineRule="auto"/>
              <w:ind w:firstLine="422" w:firstLineChars="200"/>
              <w:rPr>
                <w:rFonts w:hint="eastAsia" w:ascii="宋体" w:hAnsi="宋体" w:eastAsia="宋体" w:cs="宋体"/>
                <w:b/>
                <w:bCs/>
                <w:szCs w:val="21"/>
                <w:lang w:eastAsia="zh" w:bidi="ar"/>
              </w:rPr>
            </w:pPr>
            <w:r>
              <w:rPr>
                <w:rFonts w:hint="eastAsia" w:ascii="宋体" w:hAnsi="宋体" w:eastAsia="宋体" w:cs="宋体"/>
                <w:b/>
                <w:bCs/>
                <w:szCs w:val="21"/>
                <w:lang w:eastAsia="zh" w:bidi="ar"/>
              </w:rPr>
              <w:t>技术与人员培训</w:t>
            </w:r>
          </w:p>
          <w:p w14:paraId="4E49EB8F">
            <w:pPr>
              <w:numPr>
                <w:ilvl w:val="255"/>
                <w:numId w:val="0"/>
              </w:num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eastAsia="zh" w:bidi="ar"/>
              </w:rPr>
              <w:t>技术支持：</w:t>
            </w:r>
            <w:r>
              <w:rPr>
                <w:rFonts w:hint="eastAsia" w:ascii="宋体" w:hAnsi="宋体" w:eastAsia="宋体" w:cs="宋体"/>
                <w:szCs w:val="21"/>
                <w:lang w:bidi="ar"/>
              </w:rPr>
              <w:t>提供</w:t>
            </w:r>
            <w:r>
              <w:rPr>
                <w:rFonts w:hint="eastAsia" w:ascii="宋体" w:hAnsi="宋体" w:eastAsia="宋体" w:cs="宋体"/>
                <w:szCs w:val="21"/>
                <w:lang w:eastAsia="zh" w:bidi="ar"/>
              </w:rPr>
              <w:t>不少于5年的</w:t>
            </w:r>
            <w:r>
              <w:rPr>
                <w:rFonts w:hint="eastAsia" w:ascii="宋体" w:hAnsi="宋体" w:eastAsia="宋体" w:cs="宋体"/>
                <w:szCs w:val="21"/>
                <w:lang w:bidi="ar"/>
              </w:rPr>
              <w:t>技术支持，可根据采购人经验和发展不断地演化大模型，使其具有采购人特色。</w:t>
            </w:r>
          </w:p>
          <w:p w14:paraId="04DEA97D">
            <w:pPr>
              <w:numPr>
                <w:ilvl w:val="255"/>
                <w:numId w:val="0"/>
              </w:num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eastAsia="zh" w:bidi="ar"/>
              </w:rPr>
              <w:t>人员培训：每年为相关管理人员至少提供两次相关技术培训服务。</w:t>
            </w:r>
          </w:p>
        </w:tc>
        <w:tc>
          <w:tcPr>
            <w:tcW w:w="320" w:type="pct"/>
            <w:vAlign w:val="center"/>
          </w:tcPr>
          <w:p w14:paraId="6D18E066">
            <w:pPr>
              <w:spacing w:line="288" w:lineRule="auto"/>
              <w:jc w:val="center"/>
              <w:rPr>
                <w:rFonts w:hint="eastAsia" w:ascii="宋体" w:hAnsi="宋体" w:eastAsia="宋体" w:cs="宋体"/>
                <w:szCs w:val="21"/>
              </w:rPr>
            </w:pPr>
            <w:r>
              <w:rPr>
                <w:rFonts w:hint="eastAsia" w:ascii="宋体" w:hAnsi="宋体" w:eastAsia="宋体" w:cs="宋体"/>
                <w:szCs w:val="21"/>
              </w:rPr>
              <w:t>1套</w:t>
            </w:r>
          </w:p>
        </w:tc>
      </w:tr>
      <w:tr w14:paraId="0126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14:paraId="480D94EB">
            <w:pPr>
              <w:spacing w:line="288" w:lineRule="auto"/>
              <w:jc w:val="center"/>
              <w:rPr>
                <w:rFonts w:hint="eastAsia" w:ascii="宋体" w:hAnsi="宋体" w:eastAsia="宋体" w:cs="宋体"/>
                <w:szCs w:val="21"/>
                <w:lang w:eastAsia="zh"/>
              </w:rPr>
            </w:pPr>
            <w:r>
              <w:rPr>
                <w:rFonts w:hint="eastAsia" w:ascii="宋体" w:hAnsi="宋体" w:eastAsia="宋体" w:cs="宋体"/>
                <w:szCs w:val="21"/>
                <w:lang w:eastAsia="zh"/>
              </w:rPr>
              <w:t>2</w:t>
            </w:r>
          </w:p>
        </w:tc>
        <w:tc>
          <w:tcPr>
            <w:tcW w:w="549" w:type="pct"/>
            <w:vAlign w:val="center"/>
          </w:tcPr>
          <w:p w14:paraId="4C16E8D7">
            <w:pPr>
              <w:pStyle w:val="20"/>
              <w:widowControl w:val="0"/>
              <w:spacing w:before="0" w:beforeAutospacing="0" w:after="0" w:afterAutospacing="0" w:line="288" w:lineRule="auto"/>
              <w:ind w:firstLine="0"/>
              <w:jc w:val="both"/>
              <w:rPr>
                <w:rFonts w:hint="eastAsia" w:cs="宋体"/>
                <w:b/>
                <w:bCs/>
                <w:kern w:val="2"/>
                <w:sz w:val="21"/>
                <w:szCs w:val="21"/>
              </w:rPr>
            </w:pPr>
            <w:r>
              <w:rPr>
                <w:rFonts w:hint="eastAsia" w:cs="宋体"/>
                <w:b/>
                <w:bCs/>
                <w:kern w:val="2"/>
                <w:sz w:val="21"/>
                <w:szCs w:val="21"/>
                <w:lang w:eastAsia="zh" w:bidi="ar"/>
              </w:rPr>
              <w:t>“</w:t>
            </w:r>
            <w:r>
              <w:rPr>
                <w:rFonts w:hint="eastAsia" w:cs="宋体"/>
                <w:b/>
                <w:bCs/>
                <w:kern w:val="2"/>
                <w:sz w:val="21"/>
                <w:szCs w:val="21"/>
                <w:lang w:bidi="ar"/>
              </w:rPr>
              <w:t>共同富裕智慧大脑”私有数据模型训练服务平台</w:t>
            </w:r>
          </w:p>
        </w:tc>
        <w:tc>
          <w:tcPr>
            <w:tcW w:w="3886" w:type="pct"/>
            <w:vAlign w:val="center"/>
          </w:tcPr>
          <w:p w14:paraId="25EF6868">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功能要求：可以在确保数据隐私与安全的前提下，为用户提供安全、高效的私有数据模型训练环境，支持多种机器学习和深度学习模型的定制化训练。</w:t>
            </w:r>
          </w:p>
          <w:p w14:paraId="6C8531A0">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该平台需要针对共同富裕数据模型训练生成专业与精准的解决方案、构建动态更新的全国共同富裕政策数据要素集、自研基于RAG和生成式AI技术的共同富裕政策大模型与共同富裕数据训练大模型，为共同富裕政策服务平台提供数据支持和能力支持。</w:t>
            </w:r>
          </w:p>
          <w:p w14:paraId="4CCDAAC7">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eastAsia="zh" w:bidi="ar"/>
              </w:rPr>
              <w:t>具体包括但不限于以下功能模块</w:t>
            </w:r>
            <w:r>
              <w:rPr>
                <w:rFonts w:hint="eastAsia" w:ascii="宋体" w:hAnsi="宋体" w:eastAsia="宋体" w:cs="宋体"/>
                <w:szCs w:val="21"/>
                <w:lang w:bidi="ar"/>
              </w:rPr>
              <w:t>：</w:t>
            </w:r>
          </w:p>
          <w:p w14:paraId="091D849D">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（1）</w:t>
            </w:r>
            <w:r>
              <w:rPr>
                <w:rFonts w:hint="eastAsia" w:ascii="宋体" w:hAnsi="宋体" w:eastAsia="宋体" w:cs="宋体"/>
                <w:b/>
                <w:bCs/>
                <w:szCs w:val="21"/>
                <w:lang w:bidi="ar"/>
              </w:rPr>
              <w:t>模型数据管理</w:t>
            </w:r>
            <w:r>
              <w:rPr>
                <w:rFonts w:hint="eastAsia" w:ascii="宋体" w:hAnsi="宋体" w:eastAsia="宋体" w:cs="宋体"/>
                <w:b/>
                <w:bCs/>
                <w:szCs w:val="21"/>
                <w:lang w:eastAsia="zh" w:bidi="ar"/>
              </w:rPr>
              <w:t>模块</w:t>
            </w:r>
          </w:p>
          <w:p w14:paraId="4C75393A">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数据集管理支持：平台应支持指令微调数据集和评测数据集的管理。并支持数据集的版本控制和自动化更新，确保模型训练中数据集的统一性和可追溯性。</w:t>
            </w:r>
          </w:p>
          <w:p w14:paraId="482136C5">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定制化训练集：支持针对共同富裕领域的定制化训练集的管理。同时，增加数据集自动标注和数据增强功能，提高定制化数据集的质量与多样性。</w:t>
            </w:r>
          </w:p>
          <w:p w14:paraId="3D3EEF18">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（2）</w:t>
            </w:r>
            <w:r>
              <w:rPr>
                <w:rFonts w:hint="eastAsia" w:ascii="宋体" w:hAnsi="宋体" w:eastAsia="宋体" w:cs="宋体"/>
                <w:b/>
                <w:bCs/>
                <w:szCs w:val="21"/>
                <w:lang w:bidi="ar"/>
              </w:rPr>
              <w:t>数据</w:t>
            </w:r>
            <w:r>
              <w:rPr>
                <w:rFonts w:hint="eastAsia" w:ascii="宋体" w:hAnsi="宋体" w:eastAsia="宋体" w:cs="宋体"/>
                <w:b/>
                <w:bCs/>
                <w:szCs w:val="21"/>
                <w:lang w:eastAsia="zh" w:bidi="ar"/>
              </w:rPr>
              <w:t>预</w:t>
            </w:r>
            <w:r>
              <w:rPr>
                <w:rFonts w:hint="eastAsia" w:ascii="宋体" w:hAnsi="宋体" w:eastAsia="宋体" w:cs="宋体"/>
                <w:b/>
                <w:bCs/>
                <w:szCs w:val="21"/>
                <w:lang w:bidi="ar"/>
              </w:rPr>
              <w:t>处理</w:t>
            </w:r>
            <w:r>
              <w:rPr>
                <w:rFonts w:hint="eastAsia" w:ascii="宋体" w:hAnsi="宋体" w:eastAsia="宋体" w:cs="宋体"/>
                <w:b/>
                <w:bCs/>
                <w:szCs w:val="21"/>
                <w:lang w:eastAsia="zh" w:bidi="ar"/>
              </w:rPr>
              <w:t>模块</w:t>
            </w:r>
          </w:p>
          <w:p w14:paraId="32674928">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自动化数据预处理支持：平台应提供对私有数据的预处理功能，包括内容抽取、数据清洗、去噪和格式修复等，确保数据的高质量标准。引入自动化数据预处理流水线，通过智能规则和AI技术对原始数据进行预处理，提高处理效率和数据质量。系统应支持多种格式的训练数据导入，包括文本、结构化数据等，满足不同类型数据的需求；提供数据清洗、标注和增强功能，方便用户对数据进行预处理和优化；支持大规模数据集的高效处理，单次可处理不少于100GB的原始数据，提高在大数据环境下的处理效率。</w:t>
            </w:r>
          </w:p>
          <w:p w14:paraId="3F6E4A6A">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异常处理和数据增强：针对数据中的异常项，增加异常检测与处理功能，并支持数据增强技术（如同义替换、数据重采样等），以进一步提高模型的泛化能力。</w:t>
            </w:r>
          </w:p>
          <w:p w14:paraId="052997E8">
            <w:pPr>
              <w:numPr>
                <w:ilvl w:val="255"/>
                <w:numId w:val="0"/>
              </w:numPr>
              <w:spacing w:line="288" w:lineRule="auto"/>
              <w:ind w:firstLine="422" w:firstLineChars="200"/>
              <w:rPr>
                <w:rFonts w:hint="eastAsia" w:ascii="宋体" w:hAnsi="宋体" w:eastAsia="宋体" w:cs="宋体"/>
                <w:b/>
                <w:bCs/>
                <w:szCs w:val="21"/>
                <w:lang w:eastAsia="zh" w:bidi="ar"/>
              </w:rPr>
            </w:pPr>
            <w:r>
              <w:rPr>
                <w:rFonts w:hint="eastAsia" w:ascii="宋体" w:hAnsi="宋体" w:eastAsia="宋体" w:cs="宋体"/>
                <w:b/>
                <w:bCs/>
                <w:szCs w:val="21"/>
                <w:lang w:eastAsia="zh" w:bidi="ar"/>
              </w:rPr>
              <w:t>（3）共同富裕政策大模型</w:t>
            </w:r>
          </w:p>
          <w:p w14:paraId="27B55921">
            <w:pPr>
              <w:numPr>
                <w:ilvl w:val="255"/>
                <w:numId w:val="0"/>
              </w:num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大模型训练：依托政策知识库以及高质量政策语料，基于文本大语言模型开发，包括但不限于：ChatGLM、Qwen、InternLM、Baichuan、LLaMA等；基于多模态大语言模型开发，包括但不限于：VisualGLM、CogVLM、LLaSM、VisCPM、Qwen-VL</w:t>
            </w:r>
            <w:r>
              <w:rPr>
                <w:rFonts w:hint="eastAsia" w:ascii="宋体" w:hAnsi="宋体" w:eastAsia="宋体" w:cs="宋体"/>
                <w:szCs w:val="21"/>
                <w:lang w:eastAsia="zh" w:bidi="ar"/>
              </w:rPr>
              <w:t>等，</w:t>
            </w:r>
            <w:r>
              <w:rPr>
                <w:rFonts w:hint="eastAsia" w:ascii="宋体" w:hAnsi="宋体" w:eastAsia="宋体" w:cs="宋体"/>
                <w:szCs w:val="21"/>
                <w:lang w:bidi="ar"/>
              </w:rPr>
              <w:t>研发共同富裕政策大模型，</w:t>
            </w:r>
            <w:r>
              <w:rPr>
                <w:rFonts w:hint="eastAsia" w:ascii="宋体" w:hAnsi="宋体" w:eastAsia="宋体" w:cs="宋体"/>
                <w:szCs w:val="21"/>
                <w:lang w:eastAsia="zh" w:bidi="ar"/>
              </w:rPr>
              <w:t>具备</w:t>
            </w:r>
            <w:r>
              <w:rPr>
                <w:rFonts w:hint="eastAsia" w:ascii="宋体" w:hAnsi="宋体" w:eastAsia="宋体" w:cs="宋体"/>
                <w:szCs w:val="21"/>
                <w:lang w:bidi="ar"/>
              </w:rPr>
              <w:t>提供</w:t>
            </w:r>
            <w:r>
              <w:rPr>
                <w:rFonts w:hint="eastAsia" w:ascii="宋体" w:hAnsi="宋体" w:eastAsia="宋体" w:cs="宋体"/>
                <w:szCs w:val="21"/>
                <w:lang w:eastAsia="zh" w:bidi="ar"/>
              </w:rPr>
              <w:t>有关</w:t>
            </w:r>
            <w:r>
              <w:rPr>
                <w:rFonts w:hint="eastAsia" w:ascii="宋体" w:hAnsi="宋体" w:eastAsia="宋体" w:cs="宋体"/>
                <w:szCs w:val="21"/>
                <w:lang w:bidi="ar"/>
              </w:rPr>
              <w:t>共同富裕政策的深度问答、纲要生成、扩写润色</w:t>
            </w:r>
            <w:r>
              <w:rPr>
                <w:rFonts w:hint="eastAsia" w:ascii="宋体" w:hAnsi="宋体" w:eastAsia="宋体" w:cs="宋体"/>
                <w:szCs w:val="21"/>
                <w:lang w:eastAsia="zh" w:bidi="ar"/>
              </w:rPr>
              <w:t>、政策建议</w:t>
            </w:r>
            <w:r>
              <w:rPr>
                <w:rFonts w:hint="eastAsia" w:ascii="宋体" w:hAnsi="宋体" w:eastAsia="宋体" w:cs="宋体"/>
                <w:szCs w:val="21"/>
                <w:lang w:bidi="ar"/>
              </w:rPr>
              <w:t>等生成能力。从不同层次对模型进行深度训练，包括编译优化、超参搜索、梯度积累、模型预训练、模型微调、强化学习等。在模型训练过程中不断对模型进行逐步的调整和优化，包括模型学习权重行为优化、内存优化、模型决策优化等。</w:t>
            </w:r>
          </w:p>
          <w:p w14:paraId="73290327">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模型管理：存储各个历史节点的模型版本，包括模型信息、模型超参数、模型权重等。持续地进行模型版本的迭代更新，在实际使用过程中不断修正调整模型权重。支持用户选择模型以及配置模型参数。</w:t>
            </w:r>
          </w:p>
          <w:p w14:paraId="076AE9E8">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模型部署：将训练完成模型的权重数据迁移至服务器环境，使得其可以在服务器环境下运行使用。进一步优化模型，以提高的训练和推理速度，降低计算成本和延迟，从而使模型更具有可行性和实用性。</w:t>
            </w:r>
          </w:p>
          <w:p w14:paraId="2B9C0AC7">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模型能力：提供包括标签分类、相似度匹配、语音识别、图像识别等其他模型能力。</w:t>
            </w:r>
          </w:p>
          <w:p w14:paraId="1C562F30">
            <w:pPr>
              <w:numPr>
                <w:ilvl w:val="255"/>
                <w:numId w:val="0"/>
              </w:num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共同富裕政策问答系统：</w:t>
            </w:r>
            <w:r>
              <w:rPr>
                <w:rFonts w:hint="eastAsia" w:ascii="宋体" w:hAnsi="宋体" w:eastAsia="宋体" w:cs="宋体"/>
                <w:szCs w:val="21"/>
                <w:lang w:bidi="ar"/>
              </w:rPr>
              <w:t>根据用户输入问题进行推理，实现大模型自主调用内外部能力，为用户提供智能化、精准化、可参考的解答互动服务</w:t>
            </w:r>
            <w:r>
              <w:rPr>
                <w:rFonts w:hint="eastAsia" w:ascii="宋体" w:hAnsi="宋体" w:eastAsia="宋体" w:cs="宋体"/>
                <w:szCs w:val="21"/>
                <w:lang w:eastAsia="zh" w:bidi="ar"/>
              </w:rPr>
              <w:t>；</w:t>
            </w:r>
            <w:r>
              <w:rPr>
                <w:rFonts w:hint="eastAsia" w:ascii="宋体" w:hAnsi="宋体" w:eastAsia="宋体" w:cs="宋体"/>
                <w:szCs w:val="21"/>
                <w:lang w:bidi="ar"/>
              </w:rPr>
              <w:t>支持用户通过输入语音进行提问，大模型会根据语音内容进行识别和解析，并以语音的形式回答用户</w:t>
            </w:r>
            <w:r>
              <w:rPr>
                <w:rFonts w:hint="eastAsia" w:ascii="宋体" w:hAnsi="宋体" w:eastAsia="宋体" w:cs="宋体"/>
                <w:szCs w:val="21"/>
                <w:lang w:eastAsia="zh" w:bidi="ar"/>
              </w:rPr>
              <w:t>；</w:t>
            </w:r>
            <w:r>
              <w:rPr>
                <w:rFonts w:hint="eastAsia" w:ascii="宋体" w:hAnsi="宋体" w:eastAsia="宋体" w:cs="宋体"/>
                <w:szCs w:val="21"/>
                <w:lang w:bidi="ar"/>
              </w:rPr>
              <w:t>支持用户将本地文档（Word、PDF文件或图片）上传系统，系统根据解析要求进行文档解析。</w:t>
            </w:r>
          </w:p>
          <w:p w14:paraId="315D1570">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政策辅助写作</w:t>
            </w:r>
            <w:r>
              <w:rPr>
                <w:rFonts w:hint="eastAsia" w:ascii="宋体" w:hAnsi="宋体" w:eastAsia="宋体" w:cs="宋体"/>
                <w:szCs w:val="21"/>
                <w:lang w:eastAsia="zh" w:bidi="ar"/>
              </w:rPr>
              <w:t>系统：</w:t>
            </w:r>
            <w:r>
              <w:rPr>
                <w:rFonts w:hint="eastAsia" w:ascii="宋体" w:hAnsi="宋体" w:eastAsia="宋体" w:cs="宋体"/>
                <w:szCs w:val="21"/>
                <w:lang w:bidi="ar"/>
              </w:rPr>
              <w:t>基于用户输入政策的主题信息以及文章结构，通过共同富裕大模型生成能力，智能生成政策大纲以及内容</w:t>
            </w:r>
            <w:r>
              <w:rPr>
                <w:rFonts w:hint="eastAsia" w:ascii="宋体" w:hAnsi="宋体" w:eastAsia="宋体" w:cs="宋体"/>
                <w:szCs w:val="21"/>
                <w:lang w:eastAsia="zh" w:bidi="ar"/>
              </w:rPr>
              <w:t>；</w:t>
            </w:r>
            <w:r>
              <w:rPr>
                <w:rFonts w:hint="eastAsia" w:ascii="宋体" w:hAnsi="宋体" w:eastAsia="宋体" w:cs="宋体"/>
                <w:szCs w:val="21"/>
                <w:lang w:bidi="ar"/>
              </w:rPr>
              <w:t>生成的政策内容支持文本在线编辑功能，用户可在页面进行内容以及格式的编辑，并提供政策导出功能</w:t>
            </w:r>
            <w:r>
              <w:rPr>
                <w:rFonts w:hint="eastAsia" w:ascii="宋体" w:hAnsi="宋体" w:eastAsia="宋体" w:cs="宋体"/>
                <w:szCs w:val="21"/>
                <w:lang w:eastAsia="zh" w:bidi="ar"/>
              </w:rPr>
              <w:t>；</w:t>
            </w:r>
            <w:r>
              <w:rPr>
                <w:rFonts w:hint="eastAsia" w:ascii="宋体" w:hAnsi="宋体" w:eastAsia="宋体" w:cs="宋体"/>
                <w:szCs w:val="21"/>
                <w:lang w:bidi="ar"/>
              </w:rPr>
              <w:t>用户可选取一段政策内容，通过共同富裕大模型扩写能力对选取内容进行扩写，并支持扩写内容的复制、追加和替换</w:t>
            </w:r>
            <w:r>
              <w:rPr>
                <w:rFonts w:hint="eastAsia" w:ascii="宋体" w:hAnsi="宋体" w:eastAsia="宋体" w:cs="宋体"/>
                <w:szCs w:val="21"/>
                <w:lang w:eastAsia="zh" w:bidi="ar"/>
              </w:rPr>
              <w:t>；</w:t>
            </w:r>
            <w:r>
              <w:rPr>
                <w:rFonts w:hint="eastAsia" w:ascii="宋体" w:hAnsi="宋体" w:eastAsia="宋体" w:cs="宋体"/>
                <w:szCs w:val="21"/>
                <w:lang w:bidi="ar"/>
              </w:rPr>
              <w:t>用户可选取一段政策内容，通过共同富裕大模型润色能力对选取内容进行润色，使生成的政策更符合写作规范，并支持润色内容的复制、追加和替换</w:t>
            </w:r>
            <w:r>
              <w:rPr>
                <w:rFonts w:hint="eastAsia" w:ascii="宋体" w:hAnsi="宋体" w:eastAsia="宋体" w:cs="宋体"/>
                <w:szCs w:val="21"/>
                <w:lang w:eastAsia="zh" w:bidi="ar"/>
              </w:rPr>
              <w:t>；</w:t>
            </w:r>
            <w:r>
              <w:rPr>
                <w:rFonts w:hint="eastAsia" w:ascii="宋体" w:hAnsi="宋体" w:eastAsia="宋体" w:cs="宋体"/>
                <w:szCs w:val="21"/>
                <w:lang w:bidi="ar"/>
              </w:rPr>
              <w:t>对政策内容中的错别字以及相关政策法规进行一致性校验，提示错误内容并纠正。</w:t>
            </w:r>
          </w:p>
          <w:p w14:paraId="5B0C2AB9">
            <w:pPr>
              <w:numPr>
                <w:ilvl w:val="255"/>
                <w:numId w:val="0"/>
              </w:num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rPr>
              <w:t>（4）</w:t>
            </w:r>
            <w:r>
              <w:rPr>
                <w:rFonts w:hint="eastAsia" w:ascii="宋体" w:hAnsi="宋体" w:eastAsia="宋体" w:cs="宋体"/>
                <w:b/>
                <w:bCs/>
                <w:szCs w:val="21"/>
              </w:rPr>
              <w:t>共同富裕数据训练大模型</w:t>
            </w:r>
          </w:p>
          <w:p w14:paraId="7CCFEE85">
            <w:pPr>
              <w:numPr>
                <w:ilvl w:val="255"/>
                <w:numId w:val="0"/>
              </w:num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大模型</w:t>
            </w:r>
            <w:r>
              <w:rPr>
                <w:rFonts w:hint="eastAsia" w:ascii="宋体" w:hAnsi="宋体" w:eastAsia="宋体" w:cs="宋体"/>
                <w:szCs w:val="21"/>
                <w:lang w:eastAsia="zh" w:bidi="ar"/>
              </w:rPr>
              <w:t>训练基础</w:t>
            </w:r>
            <w:r>
              <w:rPr>
                <w:rFonts w:hint="eastAsia" w:ascii="宋体" w:hAnsi="宋体" w:eastAsia="宋体" w:cs="宋体"/>
                <w:szCs w:val="21"/>
                <w:lang w:bidi="ar"/>
              </w:rPr>
              <w:t>：基于文本大语言模型开发，包括但不限于：ChatGLM、Qwen、InternLM、Baichuan、LLaMA等；基于多模态大语言模型开发，包括但不限于：VisualGLM、CogVLM、LLaSM、VisCPM、Qwen-VL</w:t>
            </w:r>
            <w:r>
              <w:rPr>
                <w:rFonts w:hint="eastAsia" w:ascii="宋体" w:hAnsi="宋体" w:eastAsia="宋体" w:cs="宋体"/>
                <w:szCs w:val="21"/>
                <w:lang w:eastAsia="zh" w:bidi="ar"/>
              </w:rPr>
              <w:t>等开发共同富裕数据训练大模型。需要开发</w:t>
            </w:r>
            <w:r>
              <w:rPr>
                <w:rFonts w:hint="eastAsia" w:ascii="宋体" w:hAnsi="宋体" w:eastAsia="宋体" w:cs="宋体"/>
                <w:szCs w:val="21"/>
                <w:lang w:bidi="ar"/>
              </w:rPr>
              <w:t>专用</w:t>
            </w:r>
            <w:r>
              <w:rPr>
                <w:rFonts w:hint="eastAsia" w:ascii="宋体" w:hAnsi="宋体" w:eastAsia="宋体" w:cs="宋体"/>
                <w:szCs w:val="21"/>
                <w:lang w:eastAsia="zh" w:bidi="ar"/>
              </w:rPr>
              <w:t>数据</w:t>
            </w:r>
            <w:r>
              <w:rPr>
                <w:rFonts w:hint="eastAsia" w:ascii="宋体" w:hAnsi="宋体" w:eastAsia="宋体" w:cs="宋体"/>
                <w:szCs w:val="21"/>
                <w:lang w:bidi="ar"/>
              </w:rPr>
              <w:t>接口</w:t>
            </w:r>
            <w:r>
              <w:rPr>
                <w:rFonts w:hint="eastAsia" w:ascii="宋体" w:hAnsi="宋体" w:eastAsia="宋体" w:cs="宋体"/>
                <w:szCs w:val="21"/>
                <w:lang w:eastAsia="zh" w:bidi="ar"/>
              </w:rPr>
              <w:t>，以实现</w:t>
            </w:r>
            <w:r>
              <w:rPr>
                <w:rFonts w:hint="eastAsia" w:ascii="宋体" w:hAnsi="宋体" w:eastAsia="宋体" w:cs="宋体"/>
                <w:szCs w:val="21"/>
                <w:lang w:bidi="ar"/>
              </w:rPr>
              <w:t>与政府</w:t>
            </w:r>
            <w:r>
              <w:rPr>
                <w:rFonts w:hint="eastAsia" w:ascii="宋体" w:hAnsi="宋体" w:eastAsia="宋体" w:cs="宋体"/>
                <w:szCs w:val="21"/>
                <w:lang w:eastAsia="zh" w:bidi="ar"/>
              </w:rPr>
              <w:t>部门、研究机构等主体实现实时的</w:t>
            </w:r>
            <w:r>
              <w:rPr>
                <w:rFonts w:hint="eastAsia" w:ascii="宋体" w:hAnsi="宋体" w:eastAsia="宋体" w:cs="宋体"/>
                <w:szCs w:val="21"/>
                <w:lang w:bidi="ar"/>
              </w:rPr>
              <w:t>数据对接</w:t>
            </w:r>
            <w:r>
              <w:rPr>
                <w:rFonts w:hint="eastAsia" w:ascii="宋体" w:hAnsi="宋体" w:eastAsia="宋体" w:cs="宋体"/>
                <w:szCs w:val="21"/>
                <w:lang w:eastAsia="zh" w:bidi="ar"/>
              </w:rPr>
              <w:t>与</w:t>
            </w:r>
            <w:r>
              <w:rPr>
                <w:rFonts w:hint="eastAsia" w:ascii="宋体" w:hAnsi="宋体" w:eastAsia="宋体" w:cs="宋体"/>
                <w:szCs w:val="21"/>
                <w:lang w:bidi="ar"/>
              </w:rPr>
              <w:t>更新。</w:t>
            </w:r>
            <w:r>
              <w:rPr>
                <w:rFonts w:hint="eastAsia" w:ascii="宋体" w:hAnsi="宋体" w:eastAsia="宋体" w:cs="宋体"/>
                <w:szCs w:val="21"/>
                <w:lang w:eastAsia="zh" w:bidi="ar"/>
              </w:rPr>
              <w:t>该模型的主要功能是</w:t>
            </w:r>
            <w:r>
              <w:rPr>
                <w:rFonts w:hint="eastAsia" w:ascii="宋体" w:hAnsi="宋体" w:eastAsia="宋体" w:cs="宋体"/>
                <w:szCs w:val="21"/>
                <w:lang w:bidi="ar"/>
              </w:rPr>
              <w:t>为用户提供治理政策问答以及治理建议等服务</w:t>
            </w:r>
            <w:r>
              <w:rPr>
                <w:rFonts w:hint="eastAsia" w:ascii="宋体" w:hAnsi="宋体" w:eastAsia="宋体" w:cs="宋体"/>
                <w:szCs w:val="21"/>
                <w:lang w:eastAsia="zh" w:bidi="ar"/>
              </w:rPr>
              <w:t>，具体是能够针对不同社会治理维度提出有针对性的问题分析与治理建议，助力治理决策的落实。</w:t>
            </w:r>
            <w:r>
              <w:rPr>
                <w:rFonts w:hint="eastAsia" w:ascii="宋体" w:hAnsi="宋体" w:eastAsia="宋体" w:cs="宋体"/>
                <w:szCs w:val="21"/>
                <w:lang w:bidi="ar"/>
              </w:rPr>
              <w:t>从多个层次对模型展开深度训练，涵盖编译优化、超参搜索、梯度积累、模型预训练、模型微调以及强化学习等方面。在模型训练的进程中，持续对模型进行逐步调整与优化，包括对模型学习权重行为、内存以及模型决策等方面进行优化。</w:t>
            </w:r>
          </w:p>
          <w:p w14:paraId="4FFE530F">
            <w:pPr>
              <w:numPr>
                <w:ilvl w:val="255"/>
                <w:numId w:val="0"/>
              </w:num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政策生成系统：充分依托数据训练大模型，对海量的数据进行深度挖掘与精准分析。系统全面地剖析当前的政策环境，深入研究政策的发展趋势、影响因素以及潜在问题。不仅为用户提供精准的政策问答服务，及时解答用户在政策方面的疑惑，还能根据实际情况提出具有前瞻性和可行性的政策建议。通过对各种政策因素的综合考量，为决策制定者提供有力的参考依据，助力政策的科学制定与高效执行。</w:t>
            </w:r>
          </w:p>
          <w:p w14:paraId="6AC55245">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模型管理：存储各个历史节点的模型版本，包括模型信息、模型超参数、模型权重等。持续地进行模型版本的迭代更新，在实际使用过程中不断修正调整模型权重。支持用户选择模型以及配置模型参数。</w:t>
            </w:r>
          </w:p>
          <w:p w14:paraId="2EF20985">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模型部署：将训练完成模型的权重数据迁移至服务器环境，使得其可以在服务器环境下运行使用。进一步优化模型，以提高的训练和推理速度，降低计算成本和延迟，从而使模型更具有可行性和实用性。</w:t>
            </w:r>
          </w:p>
          <w:p w14:paraId="1663EEE3">
            <w:pPr>
              <w:numPr>
                <w:ilvl w:val="255"/>
                <w:numId w:val="0"/>
              </w:num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模型能力：提供包括标签分类、相似度匹配、语音识别、图像识别等其他模型能力。</w:t>
            </w:r>
          </w:p>
          <w:p w14:paraId="12D03D74">
            <w:pPr>
              <w:numPr>
                <w:ilvl w:val="255"/>
                <w:numId w:val="0"/>
              </w:num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rPr>
              <w:t>（5）</w:t>
            </w:r>
            <w:r>
              <w:rPr>
                <w:rFonts w:hint="eastAsia" w:ascii="宋体" w:hAnsi="宋体" w:eastAsia="宋体" w:cs="宋体"/>
                <w:b/>
                <w:bCs/>
                <w:szCs w:val="21"/>
              </w:rPr>
              <w:t>政策计算器</w:t>
            </w:r>
          </w:p>
          <w:p w14:paraId="59D24D73">
            <w:pPr>
              <w:numPr>
                <w:ilvl w:val="255"/>
                <w:numId w:val="0"/>
              </w:num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政策推荐：基于</w:t>
            </w:r>
            <w:r>
              <w:rPr>
                <w:rFonts w:hint="eastAsia" w:ascii="宋体" w:hAnsi="宋体" w:eastAsia="宋体" w:cs="宋体"/>
                <w:szCs w:val="21"/>
                <w:lang w:eastAsia="zh" w:bidi="ar"/>
              </w:rPr>
              <w:t>不同人员或组织</w:t>
            </w:r>
            <w:r>
              <w:rPr>
                <w:rFonts w:hint="eastAsia" w:ascii="宋体" w:hAnsi="宋体" w:eastAsia="宋体" w:cs="宋体"/>
                <w:szCs w:val="21"/>
                <w:lang w:bidi="ar"/>
              </w:rPr>
              <w:t>的画像信息智能匹配和推荐可享受共同富裕领域的政策内容，并提供政策总结功能。</w:t>
            </w:r>
          </w:p>
          <w:p w14:paraId="73F22B76">
            <w:pPr>
              <w:numPr>
                <w:ilvl w:val="255"/>
                <w:numId w:val="0"/>
              </w:num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rPr>
              <w:t>（6）</w:t>
            </w:r>
            <w:r>
              <w:rPr>
                <w:rFonts w:hint="eastAsia" w:ascii="宋体" w:hAnsi="宋体" w:eastAsia="宋体" w:cs="宋体"/>
                <w:b/>
                <w:bCs/>
                <w:szCs w:val="21"/>
              </w:rPr>
              <w:t>训练优化引擎模块</w:t>
            </w:r>
          </w:p>
          <w:p w14:paraId="2C7A4348">
            <w:pPr>
              <w:spacing w:line="288" w:lineRule="auto"/>
              <w:ind w:firstLine="420" w:firstLineChars="200"/>
              <w:rPr>
                <w:rFonts w:hint="eastAsia" w:ascii="宋体" w:hAnsi="宋体" w:eastAsia="宋体" w:cs="宋体"/>
                <w:b/>
                <w:bCs/>
                <w:szCs w:val="21"/>
              </w:rPr>
            </w:pPr>
            <w:r>
              <w:rPr>
                <w:rFonts w:hint="eastAsia" w:ascii="宋体" w:hAnsi="宋体" w:eastAsia="宋体" w:cs="宋体"/>
                <w:szCs w:val="21"/>
                <w:lang w:bidi="ar"/>
              </w:rPr>
              <w:t>系统应支持对至少3个主流开源大模型进行调优训练，包括但不限于GPT、BERT、T5等系列模型。同时支持多种模型调优方法，包括微调、知识蒸馏、少样本学习等，以满足不同应用场景的需求；提供丰富的超参数优化策略，如贝叶斯优化、网格搜索等，帮助提高模型性能；支持分布式训练，可利用多GPU集群加速训练过程，提高训练效率。</w:t>
            </w:r>
          </w:p>
          <w:p w14:paraId="6973ECE8">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rPr>
              <w:t>（7）</w:t>
            </w:r>
            <w:r>
              <w:rPr>
                <w:rFonts w:hint="eastAsia" w:ascii="宋体" w:hAnsi="宋体" w:eastAsia="宋体" w:cs="宋体"/>
                <w:b/>
                <w:bCs/>
                <w:szCs w:val="21"/>
              </w:rPr>
              <w:t>评估与分析模块</w:t>
            </w:r>
          </w:p>
          <w:p w14:paraId="1F5472A0">
            <w:pPr>
              <w:spacing w:line="288" w:lineRule="auto"/>
              <w:ind w:firstLine="420" w:firstLineChars="200"/>
              <w:rPr>
                <w:rFonts w:hint="eastAsia" w:ascii="宋体" w:hAnsi="宋体" w:eastAsia="宋体" w:cs="宋体"/>
                <w:b/>
                <w:bCs/>
                <w:szCs w:val="21"/>
              </w:rPr>
            </w:pPr>
            <w:r>
              <w:rPr>
                <w:rFonts w:hint="eastAsia" w:ascii="宋体" w:hAnsi="宋体" w:eastAsia="宋体" w:cs="宋体"/>
                <w:szCs w:val="21"/>
                <w:lang w:bidi="ar"/>
              </w:rPr>
              <w:t>系统应提供全面的模型评估指标，包括准确率、困惑度、BLEU分数等，方便全面评估模型性能；支持模型在特定任务上的性能比较和可视化，帮助用户直观了解模型表现；提供模型解释性分析工具，帮助理解模型的决策过程，增强模型的可解释性。</w:t>
            </w:r>
          </w:p>
          <w:p w14:paraId="05BE1EA6">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（8）</w:t>
            </w:r>
            <w:r>
              <w:rPr>
                <w:rFonts w:hint="eastAsia" w:ascii="宋体" w:hAnsi="宋体" w:eastAsia="宋体" w:cs="宋体"/>
                <w:b/>
                <w:bCs/>
                <w:szCs w:val="21"/>
                <w:lang w:bidi="ar"/>
              </w:rPr>
              <w:t>模型评测</w:t>
            </w:r>
            <w:r>
              <w:rPr>
                <w:rFonts w:hint="eastAsia" w:ascii="宋体" w:hAnsi="宋体" w:eastAsia="宋体" w:cs="宋体"/>
                <w:b/>
                <w:bCs/>
                <w:szCs w:val="21"/>
                <w:lang w:eastAsia="zh" w:bidi="ar"/>
              </w:rPr>
              <w:t>模块</w:t>
            </w:r>
          </w:p>
          <w:p w14:paraId="69AA7475">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自动化评测链路：平台应支持从模型选择、数据集配置到评测的端到端自动化流程，无需代码开发。引入可视化评测流水线，帮助用户直观了解评测过程及其结果，降低技术操作门槛。</w:t>
            </w:r>
          </w:p>
          <w:p w14:paraId="4B42A883">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评测覆盖广度：平台支持对主流开源大模型和微调后模型的一键评测与对比，并提供多个领域的公开数据集评测。扩展评测场景，支持更多特定领域的定制化评测集，例如金融、医疗、法律等领域的专用评测数据集。</w:t>
            </w:r>
          </w:p>
          <w:p w14:paraId="574774AB">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评测结果展示：评测结果以雷达图全景展示模型在各个维度的表现，并支持多任务多模型对比，并提供详细的评测日志与单条评测结果的具体解析。</w:t>
            </w:r>
          </w:p>
          <w:p w14:paraId="6B539E1C">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共同富裕领域定制评测：平台支持针对共同富裕垂直领域的定制数据集开发和评测。支持对发展性、共享性和可持续性数据的评测，确保模型在各个维度的综合表现。同时提供可视化文本评测工具，帮助用户查看生成文本的质量与表现，如情感分析、风格一致性等。</w:t>
            </w:r>
          </w:p>
          <w:p w14:paraId="01E577C9">
            <w:pPr>
              <w:spacing w:line="288" w:lineRule="auto"/>
              <w:ind w:firstLine="420" w:firstLineChars="200"/>
              <w:rPr>
                <w:rFonts w:hint="eastAsia" w:ascii="宋体" w:hAnsi="宋体" w:eastAsia="宋体" w:cs="宋体"/>
                <w:szCs w:val="21"/>
                <w:lang w:eastAsia="zh"/>
              </w:rPr>
            </w:pPr>
            <w:r>
              <w:rPr>
                <w:rFonts w:hint="eastAsia" w:ascii="宋体" w:hAnsi="宋体" w:eastAsia="宋体" w:cs="宋体"/>
                <w:szCs w:val="21"/>
                <w:lang w:bidi="ar"/>
              </w:rPr>
              <w:t>多维评测能力：</w:t>
            </w:r>
          </w:p>
          <w:p w14:paraId="5B3104CD">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eastAsia="zh" w:bidi="ar"/>
              </w:rPr>
              <w:t>①</w:t>
            </w:r>
            <w:r>
              <w:rPr>
                <w:rFonts w:hint="eastAsia" w:ascii="宋体" w:hAnsi="宋体" w:eastAsia="宋体" w:cs="宋体"/>
                <w:szCs w:val="21"/>
                <w:lang w:bidi="ar"/>
              </w:rPr>
              <w:t>基准评测：全面了解模型的基础性能，并支持与行业标杆模型的性能对比。</w:t>
            </w:r>
          </w:p>
          <w:p w14:paraId="029221D1">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eastAsia="zh" w:bidi="ar"/>
              </w:rPr>
              <w:t>②</w:t>
            </w:r>
            <w:r>
              <w:rPr>
                <w:rFonts w:hint="eastAsia" w:ascii="宋体" w:hAnsi="宋体" w:eastAsia="宋体" w:cs="宋体"/>
                <w:szCs w:val="21"/>
                <w:lang w:bidi="ar"/>
              </w:rPr>
              <w:t>指令跟随评测：支持对模型的指令跟随能力进行全面评测，引入复杂任务的指令链评测，以评估模型在多轮指令交互中的表现。</w:t>
            </w:r>
          </w:p>
          <w:p w14:paraId="3B280446">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eastAsia="zh" w:bidi="ar"/>
              </w:rPr>
              <w:t>③</w:t>
            </w:r>
            <w:r>
              <w:rPr>
                <w:rFonts w:hint="eastAsia" w:ascii="宋体" w:hAnsi="宋体" w:eastAsia="宋体" w:cs="宋体"/>
                <w:szCs w:val="21"/>
                <w:lang w:bidi="ar"/>
              </w:rPr>
              <w:t>文</w:t>
            </w:r>
            <w:r>
              <w:rPr>
                <w:rFonts w:hint="eastAsia" w:ascii="宋体" w:hAnsi="宋体" w:eastAsia="宋体" w:cs="宋体"/>
                <w:szCs w:val="21"/>
                <w:lang w:eastAsia="zh" w:bidi="ar"/>
              </w:rPr>
              <w:t>本</w:t>
            </w:r>
            <w:r>
              <w:rPr>
                <w:rFonts w:hint="eastAsia" w:ascii="宋体" w:hAnsi="宋体" w:eastAsia="宋体" w:cs="宋体"/>
                <w:szCs w:val="21"/>
                <w:lang w:bidi="ar"/>
              </w:rPr>
              <w:t>评测集：针对定制化文</w:t>
            </w:r>
            <w:r>
              <w:rPr>
                <w:rFonts w:hint="eastAsia" w:ascii="宋体" w:hAnsi="宋体" w:eastAsia="宋体" w:cs="宋体"/>
                <w:szCs w:val="21"/>
                <w:lang w:eastAsia="zh" w:bidi="ar"/>
              </w:rPr>
              <w:t>本</w:t>
            </w:r>
            <w:r>
              <w:rPr>
                <w:rFonts w:hint="eastAsia" w:ascii="宋体" w:hAnsi="宋体" w:eastAsia="宋体" w:cs="宋体"/>
                <w:szCs w:val="21"/>
                <w:lang w:bidi="ar"/>
              </w:rPr>
              <w:t>评测集的评测，增加更多自动化文本质量评估指标，如文体一致性、流畅性和创新性，以便全面了解模型的生成能力。</w:t>
            </w:r>
          </w:p>
          <w:p w14:paraId="0938D7DD">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（9）</w:t>
            </w:r>
            <w:r>
              <w:rPr>
                <w:rFonts w:hint="eastAsia" w:ascii="宋体" w:hAnsi="宋体" w:eastAsia="宋体" w:cs="宋体"/>
                <w:b/>
                <w:bCs/>
                <w:szCs w:val="21"/>
                <w:lang w:bidi="ar"/>
              </w:rPr>
              <w:t>数据共享与协作</w:t>
            </w:r>
            <w:r>
              <w:rPr>
                <w:rFonts w:hint="eastAsia" w:ascii="宋体" w:hAnsi="宋体" w:eastAsia="宋体" w:cs="宋体"/>
                <w:b/>
                <w:bCs/>
                <w:szCs w:val="21"/>
                <w:lang w:eastAsia="zh" w:bidi="ar"/>
              </w:rPr>
              <w:t>模块</w:t>
            </w:r>
          </w:p>
          <w:p w14:paraId="64BDE903">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数据共享机制：考虑在确保数据隐私安全的前提下，提供私有数据的共享与协作功能，支持多方联合进行模型训练和分析。可以通过安全的数据交换协议，促进跨组织的数据协作，实现更全面的经济和社会动态洞察。</w:t>
            </w:r>
          </w:p>
          <w:p w14:paraId="64A10CFA">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联合建模与多方计算：支持多方参与的联合建模，允许不同组织或部门在不直接共享数据的情况下，共同训练模型，从而在保证数据隐私的情况下，最大化数据价值。</w:t>
            </w:r>
          </w:p>
          <w:p w14:paraId="117BBA73">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（10）</w:t>
            </w:r>
            <w:r>
              <w:rPr>
                <w:rFonts w:hint="eastAsia" w:ascii="宋体" w:hAnsi="宋体" w:eastAsia="宋体" w:cs="宋体"/>
                <w:b/>
                <w:bCs/>
                <w:szCs w:val="21"/>
                <w:lang w:bidi="ar"/>
              </w:rPr>
              <w:t>可视化与洞察生成</w:t>
            </w:r>
            <w:r>
              <w:rPr>
                <w:rFonts w:hint="eastAsia" w:ascii="宋体" w:hAnsi="宋体" w:eastAsia="宋体" w:cs="宋体"/>
                <w:b/>
                <w:bCs/>
                <w:szCs w:val="21"/>
                <w:lang w:eastAsia="zh" w:bidi="ar"/>
              </w:rPr>
              <w:t>模块</w:t>
            </w:r>
          </w:p>
          <w:p w14:paraId="52AC8945">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智能分析与可视化：平台不仅进行模型训练，还可以自动生成基于数据的智能分析报告。支持生成可视化图表，帮助用户从不同维度（如发展性、共享性、可持续性）全面洞察数据，并为政策制定、资源分配等提供依据。</w:t>
            </w:r>
          </w:p>
          <w:p w14:paraId="401AFE73">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预测与模拟功能：基于训练后的模型，平台可以提供未来趋势预测功能，例如经济发展趋势、资源分配变化等，并通过模拟不同政策或方案的实施效果，帮助决策者做出更具前瞻性的判断。</w:t>
            </w:r>
          </w:p>
          <w:p w14:paraId="66A04835">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（11）</w:t>
            </w:r>
            <w:r>
              <w:rPr>
                <w:rFonts w:hint="eastAsia" w:ascii="宋体" w:hAnsi="宋体" w:eastAsia="宋体" w:cs="宋体"/>
                <w:b/>
                <w:bCs/>
                <w:szCs w:val="21"/>
                <w:lang w:bidi="ar"/>
              </w:rPr>
              <w:t>持续学习与动态更新</w:t>
            </w:r>
            <w:r>
              <w:rPr>
                <w:rFonts w:hint="eastAsia" w:ascii="宋体" w:hAnsi="宋体" w:eastAsia="宋体" w:cs="宋体"/>
                <w:b/>
                <w:bCs/>
                <w:szCs w:val="21"/>
                <w:lang w:eastAsia="zh" w:bidi="ar"/>
              </w:rPr>
              <w:t>模块</w:t>
            </w:r>
          </w:p>
          <w:p w14:paraId="2DFF0F91">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模型持续优化：支持模型在使用过程中通过新数据持续更新和自我优化，确保模型在不断变化的经济、社会环境中能够保持高效、准确的预测能力。</w:t>
            </w:r>
          </w:p>
          <w:p w14:paraId="2D050040">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动态数据更新：支持与实时数据源的对接，确保平台上的模型能够及时获取最新的经济和社会动态数据，保持模型预测的时效性和准确性。</w:t>
            </w:r>
          </w:p>
          <w:p w14:paraId="33E7512C">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（12）</w:t>
            </w:r>
            <w:r>
              <w:rPr>
                <w:rFonts w:hint="eastAsia" w:ascii="宋体" w:hAnsi="宋体" w:eastAsia="宋体" w:cs="宋体"/>
                <w:b/>
                <w:bCs/>
                <w:szCs w:val="21"/>
                <w:lang w:bidi="ar"/>
              </w:rPr>
              <w:t>政策与决策支持</w:t>
            </w:r>
            <w:r>
              <w:rPr>
                <w:rFonts w:hint="eastAsia" w:ascii="宋体" w:hAnsi="宋体" w:eastAsia="宋体" w:cs="宋体"/>
                <w:b/>
                <w:bCs/>
                <w:szCs w:val="21"/>
                <w:lang w:eastAsia="zh" w:bidi="ar"/>
              </w:rPr>
              <w:t>模块</w:t>
            </w:r>
          </w:p>
          <w:p w14:paraId="4C21C81F">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政策制定助手：根据模型输出的结果，平台可以提供针对特定领域的政策建议，例如如何优化资源分配、满足民生需求等。通过综合考虑发展性、共享性和可持续性，平台能够为共同富裕的政策制定提供科学参考。</w:t>
            </w:r>
          </w:p>
          <w:p w14:paraId="47071D83">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决策模拟与反馈：支持政策实施前的效果模拟功能，通过调整参数，提前评估政策的影响，并根据评估结果对政策方案进行优化调整。平台还可以根据实施后的实际数据进行反馈，进一步提高模型的预测能力。</w:t>
            </w:r>
          </w:p>
          <w:p w14:paraId="7703F2AB">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（13）</w:t>
            </w:r>
            <w:r>
              <w:rPr>
                <w:rFonts w:hint="eastAsia" w:ascii="宋体" w:hAnsi="宋体" w:eastAsia="宋体" w:cs="宋体"/>
                <w:b/>
                <w:bCs/>
                <w:szCs w:val="21"/>
                <w:lang w:bidi="ar"/>
              </w:rPr>
              <w:t>多领域模型支持</w:t>
            </w:r>
            <w:r>
              <w:rPr>
                <w:rFonts w:hint="eastAsia" w:ascii="宋体" w:hAnsi="宋体" w:eastAsia="宋体" w:cs="宋体"/>
                <w:b/>
                <w:bCs/>
                <w:szCs w:val="21"/>
                <w:lang w:eastAsia="zh" w:bidi="ar"/>
              </w:rPr>
              <w:t>模块</w:t>
            </w:r>
          </w:p>
          <w:p w14:paraId="6D818048">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跨领域模型训练：虽然平台的主要目标是促进共同富裕，但可以进一步扩展支持其他相关领域的模型训练，如环境保护、教育公平、医疗保障等，为共同富裕的实现提供更多维度的数据支持和分析。</w:t>
            </w:r>
          </w:p>
          <w:p w14:paraId="1C23353B">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领域定制化模型：为不同的经济领域（如农业、工业、服务业）提供专门的定制化模型训练和分析功能，确保模型能够适应各个行业的特殊需求，提供更精确的洞察和决策支持。</w:t>
            </w:r>
          </w:p>
          <w:p w14:paraId="0DBDE1A4">
            <w:pPr>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lang w:eastAsia="zh" w:bidi="ar"/>
              </w:rPr>
              <w:t>（14）</w:t>
            </w:r>
            <w:r>
              <w:rPr>
                <w:rFonts w:hint="eastAsia" w:ascii="宋体" w:hAnsi="宋体" w:eastAsia="宋体" w:cs="宋体"/>
                <w:b/>
                <w:bCs/>
                <w:szCs w:val="21"/>
                <w:lang w:bidi="ar"/>
              </w:rPr>
              <w:t>平台扩展与集成</w:t>
            </w:r>
            <w:r>
              <w:rPr>
                <w:rFonts w:hint="eastAsia" w:ascii="宋体" w:hAnsi="宋体" w:eastAsia="宋体" w:cs="宋体"/>
                <w:b/>
                <w:bCs/>
                <w:szCs w:val="21"/>
                <w:lang w:eastAsia="zh" w:bidi="ar"/>
              </w:rPr>
              <w:t>模块</w:t>
            </w:r>
          </w:p>
          <w:p w14:paraId="488615D0">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开放API支持：平台可以提供开放的API，允许其他系统接入，共享模型训练和分析能力。例如，可以与政府部门的现有数据系统、企业管理系统对接，充分发挥模型的智能决策支持作用。</w:t>
            </w:r>
          </w:p>
          <w:p w14:paraId="5AFFA01B">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插件与模块化设计：平台可支持插件化和模块化设计，便于用户根据自身需求扩展功能。例如，用户可以增加某些特定分析工具或数据处理插件，提升平台的适用性和灵活性。</w:t>
            </w:r>
          </w:p>
        </w:tc>
        <w:tc>
          <w:tcPr>
            <w:tcW w:w="320" w:type="pct"/>
            <w:vAlign w:val="center"/>
          </w:tcPr>
          <w:p w14:paraId="1BAE19F5">
            <w:pPr>
              <w:spacing w:line="288" w:lineRule="auto"/>
              <w:jc w:val="center"/>
              <w:rPr>
                <w:rFonts w:hint="eastAsia" w:ascii="宋体" w:hAnsi="宋体" w:eastAsia="宋体" w:cs="宋体"/>
                <w:szCs w:val="21"/>
              </w:rPr>
            </w:pPr>
            <w:r>
              <w:rPr>
                <w:rFonts w:hint="eastAsia" w:ascii="宋体" w:hAnsi="宋体" w:eastAsia="宋体" w:cs="宋体"/>
                <w:szCs w:val="21"/>
              </w:rPr>
              <w:t>1套</w:t>
            </w:r>
          </w:p>
        </w:tc>
      </w:tr>
    </w:tbl>
    <w:p w14:paraId="3D06A294">
      <w:pPr>
        <w:adjustRightInd w:val="0"/>
        <w:snapToGrid w:val="0"/>
        <w:spacing w:line="288" w:lineRule="auto"/>
        <w:rPr>
          <w:rFonts w:hint="eastAsia" w:ascii="宋体" w:hAnsi="宋体" w:eastAsia="宋体" w:cs="Times New Roman"/>
          <w:b/>
          <w:bCs/>
          <w:szCs w:val="21"/>
        </w:rPr>
      </w:pPr>
    </w:p>
    <w:p w14:paraId="4297EECB">
      <w:pPr>
        <w:rPr>
          <w:rFonts w:hint="eastAsia" w:ascii="宋体" w:hAnsi="宋体" w:eastAsia="宋体" w:cs="Times New Roman"/>
          <w:b/>
          <w:bCs/>
          <w:spacing w:val="-4"/>
          <w:szCs w:val="21"/>
        </w:rPr>
      </w:pPr>
      <w:r>
        <w:rPr>
          <w:rFonts w:hint="eastAsia" w:ascii="宋体" w:hAnsi="宋体" w:eastAsia="宋体" w:cs="Times New Roman"/>
          <w:b/>
          <w:bCs/>
          <w:spacing w:val="-4"/>
          <w:szCs w:val="21"/>
        </w:rPr>
        <w:br w:type="page"/>
      </w:r>
    </w:p>
    <w:p w14:paraId="59B0BDAF">
      <w:pPr>
        <w:adjustRightInd w:val="0"/>
        <w:snapToGrid w:val="0"/>
        <w:spacing w:line="288" w:lineRule="auto"/>
        <w:outlineLvl w:val="2"/>
        <w:rPr>
          <w:rFonts w:hint="eastAsia" w:ascii="宋体" w:hAnsi="宋体" w:eastAsia="宋体" w:cs="Times New Roman"/>
          <w:b/>
          <w:bCs/>
          <w:spacing w:val="-4"/>
          <w:szCs w:val="21"/>
        </w:rPr>
      </w:pPr>
      <w:r>
        <w:rPr>
          <w:rFonts w:hint="eastAsia" w:ascii="宋体" w:hAnsi="宋体" w:eastAsia="宋体" w:cs="Times New Roman"/>
          <w:b/>
          <w:bCs/>
          <w:spacing w:val="-4"/>
          <w:szCs w:val="21"/>
        </w:rPr>
        <w:t>标项四：</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986"/>
        <w:gridCol w:w="7404"/>
        <w:gridCol w:w="724"/>
      </w:tblGrid>
      <w:tr w14:paraId="1F25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7" w:type="pct"/>
            <w:shd w:val="clear" w:color="auto" w:fill="auto"/>
            <w:vAlign w:val="center"/>
          </w:tcPr>
          <w:p w14:paraId="6C69B78A">
            <w:pPr>
              <w:spacing w:line="288" w:lineRule="auto"/>
              <w:jc w:val="center"/>
              <w:rPr>
                <w:rFonts w:hint="eastAsia" w:ascii="宋体" w:hAnsi="宋体" w:eastAsia="宋体" w:cs="宋体"/>
                <w:szCs w:val="21"/>
                <w:lang w:eastAsia="zh"/>
              </w:rPr>
            </w:pPr>
            <w:r>
              <w:rPr>
                <w:rFonts w:hint="eastAsia" w:ascii="宋体" w:hAnsi="宋体" w:eastAsia="宋体" w:cs="宋体"/>
                <w:b/>
                <w:szCs w:val="21"/>
              </w:rPr>
              <w:t>序号</w:t>
            </w:r>
          </w:p>
        </w:tc>
        <w:tc>
          <w:tcPr>
            <w:tcW w:w="512" w:type="pct"/>
            <w:shd w:val="clear" w:color="auto" w:fill="auto"/>
            <w:vAlign w:val="center"/>
          </w:tcPr>
          <w:p w14:paraId="2EB32896">
            <w:pPr>
              <w:spacing w:line="288" w:lineRule="auto"/>
              <w:jc w:val="center"/>
              <w:rPr>
                <w:rFonts w:hint="eastAsia" w:ascii="宋体" w:hAnsi="宋体" w:eastAsia="宋体" w:cs="宋体"/>
                <w:szCs w:val="21"/>
                <w:lang w:eastAsia="zh"/>
              </w:rPr>
            </w:pPr>
            <w:r>
              <w:rPr>
                <w:rFonts w:hint="eastAsia" w:ascii="宋体" w:hAnsi="宋体" w:eastAsia="宋体" w:cs="宋体"/>
                <w:b/>
                <w:szCs w:val="21"/>
              </w:rPr>
              <w:t>货物名称</w:t>
            </w:r>
          </w:p>
        </w:tc>
        <w:tc>
          <w:tcPr>
            <w:tcW w:w="3845" w:type="pct"/>
            <w:shd w:val="clear" w:color="auto" w:fill="auto"/>
            <w:vAlign w:val="center"/>
          </w:tcPr>
          <w:p w14:paraId="2A28DB49">
            <w:pPr>
              <w:spacing w:line="288" w:lineRule="auto"/>
              <w:ind w:firstLine="422"/>
              <w:jc w:val="center"/>
              <w:rPr>
                <w:rFonts w:hint="eastAsia" w:ascii="宋体" w:hAnsi="宋体" w:eastAsia="宋体" w:cs="宋体"/>
                <w:szCs w:val="21"/>
                <w:lang w:eastAsia="zh"/>
              </w:rPr>
            </w:pPr>
            <w:r>
              <w:rPr>
                <w:rFonts w:hint="eastAsia" w:ascii="宋体" w:hAnsi="宋体" w:eastAsia="宋体" w:cs="宋体"/>
                <w:b/>
                <w:szCs w:val="21"/>
              </w:rPr>
              <w:t>货物的技术参数及具体配置等</w:t>
            </w:r>
          </w:p>
        </w:tc>
        <w:tc>
          <w:tcPr>
            <w:tcW w:w="376" w:type="pct"/>
            <w:shd w:val="clear" w:color="auto" w:fill="auto"/>
            <w:vAlign w:val="center"/>
          </w:tcPr>
          <w:p w14:paraId="7C713C5C">
            <w:pPr>
              <w:spacing w:line="288" w:lineRule="auto"/>
              <w:jc w:val="center"/>
              <w:rPr>
                <w:rFonts w:hint="eastAsia" w:ascii="宋体" w:hAnsi="宋体" w:eastAsia="宋体" w:cs="宋体"/>
                <w:szCs w:val="21"/>
              </w:rPr>
            </w:pPr>
            <w:r>
              <w:rPr>
                <w:rFonts w:hint="eastAsia" w:ascii="宋体" w:hAnsi="宋体" w:eastAsia="宋体" w:cs="宋体"/>
                <w:b/>
                <w:szCs w:val="21"/>
              </w:rPr>
              <w:t>数量</w:t>
            </w:r>
          </w:p>
        </w:tc>
      </w:tr>
      <w:tr w14:paraId="4818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vAlign w:val="center"/>
          </w:tcPr>
          <w:p w14:paraId="7CFE8E7E">
            <w:pPr>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512" w:type="pct"/>
            <w:vAlign w:val="center"/>
          </w:tcPr>
          <w:p w14:paraId="4CAD7BCC">
            <w:pPr>
              <w:pStyle w:val="20"/>
              <w:widowControl w:val="0"/>
              <w:spacing w:before="0" w:beforeAutospacing="0" w:after="0" w:afterAutospacing="0" w:line="288" w:lineRule="auto"/>
              <w:ind w:firstLine="0"/>
              <w:jc w:val="both"/>
              <w:rPr>
                <w:rFonts w:hint="eastAsia" w:cs="宋体"/>
                <w:b/>
                <w:bCs/>
                <w:kern w:val="2"/>
                <w:sz w:val="21"/>
                <w:szCs w:val="21"/>
              </w:rPr>
            </w:pPr>
            <w:r>
              <w:rPr>
                <w:rFonts w:hint="eastAsia" w:cs="宋体"/>
                <w:b/>
                <w:bCs/>
                <w:kern w:val="2"/>
                <w:sz w:val="21"/>
                <w:szCs w:val="21"/>
                <w:lang w:eastAsia="zh" w:bidi="ar"/>
              </w:rPr>
              <w:t>智</w:t>
            </w:r>
            <w:r>
              <w:rPr>
                <w:rFonts w:hint="eastAsia" w:cs="宋体"/>
                <w:b/>
                <w:bCs/>
                <w:kern w:val="2"/>
                <w:sz w:val="21"/>
                <w:szCs w:val="21"/>
                <w:lang w:bidi="ar"/>
              </w:rPr>
              <w:t>能人机交互界面开发服务平台</w:t>
            </w:r>
          </w:p>
        </w:tc>
        <w:tc>
          <w:tcPr>
            <w:tcW w:w="3845" w:type="pct"/>
            <w:vAlign w:val="center"/>
          </w:tcPr>
          <w:p w14:paraId="36731D0C">
            <w:pPr>
              <w:pStyle w:val="20"/>
              <w:numPr>
                <w:ilvl w:val="255"/>
                <w:numId w:val="0"/>
              </w:numPr>
              <w:spacing w:before="0" w:beforeAutospacing="0" w:after="0" w:afterAutospacing="0" w:line="288" w:lineRule="auto"/>
              <w:ind w:firstLine="420" w:firstLineChars="200"/>
              <w:jc w:val="both"/>
              <w:rPr>
                <w:rFonts w:hint="eastAsia" w:cs="宋体"/>
                <w:kern w:val="2"/>
                <w:sz w:val="21"/>
                <w:szCs w:val="21"/>
                <w:lang w:bidi="ar"/>
              </w:rPr>
            </w:pPr>
            <w:r>
              <w:rPr>
                <w:rFonts w:hint="eastAsia" w:cs="宋体"/>
                <w:kern w:val="2"/>
                <w:sz w:val="21"/>
                <w:szCs w:val="21"/>
                <w:lang w:bidi="ar"/>
              </w:rPr>
              <w:t>功能要求：可以为共同富裕政策服务提供一种智能化的人机交互方案，交互方式支持但不限于文字、语音、图片、视频输入。</w:t>
            </w:r>
          </w:p>
          <w:p w14:paraId="792E2A53">
            <w:pPr>
              <w:pStyle w:val="20"/>
              <w:numPr>
                <w:ilvl w:val="255"/>
                <w:numId w:val="0"/>
              </w:numPr>
              <w:spacing w:before="0" w:beforeAutospacing="0" w:after="0" w:afterAutospacing="0" w:line="288" w:lineRule="auto"/>
              <w:ind w:firstLine="420" w:firstLineChars="200"/>
              <w:jc w:val="both"/>
              <w:rPr>
                <w:rFonts w:hint="eastAsia" w:cs="宋体"/>
                <w:kern w:val="2"/>
                <w:sz w:val="21"/>
                <w:szCs w:val="21"/>
                <w:lang w:bidi="ar"/>
              </w:rPr>
            </w:pPr>
            <w:r>
              <w:rPr>
                <w:rFonts w:hint="eastAsia" w:cs="宋体"/>
                <w:kern w:val="2"/>
                <w:sz w:val="21"/>
                <w:szCs w:val="21"/>
                <w:lang w:bidi="ar"/>
              </w:rPr>
              <w:t>该平台需要面向政企研人员，聚焦共同富裕领域的政策检索、辅助写作、政策计算器、生成式问答等场景，帮助学校、政府、企业等相关机构提升共同富裕政策服务能力，为共同富裕政策制定提供有力的科学依据和决策支撑。</w:t>
            </w:r>
          </w:p>
          <w:p w14:paraId="7B1AB19A">
            <w:pPr>
              <w:pStyle w:val="20"/>
              <w:numPr>
                <w:ilvl w:val="255"/>
                <w:numId w:val="0"/>
              </w:numPr>
              <w:spacing w:before="0" w:beforeAutospacing="0" w:after="0" w:afterAutospacing="0" w:line="288" w:lineRule="auto"/>
              <w:ind w:firstLine="420" w:firstLineChars="200"/>
              <w:jc w:val="both"/>
              <w:rPr>
                <w:rFonts w:hint="eastAsia" w:cs="宋体"/>
                <w:kern w:val="2"/>
                <w:sz w:val="21"/>
                <w:szCs w:val="21"/>
                <w:lang w:bidi="ar"/>
              </w:rPr>
            </w:pPr>
            <w:r>
              <w:rPr>
                <w:rFonts w:hint="eastAsia" w:cs="宋体"/>
                <w:kern w:val="2"/>
                <w:sz w:val="21"/>
                <w:szCs w:val="21"/>
                <w:lang w:bidi="ar"/>
              </w:rPr>
              <w:t>具体包括但不限于以下功能模块：</w:t>
            </w:r>
          </w:p>
          <w:p w14:paraId="4A1C6019">
            <w:pPr>
              <w:pStyle w:val="2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（1）</w:t>
            </w:r>
            <w:r>
              <w:rPr>
                <w:rFonts w:hint="eastAsia" w:cs="宋体"/>
                <w:b/>
                <w:bCs/>
                <w:kern w:val="2"/>
                <w:sz w:val="21"/>
                <w:szCs w:val="21"/>
                <w:lang w:bidi="ar"/>
              </w:rPr>
              <w:t>数字人创建</w:t>
            </w:r>
            <w:r>
              <w:rPr>
                <w:rFonts w:hint="eastAsia" w:cs="宋体"/>
                <w:b/>
                <w:bCs/>
                <w:kern w:val="2"/>
                <w:sz w:val="21"/>
                <w:szCs w:val="21"/>
                <w:lang w:eastAsia="zh" w:bidi="ar"/>
              </w:rPr>
              <w:t>模块</w:t>
            </w:r>
          </w:p>
          <w:p w14:paraId="3D9F825D">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自定义数字人形象：平台支持用户自定义创建数字人，提供灵活配置选项，包括：</w:t>
            </w:r>
          </w:p>
          <w:p w14:paraId="2B58F71D">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eastAsia="zh" w:bidi="ar"/>
              </w:rPr>
              <w:t>①</w:t>
            </w:r>
            <w:r>
              <w:rPr>
                <w:rFonts w:hint="eastAsia" w:cs="宋体"/>
                <w:kern w:val="2"/>
                <w:sz w:val="21"/>
                <w:szCs w:val="21"/>
                <w:lang w:bidi="ar"/>
              </w:rPr>
              <w:t>名称：支持用户为数字人命名，个性化定制应用场景。</w:t>
            </w:r>
          </w:p>
          <w:p w14:paraId="0F0CD866">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eastAsia="zh" w:bidi="ar"/>
              </w:rPr>
              <w:t>②</w:t>
            </w:r>
            <w:r>
              <w:rPr>
                <w:rFonts w:hint="eastAsia" w:cs="宋体"/>
                <w:kern w:val="2"/>
                <w:sz w:val="21"/>
                <w:szCs w:val="21"/>
                <w:lang w:bidi="ar"/>
              </w:rPr>
              <w:t>形象与声音：支持用户选择或上传数字人形象，并自定义声音效果（包括音色、语调等），提供多套预设卡通数字人形象，供用户快速应用或二次修改。</w:t>
            </w:r>
          </w:p>
          <w:p w14:paraId="7AD671C1">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③</w:t>
            </w:r>
            <w:r>
              <w:rPr>
                <w:rFonts w:hint="eastAsia" w:cs="宋体"/>
                <w:kern w:val="2"/>
                <w:sz w:val="21"/>
                <w:szCs w:val="21"/>
                <w:lang w:bidi="ar"/>
              </w:rPr>
              <w:t>角色特性配置：支持为数字人定义个性化的角色特性，帮助在不同场景下更好地适应用户需求。</w:t>
            </w:r>
            <w:r>
              <w:rPr>
                <w:rFonts w:hint="eastAsia" w:cs="宋体"/>
                <w:kern w:val="2"/>
                <w:sz w:val="21"/>
                <w:szCs w:val="21"/>
                <w:lang w:eastAsia="zh" w:bidi="ar"/>
              </w:rPr>
              <w:t>数字人</w:t>
            </w:r>
            <w:r>
              <w:rPr>
                <w:rFonts w:hint="eastAsia" w:cs="宋体"/>
                <w:sz w:val="21"/>
                <w:szCs w:val="21"/>
              </w:rPr>
              <w:t>应当通过模拟人类的非语言交流方式来增强互动的真实感与自然度。</w:t>
            </w:r>
            <w:r>
              <w:rPr>
                <w:rFonts w:hint="eastAsia" w:cs="宋体"/>
                <w:sz w:val="21"/>
                <w:szCs w:val="21"/>
                <w:lang w:eastAsia="zh"/>
              </w:rPr>
              <w:t>具体而言（1）</w:t>
            </w:r>
            <w:r>
              <w:rPr>
                <w:rStyle w:val="26"/>
                <w:rFonts w:hint="eastAsia" w:cs="宋体"/>
                <w:sz w:val="21"/>
                <w:szCs w:val="21"/>
              </w:rPr>
              <w:t>口型同步</w:t>
            </w:r>
            <w:r>
              <w:rPr>
                <w:rStyle w:val="26"/>
                <w:rFonts w:hint="eastAsia" w:cs="宋体"/>
                <w:sz w:val="21"/>
                <w:szCs w:val="21"/>
                <w:lang w:eastAsia="zh"/>
              </w:rPr>
              <w:t>，</w:t>
            </w:r>
            <w:r>
              <w:rPr>
                <w:rFonts w:hint="eastAsia" w:cs="宋体"/>
                <w:sz w:val="21"/>
                <w:szCs w:val="21"/>
              </w:rPr>
              <w:t>数字人在说话时，其虚拟嘴唇的动作应该与发音相匹配。</w:t>
            </w:r>
            <w:r>
              <w:rPr>
                <w:rFonts w:hint="eastAsia" w:cs="宋体"/>
                <w:sz w:val="21"/>
                <w:szCs w:val="21"/>
                <w:lang w:eastAsia="zh"/>
              </w:rPr>
              <w:t>（2）</w:t>
            </w:r>
            <w:r>
              <w:rPr>
                <w:rStyle w:val="26"/>
                <w:rFonts w:hint="eastAsia" w:cs="宋体"/>
                <w:sz w:val="21"/>
                <w:szCs w:val="21"/>
              </w:rPr>
              <w:t>身体语言</w:t>
            </w:r>
            <w:r>
              <w:rPr>
                <w:rStyle w:val="26"/>
                <w:rFonts w:hint="eastAsia" w:cs="宋体"/>
                <w:sz w:val="21"/>
                <w:szCs w:val="21"/>
                <w:lang w:eastAsia="zh"/>
              </w:rPr>
              <w:t>，</w:t>
            </w:r>
            <w:r>
              <w:rPr>
                <w:rFonts w:hint="eastAsia" w:cs="宋体"/>
                <w:sz w:val="21"/>
                <w:szCs w:val="21"/>
              </w:rPr>
              <w:t>使用适当的手势和其他身体动作来辅助表达，比如点头表示同意或者摇头表示否定。这些动作应该根据对话内容灵活变化，以增强交流的自然性。</w:t>
            </w:r>
            <w:r>
              <w:rPr>
                <w:rFonts w:hint="eastAsia" w:cs="宋体"/>
                <w:sz w:val="21"/>
                <w:szCs w:val="21"/>
                <w:lang w:eastAsia="zh"/>
              </w:rPr>
              <w:t>（3）</w:t>
            </w:r>
            <w:r>
              <w:rPr>
                <w:rStyle w:val="26"/>
                <w:rFonts w:hint="eastAsia" w:cs="宋体"/>
                <w:sz w:val="21"/>
                <w:szCs w:val="21"/>
              </w:rPr>
              <w:t>面部表情</w:t>
            </w:r>
            <w:r>
              <w:rPr>
                <w:rStyle w:val="26"/>
                <w:rFonts w:hint="eastAsia" w:cs="宋体"/>
                <w:sz w:val="21"/>
                <w:szCs w:val="21"/>
                <w:lang w:eastAsia="zh"/>
              </w:rPr>
              <w:t>，</w:t>
            </w:r>
            <w:r>
              <w:rPr>
                <w:rFonts w:hint="eastAsia" w:cs="宋体"/>
                <w:sz w:val="21"/>
                <w:szCs w:val="21"/>
              </w:rPr>
              <w:t>配合语境展示相应的面部表情，例如微笑以示友好，或是皱眉表示困惑，以此来传达情感状态。</w:t>
            </w:r>
          </w:p>
          <w:p w14:paraId="0FD6FBDE">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④角色管理：</w:t>
            </w:r>
            <w:r>
              <w:rPr>
                <w:rFonts w:hint="eastAsia" w:ascii="宋体" w:hAnsi="宋体" w:eastAsia="宋体" w:cs="宋体"/>
                <w:szCs w:val="21"/>
                <w:lang w:bidi="ar"/>
              </w:rPr>
              <w:t>可创建多个不同的用户角色，不同的角色拥有不同的系统使用权限和偏好。</w:t>
            </w:r>
          </w:p>
          <w:p w14:paraId="458925C7">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（2）</w:t>
            </w:r>
            <w:r>
              <w:rPr>
                <w:rFonts w:hint="eastAsia" w:cs="宋体"/>
                <w:b/>
                <w:bCs/>
                <w:kern w:val="2"/>
                <w:sz w:val="21"/>
                <w:szCs w:val="21"/>
                <w:lang w:bidi="ar"/>
              </w:rPr>
              <w:t>语料配置</w:t>
            </w:r>
            <w:r>
              <w:rPr>
                <w:rFonts w:hint="eastAsia" w:cs="宋体"/>
                <w:b/>
                <w:bCs/>
                <w:kern w:val="2"/>
                <w:sz w:val="21"/>
                <w:szCs w:val="21"/>
                <w:lang w:eastAsia="zh" w:bidi="ar"/>
              </w:rPr>
              <w:t>模块</w:t>
            </w:r>
          </w:p>
          <w:p w14:paraId="397B0AA0">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私有语料导入：支持导入私有语料库，平台优先基于用户导入的语料进行问答。</w:t>
            </w:r>
          </w:p>
          <w:p w14:paraId="405372F8">
            <w:pPr>
              <w:spacing w:line="288" w:lineRule="auto"/>
              <w:ind w:firstLine="420" w:firstLineChars="200"/>
              <w:rPr>
                <w:rFonts w:hint="eastAsia" w:ascii="宋体" w:hAnsi="宋体" w:eastAsia="宋体" w:cs="宋体"/>
                <w:szCs w:val="21"/>
                <w:lang w:eastAsia="zh"/>
              </w:rPr>
            </w:pPr>
            <w:r>
              <w:rPr>
                <w:rFonts w:hint="eastAsia" w:ascii="宋体" w:hAnsi="宋体" w:eastAsia="宋体" w:cs="宋体"/>
                <w:szCs w:val="21"/>
                <w:lang w:eastAsia="zh" w:bidi="ar"/>
              </w:rPr>
              <w:t>知识文档训练：</w:t>
            </w:r>
            <w:r>
              <w:rPr>
                <w:rFonts w:hint="eastAsia" w:ascii="宋体" w:hAnsi="宋体" w:eastAsia="宋体" w:cs="宋体"/>
                <w:szCs w:val="21"/>
                <w:lang w:bidi="ar"/>
              </w:rPr>
              <w:t>管理员可自行导入、导出私有知识内容，支持管理员在后台直接测试已训练完毕的知识内容</w:t>
            </w:r>
            <w:r>
              <w:rPr>
                <w:rFonts w:hint="eastAsia" w:ascii="宋体" w:hAnsi="宋体" w:eastAsia="宋体" w:cs="宋体"/>
                <w:szCs w:val="21"/>
                <w:lang w:eastAsia="zh" w:bidi="ar"/>
              </w:rPr>
              <w:t>，进行语义理解能力训练，结合用户“点赞”和“点踩”以及内容输入等持续反馈调整回答策略。</w:t>
            </w:r>
          </w:p>
          <w:p w14:paraId="5C6E5B93">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模型参数管理：可设置最大提问字符数；可对模型内容生成性的参数进行设置，根据设置的值来设定模型回答的创造性；同时可管理模型回答内容是否展示引用来源、是否推荐问题等属性。</w:t>
            </w:r>
          </w:p>
          <w:p w14:paraId="10BBFB2F">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bidi="ar"/>
              </w:rPr>
              <w:t>敏感词管理：系统管理员可自定义敏感词，对用户输入的敏感词进行过滤，同时系统需记录和统计该行为。</w:t>
            </w:r>
          </w:p>
          <w:p w14:paraId="169FF951">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政策知识库：基于共同富裕政策大模型与共同富裕数据训练大模型进行</w:t>
            </w:r>
            <w:r>
              <w:rPr>
                <w:rFonts w:hint="eastAsia" w:cs="宋体"/>
                <w:kern w:val="2"/>
                <w:sz w:val="21"/>
                <w:szCs w:val="21"/>
                <w:lang w:bidi="ar"/>
              </w:rPr>
              <w:t>语料库的动态更新</w:t>
            </w:r>
            <w:r>
              <w:rPr>
                <w:rFonts w:hint="eastAsia" w:cs="宋体"/>
                <w:kern w:val="2"/>
                <w:sz w:val="21"/>
                <w:szCs w:val="21"/>
                <w:lang w:eastAsia="zh" w:bidi="ar"/>
              </w:rPr>
              <w:t>，</w:t>
            </w:r>
            <w:r>
              <w:rPr>
                <w:rFonts w:hint="eastAsia" w:cs="宋体"/>
                <w:kern w:val="2"/>
                <w:sz w:val="21"/>
                <w:szCs w:val="21"/>
                <w:lang w:bidi="ar"/>
              </w:rPr>
              <w:t>确保问答内容的实时性、精准性</w:t>
            </w:r>
            <w:r>
              <w:rPr>
                <w:rFonts w:hint="eastAsia" w:cs="宋体"/>
                <w:kern w:val="2"/>
                <w:sz w:val="21"/>
                <w:szCs w:val="21"/>
                <w:lang w:eastAsia="zh" w:bidi="ar"/>
              </w:rPr>
              <w:t>与前瞻性</w:t>
            </w:r>
            <w:r>
              <w:rPr>
                <w:rFonts w:hint="eastAsia" w:cs="宋体"/>
                <w:kern w:val="2"/>
                <w:sz w:val="21"/>
                <w:szCs w:val="21"/>
                <w:lang w:bidi="ar"/>
              </w:rPr>
              <w:t>，适用于</w:t>
            </w:r>
            <w:r>
              <w:rPr>
                <w:rFonts w:hint="eastAsia" w:cs="宋体"/>
                <w:kern w:val="2"/>
                <w:sz w:val="21"/>
                <w:szCs w:val="21"/>
                <w:lang w:eastAsia="zh" w:bidi="ar"/>
              </w:rPr>
              <w:t>共同富裕发展与治理</w:t>
            </w:r>
            <w:r>
              <w:rPr>
                <w:rFonts w:hint="eastAsia" w:cs="宋体"/>
                <w:kern w:val="2"/>
                <w:sz w:val="21"/>
                <w:szCs w:val="21"/>
                <w:lang w:bidi="ar"/>
              </w:rPr>
              <w:t>场景的知识问答</w:t>
            </w:r>
            <w:r>
              <w:rPr>
                <w:rFonts w:hint="eastAsia" w:cs="宋体"/>
                <w:kern w:val="2"/>
                <w:sz w:val="21"/>
                <w:szCs w:val="21"/>
                <w:lang w:eastAsia="zh" w:bidi="ar"/>
              </w:rPr>
              <w:t>。提供基于关键词、发文类型、政策主题、专题领域、面向主体、发文机关、发文时间、内容等字段等维度的政策列表，并支持查看政策详情。</w:t>
            </w:r>
          </w:p>
          <w:p w14:paraId="122C5798">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eastAsia="zh" w:bidi="ar"/>
              </w:rPr>
              <w:t>服务中心：拥有较为丰富的服务技能，如：科研助手、论文改写、新闻助手、政策解读、官微文字助手、论文翻译等，需体现出浙商大的高校特色。</w:t>
            </w:r>
          </w:p>
          <w:p w14:paraId="4A291A6A">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bidi="ar"/>
              </w:rPr>
              <w:t>语料管理工具：平台提供语料的分类、编辑、更新等管理工具，便于用户定期维护私有语料库，提升数字人的应答准确度。</w:t>
            </w:r>
          </w:p>
          <w:p w14:paraId="25E73731">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（3）</w:t>
            </w:r>
            <w:r>
              <w:rPr>
                <w:rFonts w:hint="eastAsia" w:cs="宋体"/>
                <w:b/>
                <w:bCs/>
                <w:kern w:val="2"/>
                <w:sz w:val="21"/>
                <w:szCs w:val="21"/>
                <w:lang w:bidi="ar"/>
              </w:rPr>
              <w:t>人机交互界面</w:t>
            </w:r>
            <w:r>
              <w:rPr>
                <w:rFonts w:hint="eastAsia" w:cs="宋体"/>
                <w:b/>
                <w:bCs/>
                <w:kern w:val="2"/>
                <w:sz w:val="21"/>
                <w:szCs w:val="21"/>
                <w:lang w:eastAsia="zh" w:bidi="ar"/>
              </w:rPr>
              <w:t>模块</w:t>
            </w:r>
          </w:p>
          <w:p w14:paraId="323D0EBF">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主题与头像配置：平台支持个性化定制界面，包括问答界面的主题色、问答头像的自定义设置，帮助用户创建具有视觉吸引力的交互界面。</w:t>
            </w:r>
          </w:p>
          <w:p w14:paraId="6B6B74D9">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多形象数字人选择：支持选择不同的数字人形象并灵活切换，适用于不同应用场景中的个性化交互需求，用户可在后台轻松切换和配置。</w:t>
            </w:r>
          </w:p>
          <w:p w14:paraId="146EA345">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多渠道应用支持：数字人应用可通过复制链接或其他嵌入方式分享至自媒体渠道，扩展应用的覆盖面，支持无缝集成到不同的传播平台。</w:t>
            </w:r>
          </w:p>
          <w:p w14:paraId="737A3A0C">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跨平台适配：支持应用适配多种终端形式，包括H5网页、小程序、交互一体机等，确保数字人应用在不同终端设备上流畅运行、体验一致。</w:t>
            </w:r>
          </w:p>
          <w:p w14:paraId="3311D01A">
            <w:pPr>
              <w:spacing w:line="288" w:lineRule="auto"/>
              <w:ind w:firstLine="420" w:firstLineChars="200"/>
              <w:rPr>
                <w:rFonts w:hint="eastAsia" w:ascii="宋体" w:hAnsi="宋体" w:eastAsia="宋体" w:cs="宋体"/>
                <w:szCs w:val="21"/>
                <w:lang w:eastAsia="zh" w:bidi="ar"/>
              </w:rPr>
            </w:pPr>
            <w:r>
              <w:rPr>
                <w:rFonts w:hint="eastAsia" w:ascii="宋体" w:hAnsi="宋体" w:eastAsia="宋体" w:cs="宋体"/>
                <w:szCs w:val="21"/>
                <w:lang w:bidi="ar"/>
              </w:rPr>
              <w:t>交互数据统计</w:t>
            </w:r>
            <w:r>
              <w:rPr>
                <w:rFonts w:hint="eastAsia" w:ascii="宋体" w:hAnsi="宋体" w:eastAsia="宋体" w:cs="宋体"/>
                <w:szCs w:val="21"/>
                <w:lang w:eastAsia="zh" w:bidi="ar"/>
              </w:rPr>
              <w:t>:</w:t>
            </w:r>
            <w:r>
              <w:rPr>
                <w:rFonts w:hint="eastAsia" w:ascii="宋体" w:hAnsi="宋体" w:eastAsia="宋体" w:cs="宋体"/>
                <w:szCs w:val="21"/>
                <w:lang w:bidi="ar"/>
              </w:rPr>
              <w:t>可统计用户的交互次数，关键词云，点赞统计，用户反馈等，以一种可视化的页面展现出来，同时支持交互数据的历史数据查询和导出。</w:t>
            </w:r>
          </w:p>
          <w:p w14:paraId="4D694518">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（4）</w:t>
            </w:r>
            <w:r>
              <w:rPr>
                <w:rFonts w:hint="eastAsia" w:cs="宋体"/>
                <w:b/>
                <w:bCs/>
                <w:kern w:val="2"/>
                <w:sz w:val="21"/>
                <w:szCs w:val="21"/>
                <w:lang w:bidi="ar"/>
              </w:rPr>
              <w:t>多模态输入与输出</w:t>
            </w:r>
            <w:r>
              <w:rPr>
                <w:rFonts w:hint="eastAsia" w:cs="宋体"/>
                <w:b/>
                <w:bCs/>
                <w:kern w:val="2"/>
                <w:sz w:val="21"/>
                <w:szCs w:val="21"/>
                <w:lang w:eastAsia="zh" w:bidi="ar"/>
              </w:rPr>
              <w:t>模块</w:t>
            </w:r>
          </w:p>
          <w:p w14:paraId="5A8C86C7">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输入方式扩展：平台可以支持</w:t>
            </w:r>
            <w:r>
              <w:rPr>
                <w:rFonts w:hint="eastAsia" w:cs="宋体"/>
                <w:kern w:val="2"/>
                <w:sz w:val="21"/>
                <w:szCs w:val="21"/>
                <w:lang w:eastAsia="zh" w:bidi="ar"/>
              </w:rPr>
              <w:t>多模态</w:t>
            </w:r>
            <w:r>
              <w:rPr>
                <w:rFonts w:hint="eastAsia" w:cs="宋体"/>
                <w:kern w:val="2"/>
                <w:sz w:val="21"/>
                <w:szCs w:val="21"/>
                <w:lang w:bidi="ar"/>
              </w:rPr>
              <w:t>输入方式，</w:t>
            </w:r>
            <w:r>
              <w:rPr>
                <w:rFonts w:hint="eastAsia" w:cs="宋体"/>
                <w:kern w:val="2"/>
                <w:sz w:val="21"/>
                <w:szCs w:val="21"/>
                <w:lang w:eastAsia="zh" w:bidi="ar"/>
              </w:rPr>
              <w:t>可</w:t>
            </w:r>
            <w:r>
              <w:rPr>
                <w:rFonts w:hint="eastAsia" w:cs="宋体"/>
                <w:kern w:val="2"/>
                <w:sz w:val="21"/>
                <w:szCs w:val="21"/>
                <w:lang w:bidi="ar"/>
              </w:rPr>
              <w:t>通过摄像头等设备实现自然和多元化的人机互动。</w:t>
            </w:r>
          </w:p>
          <w:p w14:paraId="5C1B710F">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输入方式设置：</w:t>
            </w:r>
            <w:r>
              <w:rPr>
                <w:rFonts w:hint="eastAsia" w:cs="宋体"/>
                <w:sz w:val="21"/>
                <w:szCs w:val="21"/>
              </w:rPr>
              <w:t>为了提供更加便捷和智能的交互体验，数字人的输入方式可以设置为响应特定名称呼唤后启动语音输入识别。</w:t>
            </w:r>
          </w:p>
          <w:p w14:paraId="23CD3474">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交互</w:t>
            </w:r>
            <w:r>
              <w:rPr>
                <w:rFonts w:hint="eastAsia" w:cs="宋体"/>
                <w:kern w:val="2"/>
                <w:sz w:val="21"/>
                <w:szCs w:val="21"/>
                <w:lang w:bidi="ar"/>
              </w:rPr>
              <w:t>方式：</w:t>
            </w:r>
            <w:r>
              <w:rPr>
                <w:rFonts w:hint="eastAsia" w:cs="宋体"/>
                <w:sz w:val="21"/>
                <w:szCs w:val="21"/>
              </w:rPr>
              <w:t xml:space="preserve">数字人系统支持多种模态的信息输出，包括但不限于文本信息、语音回复、视频演示以及图像展示等，以适应不同场景下的用户需求。 </w:t>
            </w:r>
          </w:p>
          <w:p w14:paraId="1261FE1D">
            <w:pPr>
              <w:pStyle w:val="20"/>
              <w:widowControl w:val="0"/>
              <w:numPr>
                <w:ilvl w:val="255"/>
                <w:numId w:val="0"/>
              </w:numPr>
              <w:spacing w:before="0" w:beforeAutospacing="0" w:after="0" w:afterAutospacing="0" w:line="288" w:lineRule="auto"/>
              <w:ind w:firstLine="420" w:firstLineChars="200"/>
              <w:jc w:val="both"/>
              <w:rPr>
                <w:rFonts w:hint="eastAsia" w:cs="宋体"/>
                <w:b/>
                <w:bCs/>
                <w:kern w:val="2"/>
                <w:sz w:val="21"/>
                <w:szCs w:val="21"/>
                <w:lang w:eastAsia="zh" w:bidi="ar"/>
              </w:rPr>
            </w:pPr>
            <w:r>
              <w:rPr>
                <w:rFonts w:hint="eastAsia" w:cs="宋体"/>
                <w:kern w:val="2"/>
                <w:sz w:val="21"/>
                <w:szCs w:val="21"/>
                <w:lang w:eastAsia="zh" w:bidi="ar"/>
              </w:rPr>
              <w:t>多语言支持：</w:t>
            </w:r>
            <w:r>
              <w:rPr>
                <w:rFonts w:hint="eastAsia" w:cs="宋体"/>
                <w:sz w:val="21"/>
                <w:szCs w:val="21"/>
              </w:rPr>
              <w:t>数字人</w:t>
            </w:r>
            <w:r>
              <w:rPr>
                <w:rFonts w:hint="eastAsia" w:cs="宋体"/>
                <w:sz w:val="21"/>
                <w:szCs w:val="21"/>
                <w:lang w:eastAsia="zh"/>
              </w:rPr>
              <w:t>应</w:t>
            </w:r>
            <w:r>
              <w:rPr>
                <w:rFonts w:hint="eastAsia" w:cs="宋体"/>
                <w:sz w:val="21"/>
                <w:szCs w:val="21"/>
              </w:rPr>
              <w:t>具备多语言支持能力，至少能够流畅识别并交互的语言包括普通话和英语。</w:t>
            </w:r>
          </w:p>
          <w:p w14:paraId="545E6C4F">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（5）</w:t>
            </w:r>
            <w:r>
              <w:rPr>
                <w:rFonts w:hint="eastAsia" w:cs="宋体"/>
                <w:b/>
                <w:bCs/>
                <w:kern w:val="2"/>
                <w:sz w:val="21"/>
                <w:szCs w:val="21"/>
                <w:lang w:bidi="ar"/>
              </w:rPr>
              <w:t>智能</w:t>
            </w:r>
            <w:r>
              <w:rPr>
                <w:rFonts w:hint="eastAsia" w:cs="宋体"/>
                <w:b/>
                <w:bCs/>
                <w:kern w:val="2"/>
                <w:sz w:val="21"/>
                <w:szCs w:val="21"/>
                <w:lang w:eastAsia="zh" w:bidi="ar"/>
              </w:rPr>
              <w:t>问答</w:t>
            </w:r>
            <w:r>
              <w:rPr>
                <w:rFonts w:hint="eastAsia" w:cs="宋体"/>
                <w:b/>
                <w:bCs/>
                <w:kern w:val="2"/>
                <w:sz w:val="21"/>
                <w:szCs w:val="21"/>
                <w:lang w:bidi="ar"/>
              </w:rPr>
              <w:t>与学习</w:t>
            </w:r>
            <w:r>
              <w:rPr>
                <w:rFonts w:hint="eastAsia" w:cs="宋体"/>
                <w:b/>
                <w:bCs/>
                <w:kern w:val="2"/>
                <w:sz w:val="21"/>
                <w:szCs w:val="21"/>
                <w:lang w:eastAsia="zh" w:bidi="ar"/>
              </w:rPr>
              <w:t>模块</w:t>
            </w:r>
          </w:p>
          <w:p w14:paraId="456E015E">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bidi="ar"/>
              </w:rPr>
              <w:t>政策问答</w:t>
            </w:r>
            <w:r>
              <w:rPr>
                <w:rFonts w:hint="eastAsia" w:cs="宋体"/>
                <w:kern w:val="2"/>
                <w:sz w:val="21"/>
                <w:szCs w:val="21"/>
                <w:lang w:eastAsia="zh" w:bidi="ar"/>
              </w:rPr>
              <w:t>：</w:t>
            </w:r>
            <w:r>
              <w:rPr>
                <w:rFonts w:hint="eastAsia" w:cs="宋体"/>
                <w:kern w:val="2"/>
                <w:sz w:val="21"/>
                <w:szCs w:val="21"/>
                <w:lang w:bidi="ar"/>
              </w:rPr>
              <w:t>打造基于政策知识库的智能深度问答系统，根据用户输入问题进行推理，实现大模型自主调用内外部能力，为用户提供智能化、精准化、可参考的解答互动服务</w:t>
            </w:r>
            <w:r>
              <w:rPr>
                <w:rFonts w:hint="eastAsia" w:cs="宋体"/>
                <w:kern w:val="2"/>
                <w:sz w:val="21"/>
                <w:szCs w:val="21"/>
                <w:lang w:eastAsia="zh" w:bidi="ar"/>
              </w:rPr>
              <w:t>，</w:t>
            </w:r>
            <w:r>
              <w:rPr>
                <w:rFonts w:hint="eastAsia" w:cs="宋体"/>
                <w:kern w:val="2"/>
                <w:sz w:val="21"/>
                <w:szCs w:val="21"/>
                <w:lang w:bidi="ar"/>
              </w:rPr>
              <w:t>并支持用户追问。</w:t>
            </w:r>
            <w:r>
              <w:rPr>
                <w:rFonts w:hint="eastAsia" w:cs="宋体"/>
                <w:kern w:val="2"/>
                <w:sz w:val="21"/>
                <w:szCs w:val="21"/>
                <w:lang w:eastAsia="zh" w:bidi="ar"/>
              </w:rPr>
              <w:t>基于大模型总结生成政策概要内容，并应用知识图谱提供历年政策关联性分析，支持查看关联政策原文。</w:t>
            </w:r>
          </w:p>
          <w:p w14:paraId="283757DB">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文档解析：支持用户</w:t>
            </w:r>
            <w:r>
              <w:rPr>
                <w:rFonts w:hint="eastAsia" w:cs="宋体"/>
                <w:kern w:val="2"/>
                <w:sz w:val="21"/>
                <w:szCs w:val="21"/>
                <w:lang w:eastAsia="zh" w:bidi="ar"/>
              </w:rPr>
              <w:t>后台</w:t>
            </w:r>
            <w:r>
              <w:rPr>
                <w:rFonts w:hint="eastAsia" w:cs="宋体"/>
                <w:kern w:val="2"/>
                <w:sz w:val="21"/>
                <w:szCs w:val="21"/>
                <w:lang w:bidi="ar"/>
              </w:rPr>
              <w:t>将本地文档（Word、PDF文件或图片）上传系统，系统根据解析要求进行文档解析。</w:t>
            </w:r>
          </w:p>
          <w:p w14:paraId="6E3224D4">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政策计算器：基于人员或组织画像智能匹配和推荐可享受的共同富裕领域的政策内容，并提供政策总结。</w:t>
            </w:r>
          </w:p>
          <w:p w14:paraId="14BBC2AB">
            <w:pPr>
              <w:pStyle w:val="20"/>
              <w:widowControl w:val="0"/>
              <w:spacing w:before="0" w:beforeAutospacing="0" w:after="0" w:afterAutospacing="0" w:line="288" w:lineRule="auto"/>
              <w:ind w:firstLineChars="200"/>
              <w:jc w:val="both"/>
              <w:rPr>
                <w:rFonts w:hint="eastAsia" w:cs="宋体"/>
                <w:kern w:val="2"/>
                <w:sz w:val="21"/>
                <w:szCs w:val="21"/>
                <w:lang w:eastAsia="zh" w:bidi="ar"/>
              </w:rPr>
            </w:pPr>
            <w:r>
              <w:rPr>
                <w:rFonts w:hint="eastAsia" w:cs="宋体"/>
                <w:kern w:val="2"/>
                <w:sz w:val="21"/>
                <w:szCs w:val="21"/>
                <w:lang w:eastAsia="zh" w:bidi="ar"/>
              </w:rPr>
              <w:t>自适应学习：支持数字人基于用户交互历史进行学习，通过分析用户的行为和偏好，逐步优化其问答质量和反应速度，提升个性化体验。</w:t>
            </w:r>
          </w:p>
          <w:p w14:paraId="0227D219">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（6）</w:t>
            </w:r>
            <w:r>
              <w:rPr>
                <w:rFonts w:hint="eastAsia" w:cs="宋体"/>
                <w:b/>
                <w:bCs/>
                <w:kern w:val="2"/>
                <w:sz w:val="21"/>
                <w:szCs w:val="21"/>
                <w:lang w:bidi="ar"/>
              </w:rPr>
              <w:t>数据安全与隐私保护</w:t>
            </w:r>
            <w:r>
              <w:rPr>
                <w:rFonts w:hint="eastAsia" w:cs="宋体"/>
                <w:b/>
                <w:bCs/>
                <w:kern w:val="2"/>
                <w:sz w:val="21"/>
                <w:szCs w:val="21"/>
                <w:lang w:eastAsia="zh" w:bidi="ar"/>
              </w:rPr>
              <w:t>模块</w:t>
            </w:r>
          </w:p>
          <w:p w14:paraId="4CB3B07E">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bidi="ar"/>
              </w:rPr>
              <w:t>数据安全策略</w:t>
            </w:r>
            <w:r>
              <w:rPr>
                <w:rFonts w:hint="eastAsia" w:cs="宋体"/>
                <w:kern w:val="2"/>
                <w:sz w:val="21"/>
                <w:szCs w:val="21"/>
                <w:lang w:eastAsia="zh" w:bidi="ar"/>
              </w:rPr>
              <w:t>与隐私保护</w:t>
            </w:r>
            <w:r>
              <w:rPr>
                <w:rFonts w:hint="eastAsia" w:cs="宋体"/>
                <w:kern w:val="2"/>
                <w:sz w:val="21"/>
                <w:szCs w:val="21"/>
                <w:lang w:bidi="ar"/>
              </w:rPr>
              <w:t>：</w:t>
            </w:r>
            <w:r>
              <w:rPr>
                <w:rFonts w:hint="eastAsia" w:cs="宋体"/>
                <w:kern w:val="2"/>
                <w:sz w:val="21"/>
                <w:szCs w:val="21"/>
                <w:lang w:eastAsia="zh" w:bidi="ar"/>
              </w:rPr>
              <w:t>对于</w:t>
            </w:r>
            <w:r>
              <w:rPr>
                <w:rFonts w:hint="eastAsia" w:cs="宋体"/>
                <w:kern w:val="2"/>
                <w:sz w:val="21"/>
                <w:szCs w:val="21"/>
                <w:lang w:bidi="ar"/>
              </w:rPr>
              <w:t>用户输入的私有数据，平台应提供强有力的数据安全保障措施，例如加密存储、用户身份验证、多重认证等，确保交互过程中的隐私安全。</w:t>
            </w:r>
            <w:r>
              <w:rPr>
                <w:rFonts w:hint="eastAsia" w:cs="宋体"/>
                <w:kern w:val="2"/>
                <w:sz w:val="21"/>
                <w:szCs w:val="21"/>
                <w:lang w:eastAsia="zh" w:bidi="ar"/>
              </w:rPr>
              <w:t>并</w:t>
            </w:r>
            <w:r>
              <w:rPr>
                <w:rFonts w:hint="eastAsia" w:cs="宋体"/>
                <w:kern w:val="2"/>
                <w:sz w:val="21"/>
                <w:szCs w:val="21"/>
                <w:lang w:bidi="ar"/>
              </w:rPr>
              <w:t>提供隐私设置选项</w:t>
            </w:r>
            <w:r>
              <w:rPr>
                <w:rFonts w:hint="eastAsia" w:cs="宋体"/>
                <w:kern w:val="2"/>
                <w:sz w:val="21"/>
                <w:szCs w:val="21"/>
                <w:lang w:eastAsia="zh" w:bidi="ar"/>
              </w:rPr>
              <w:t>，允许后台选择</w:t>
            </w:r>
            <w:r>
              <w:rPr>
                <w:rFonts w:hint="eastAsia" w:cs="宋体"/>
                <w:kern w:val="2"/>
                <w:sz w:val="21"/>
                <w:szCs w:val="21"/>
                <w:lang w:bidi="ar"/>
              </w:rPr>
              <w:t>是否存储、分享或删除与数字人交互的历史记录，增强用户对隐私的</w:t>
            </w:r>
            <w:r>
              <w:rPr>
                <w:rFonts w:hint="eastAsia" w:cs="宋体"/>
                <w:kern w:val="2"/>
                <w:sz w:val="21"/>
                <w:szCs w:val="21"/>
                <w:lang w:eastAsia="zh" w:bidi="ar"/>
              </w:rPr>
              <w:t>保护</w:t>
            </w:r>
            <w:r>
              <w:rPr>
                <w:rFonts w:hint="eastAsia" w:cs="宋体"/>
                <w:kern w:val="2"/>
                <w:sz w:val="21"/>
                <w:szCs w:val="21"/>
                <w:lang w:bidi="ar"/>
              </w:rPr>
              <w:t>。</w:t>
            </w:r>
          </w:p>
          <w:p w14:paraId="2486C072">
            <w:pPr>
              <w:spacing w:line="288"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账号管理：可统计用户端注册用户信息，并统计用户行为，如：访问次数、问答次数、反馈次数。可对账号进行封禁和解封操作，可对用户进行角色分配，不同角色服务内容不同。</w:t>
            </w:r>
          </w:p>
          <w:p w14:paraId="6091AAC1">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权限管理：管理员可对系统的所有用户进行权限设置。</w:t>
            </w:r>
          </w:p>
          <w:p w14:paraId="4F50AA0B">
            <w:pPr>
              <w:spacing w:line="288" w:lineRule="auto"/>
              <w:ind w:firstLine="420" w:firstLineChars="200"/>
              <w:rPr>
                <w:rFonts w:hint="eastAsia" w:ascii="宋体" w:hAnsi="宋体" w:eastAsia="宋体" w:cs="宋体"/>
                <w:szCs w:val="21"/>
              </w:rPr>
            </w:pPr>
            <w:r>
              <w:rPr>
                <w:rFonts w:hint="eastAsia" w:ascii="宋体" w:hAnsi="宋体" w:eastAsia="宋体" w:cs="宋体"/>
                <w:szCs w:val="21"/>
                <w:lang w:bidi="ar"/>
              </w:rPr>
              <w:t>日志记录：后台可记录所有用户的操作行为并分析异常日志。</w:t>
            </w:r>
          </w:p>
          <w:p w14:paraId="64985278">
            <w:pPr>
              <w:pStyle w:val="20"/>
              <w:widowControl w:val="0"/>
              <w:numPr>
                <w:ilvl w:val="255"/>
                <w:numId w:val="0"/>
              </w:numPr>
              <w:spacing w:before="0" w:beforeAutospacing="0" w:after="0" w:afterAutospacing="0" w:line="288" w:lineRule="auto"/>
              <w:ind w:firstLine="422" w:firstLineChars="200"/>
              <w:jc w:val="both"/>
              <w:rPr>
                <w:rFonts w:hint="eastAsia" w:cs="宋体"/>
                <w:b/>
                <w:bCs/>
                <w:kern w:val="2"/>
                <w:sz w:val="21"/>
                <w:szCs w:val="21"/>
              </w:rPr>
            </w:pPr>
            <w:r>
              <w:rPr>
                <w:rFonts w:hint="eastAsia" w:cs="宋体"/>
                <w:b/>
                <w:bCs/>
                <w:kern w:val="2"/>
                <w:sz w:val="21"/>
                <w:szCs w:val="21"/>
                <w:lang w:eastAsia="zh" w:bidi="ar"/>
              </w:rPr>
              <w:t>（7）</w:t>
            </w:r>
            <w:r>
              <w:rPr>
                <w:rFonts w:hint="eastAsia" w:cs="宋体"/>
                <w:b/>
                <w:bCs/>
                <w:kern w:val="2"/>
                <w:sz w:val="21"/>
                <w:szCs w:val="21"/>
                <w:lang w:bidi="ar"/>
              </w:rPr>
              <w:t>扩展性与API集成</w:t>
            </w:r>
            <w:r>
              <w:rPr>
                <w:rFonts w:hint="eastAsia" w:cs="宋体"/>
                <w:b/>
                <w:bCs/>
                <w:kern w:val="2"/>
                <w:sz w:val="21"/>
                <w:szCs w:val="21"/>
                <w:lang w:eastAsia="zh" w:bidi="ar"/>
              </w:rPr>
              <w:t>模块</w:t>
            </w:r>
          </w:p>
          <w:p w14:paraId="42A0A3B4">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API开放与集成：平台可提供丰富的API接口，支持外部系统、数据库与数字人应用的无缝集成，例如连接企业的CRM系统、知识管理系统或电商平台，实现深度定制的应用场景。</w:t>
            </w:r>
          </w:p>
          <w:p w14:paraId="27B50FA0">
            <w:pPr>
              <w:pStyle w:val="20"/>
              <w:widowControl w:val="0"/>
              <w:spacing w:before="0" w:beforeAutospacing="0" w:after="0" w:afterAutospacing="0" w:line="288" w:lineRule="auto"/>
              <w:ind w:firstLineChars="200"/>
              <w:jc w:val="both"/>
              <w:rPr>
                <w:rFonts w:hint="eastAsia" w:cs="宋体"/>
                <w:kern w:val="2"/>
                <w:sz w:val="21"/>
                <w:szCs w:val="21"/>
              </w:rPr>
            </w:pPr>
            <w:r>
              <w:rPr>
                <w:rFonts w:hint="eastAsia" w:cs="宋体"/>
                <w:kern w:val="2"/>
                <w:sz w:val="21"/>
                <w:szCs w:val="21"/>
                <w:lang w:bidi="ar"/>
              </w:rPr>
              <w:t>第三方插件支持：支持引入第三方插件或工具，例如自然语言处理（NLP）引擎、外部数据源、分析工具等，增强平台的灵活性和功能扩展能力。</w:t>
            </w:r>
          </w:p>
          <w:p w14:paraId="682541CB">
            <w:pPr>
              <w:pStyle w:val="20"/>
              <w:widowControl w:val="0"/>
              <w:numPr>
                <w:ilvl w:val="0"/>
                <w:numId w:val="5"/>
              </w:numPr>
              <w:spacing w:before="0" w:beforeAutospacing="0" w:after="0" w:afterAutospacing="0" w:line="288" w:lineRule="auto"/>
              <w:ind w:firstLine="422" w:firstLineChars="200"/>
              <w:jc w:val="both"/>
              <w:rPr>
                <w:rFonts w:hint="eastAsia" w:cs="宋体"/>
                <w:b/>
                <w:bCs/>
                <w:kern w:val="2"/>
                <w:sz w:val="21"/>
                <w:szCs w:val="21"/>
                <w:lang w:eastAsia="zh" w:bidi="ar"/>
              </w:rPr>
            </w:pPr>
            <w:r>
              <w:rPr>
                <w:rFonts w:hint="eastAsia" w:cs="宋体"/>
                <w:b/>
                <w:bCs/>
                <w:kern w:val="2"/>
                <w:sz w:val="21"/>
                <w:szCs w:val="21"/>
                <w:lang w:bidi="ar"/>
              </w:rPr>
              <w:t>用户行为分析与统计</w:t>
            </w:r>
            <w:r>
              <w:rPr>
                <w:rFonts w:hint="eastAsia" w:cs="宋体"/>
                <w:b/>
                <w:bCs/>
                <w:kern w:val="2"/>
                <w:sz w:val="21"/>
                <w:szCs w:val="21"/>
                <w:lang w:eastAsia="zh" w:bidi="ar"/>
              </w:rPr>
              <w:t>模块</w:t>
            </w:r>
          </w:p>
          <w:p w14:paraId="7859EC53">
            <w:pPr>
              <w:pStyle w:val="20"/>
              <w:widowControl w:val="0"/>
              <w:spacing w:before="0" w:beforeAutospacing="0" w:after="0" w:afterAutospacing="0" w:line="288" w:lineRule="auto"/>
              <w:ind w:firstLineChars="200"/>
              <w:jc w:val="both"/>
              <w:rPr>
                <w:rFonts w:hint="eastAsia" w:cs="宋体"/>
                <w:kern w:val="2"/>
                <w:sz w:val="21"/>
                <w:szCs w:val="21"/>
                <w:lang w:bidi="ar"/>
              </w:rPr>
            </w:pPr>
            <w:r>
              <w:rPr>
                <w:rFonts w:hint="eastAsia" w:cs="宋体"/>
                <w:kern w:val="2"/>
                <w:sz w:val="21"/>
                <w:szCs w:val="21"/>
                <w:lang w:eastAsia="zh" w:bidi="ar"/>
              </w:rPr>
              <w:t>数</w:t>
            </w:r>
            <w:r>
              <w:rPr>
                <w:rFonts w:hint="eastAsia" w:cs="宋体"/>
                <w:kern w:val="2"/>
                <w:sz w:val="21"/>
                <w:szCs w:val="21"/>
                <w:lang w:bidi="ar"/>
              </w:rPr>
              <w:t>据分析与报表生成：提供用户行为数据分析工具，帮助用户分析与数字人的互动频率、问题类型、响应效果等，生成可视化的报表，便于优化平台应用和策略。</w:t>
            </w:r>
          </w:p>
          <w:p w14:paraId="2CCC155A">
            <w:pPr>
              <w:spacing w:line="288" w:lineRule="auto"/>
              <w:ind w:firstLine="422" w:firstLineChars="200"/>
              <w:rPr>
                <w:rFonts w:hint="eastAsia" w:ascii="宋体" w:hAnsi="宋体" w:eastAsia="宋体" w:cs="宋体"/>
                <w:b/>
                <w:bCs/>
                <w:szCs w:val="21"/>
                <w:lang w:bidi="ar"/>
              </w:rPr>
            </w:pPr>
            <w:r>
              <w:rPr>
                <w:rFonts w:hint="eastAsia" w:ascii="宋体" w:hAnsi="宋体" w:eastAsia="宋体" w:cs="宋体"/>
                <w:b/>
                <w:bCs/>
                <w:szCs w:val="21"/>
                <w:lang w:eastAsia="zh" w:bidi="ar"/>
              </w:rPr>
              <w:t>需要配备以下相关组件（包括但不限于）：</w:t>
            </w:r>
          </w:p>
          <w:p w14:paraId="2C5BF86F">
            <w:pPr>
              <w:spacing w:line="288" w:lineRule="auto"/>
              <w:ind w:firstLine="422"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（1）数字人终端</w:t>
            </w:r>
          </w:p>
          <w:p w14:paraId="5F5692E3">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由电容触摸屏幕、主机、麦克风、摄像头组成，通过一体式外壳进行美化处理。</w:t>
            </w:r>
          </w:p>
          <w:p w14:paraId="174E0322">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1、触摸显示屏：</w:t>
            </w:r>
          </w:p>
          <w:p w14:paraId="26DADBB6">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(1)尺寸：≥65英寸；</w:t>
            </w:r>
          </w:p>
          <w:p w14:paraId="352B9CF9">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(2)分辨率：≥3840*2160；</w:t>
            </w:r>
          </w:p>
          <w:p w14:paraId="6531DDB6">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(3)触摸要求：≥10点电容触摸；</w:t>
            </w:r>
          </w:p>
          <w:p w14:paraId="4513867A">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(4)刷新率：≥60hz；</w:t>
            </w:r>
          </w:p>
          <w:p w14:paraId="191ADDB9">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(5)对比度：≥1000:1；</w:t>
            </w:r>
          </w:p>
          <w:p w14:paraId="36B8CF29">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2、相关配置：</w:t>
            </w:r>
          </w:p>
          <w:p w14:paraId="6AF02046">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（1）CPU：配备Intel Core i7 10700或同等性能及以上的处理器。</w:t>
            </w:r>
          </w:p>
          <w:p w14:paraId="1913091B">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（2）内存：≥16G DDR4</w:t>
            </w:r>
          </w:p>
          <w:p w14:paraId="0A51050A">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（3）硬盘：≥128G SSD</w:t>
            </w:r>
          </w:p>
          <w:p w14:paraId="613AF4E5">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（4）显卡：RTX 3060 同等性能及以上；</w:t>
            </w:r>
          </w:p>
          <w:p w14:paraId="2DD1F219">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（5）功能支持：定时开关机，上电自启动，远程唤醒。支持手机、电脑、ipad多终端联网远程控制管理。</w:t>
            </w:r>
          </w:p>
          <w:p w14:paraId="6A417B0D">
            <w:pPr>
              <w:spacing w:line="288" w:lineRule="auto"/>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（6）接口：至少包含2个USB卡槽、1个SD卡槽、1个以太网口、1个HDMI输出口</w:t>
            </w:r>
          </w:p>
          <w:p w14:paraId="6D1A96FC">
            <w:pPr>
              <w:spacing w:line="288" w:lineRule="auto"/>
              <w:ind w:firstLine="420"/>
              <w:rPr>
                <w:rFonts w:hint="eastAsia" w:ascii="宋体" w:hAnsi="宋体" w:eastAsia="宋体" w:cs="宋体"/>
                <w:bCs/>
                <w:szCs w:val="21"/>
              </w:rPr>
            </w:pPr>
            <w:r>
              <w:rPr>
                <w:rFonts w:hint="eastAsia" w:ascii="宋体" w:hAnsi="宋体" w:eastAsia="宋体" w:cs="宋体"/>
                <w:bCs/>
                <w:szCs w:val="21"/>
              </w:rPr>
              <w:t>3、摄像头：</w:t>
            </w:r>
          </w:p>
          <w:p w14:paraId="301F25A7">
            <w:pPr>
              <w:spacing w:line="288" w:lineRule="auto"/>
              <w:ind w:firstLine="420"/>
              <w:rPr>
                <w:rFonts w:hint="eastAsia" w:ascii="宋体" w:hAnsi="宋体" w:eastAsia="宋体" w:cs="宋体"/>
                <w:bCs/>
                <w:szCs w:val="21"/>
              </w:rPr>
            </w:pPr>
            <w:r>
              <w:rPr>
                <w:rFonts w:hint="eastAsia" w:ascii="宋体" w:hAnsi="宋体" w:eastAsia="宋体" w:cs="宋体"/>
                <w:bCs/>
                <w:szCs w:val="21"/>
              </w:rPr>
              <w:t>（1）视频规格：需要支持4096*2160*30fps；</w:t>
            </w:r>
          </w:p>
          <w:p w14:paraId="35F444EC">
            <w:pPr>
              <w:spacing w:line="288" w:lineRule="auto"/>
              <w:ind w:firstLine="420"/>
              <w:rPr>
                <w:rFonts w:hint="eastAsia" w:ascii="宋体" w:hAnsi="宋体" w:eastAsia="宋体" w:cs="宋体"/>
                <w:bCs/>
                <w:szCs w:val="21"/>
              </w:rPr>
            </w:pPr>
            <w:r>
              <w:rPr>
                <w:rFonts w:hint="eastAsia" w:ascii="宋体" w:hAnsi="宋体" w:eastAsia="宋体" w:cs="宋体"/>
                <w:bCs/>
                <w:szCs w:val="21"/>
              </w:rPr>
              <w:t>（2）视场角：90/78/65，应支持手动调整；</w:t>
            </w:r>
          </w:p>
          <w:p w14:paraId="7704CF9F">
            <w:pPr>
              <w:spacing w:line="288" w:lineRule="auto"/>
              <w:ind w:firstLine="420"/>
              <w:rPr>
                <w:rFonts w:hint="eastAsia" w:ascii="宋体" w:hAnsi="宋体" w:eastAsia="宋体" w:cs="宋体"/>
                <w:bCs/>
                <w:szCs w:val="21"/>
              </w:rPr>
            </w:pPr>
            <w:r>
              <w:rPr>
                <w:rFonts w:hint="eastAsia" w:ascii="宋体" w:hAnsi="宋体" w:eastAsia="宋体" w:cs="宋体"/>
                <w:bCs/>
                <w:szCs w:val="21"/>
              </w:rPr>
              <w:t>（3）数字变焦：至少5倍，附加功能，广角，外接，免驱动；</w:t>
            </w:r>
          </w:p>
          <w:p w14:paraId="0E9E0851">
            <w:pPr>
              <w:spacing w:line="288" w:lineRule="auto"/>
              <w:ind w:firstLine="420"/>
              <w:rPr>
                <w:rFonts w:hint="eastAsia" w:ascii="宋体" w:hAnsi="宋体" w:eastAsia="宋体" w:cs="宋体"/>
                <w:bCs/>
                <w:szCs w:val="21"/>
              </w:rPr>
            </w:pPr>
            <w:r>
              <w:rPr>
                <w:rFonts w:hint="eastAsia" w:ascii="宋体" w:hAnsi="宋体" w:eastAsia="宋体" w:cs="宋体"/>
                <w:bCs/>
                <w:szCs w:val="21"/>
              </w:rPr>
              <w:t>（4）功能：自动面部对焦，支持HDR的RightLight 3技术；</w:t>
            </w:r>
          </w:p>
          <w:p w14:paraId="5FB1C126">
            <w:pPr>
              <w:spacing w:line="288" w:lineRule="auto"/>
              <w:ind w:firstLine="420"/>
              <w:rPr>
                <w:rFonts w:hint="eastAsia" w:ascii="宋体" w:hAnsi="宋体" w:eastAsia="宋体" w:cs="宋体"/>
                <w:bCs/>
                <w:szCs w:val="21"/>
              </w:rPr>
            </w:pPr>
            <w:r>
              <w:rPr>
                <w:rFonts w:hint="eastAsia" w:ascii="宋体" w:hAnsi="宋体" w:eastAsia="宋体" w:cs="宋体"/>
                <w:bCs/>
                <w:szCs w:val="21"/>
              </w:rPr>
              <w:t>4、麦克风阵列：</w:t>
            </w:r>
          </w:p>
          <w:p w14:paraId="414BB1B6">
            <w:pPr>
              <w:spacing w:line="288" w:lineRule="auto"/>
              <w:ind w:firstLine="420"/>
              <w:rPr>
                <w:rFonts w:hint="eastAsia" w:ascii="宋体" w:hAnsi="宋体" w:eastAsia="宋体" w:cs="宋体"/>
                <w:bCs/>
                <w:szCs w:val="21"/>
              </w:rPr>
            </w:pPr>
            <w:r>
              <w:rPr>
                <w:rFonts w:hint="eastAsia" w:ascii="宋体" w:hAnsi="宋体" w:eastAsia="宋体" w:cs="宋体"/>
                <w:bCs/>
                <w:szCs w:val="21"/>
              </w:rPr>
              <w:t>（1）内置2-4麦麦克风阵列，支持降噪，至少双声道；</w:t>
            </w:r>
          </w:p>
          <w:p w14:paraId="0FED63F8">
            <w:pPr>
              <w:spacing w:line="288" w:lineRule="auto"/>
              <w:ind w:firstLine="420"/>
              <w:rPr>
                <w:rFonts w:hint="eastAsia" w:ascii="宋体" w:hAnsi="宋体" w:eastAsia="宋体" w:cs="宋体"/>
                <w:bCs/>
                <w:szCs w:val="21"/>
              </w:rPr>
            </w:pPr>
            <w:r>
              <w:rPr>
                <w:rFonts w:hint="eastAsia" w:ascii="宋体" w:hAnsi="宋体" w:eastAsia="宋体" w:cs="宋体"/>
                <w:bCs/>
                <w:szCs w:val="21"/>
              </w:rPr>
              <w:t>（2）支持定向拾音；</w:t>
            </w:r>
          </w:p>
          <w:p w14:paraId="2120D432">
            <w:pPr>
              <w:spacing w:line="288" w:lineRule="auto"/>
              <w:ind w:firstLine="420"/>
              <w:rPr>
                <w:rFonts w:hint="eastAsia" w:ascii="宋体" w:hAnsi="宋体" w:eastAsia="宋体" w:cs="宋体"/>
                <w:bCs/>
                <w:szCs w:val="21"/>
              </w:rPr>
            </w:pPr>
            <w:r>
              <w:rPr>
                <w:rFonts w:hint="eastAsia" w:ascii="宋体" w:hAnsi="宋体" w:eastAsia="宋体" w:cs="宋体"/>
                <w:bCs/>
                <w:szCs w:val="21"/>
              </w:rPr>
              <w:t>（3）支持最佳拾音距离为至少1米；</w:t>
            </w:r>
          </w:p>
          <w:p w14:paraId="0379575D">
            <w:pPr>
              <w:spacing w:line="288" w:lineRule="auto"/>
              <w:ind w:firstLine="420"/>
              <w:rPr>
                <w:rFonts w:hint="eastAsia" w:ascii="宋体" w:hAnsi="宋体" w:eastAsia="宋体" w:cs="宋体"/>
                <w:bCs/>
                <w:szCs w:val="21"/>
              </w:rPr>
            </w:pPr>
            <w:r>
              <w:rPr>
                <w:rFonts w:hint="eastAsia" w:ascii="宋体" w:hAnsi="宋体" w:eastAsia="宋体" w:cs="宋体"/>
                <w:bCs/>
                <w:szCs w:val="21"/>
              </w:rPr>
              <w:t>5、定制一体式外壳构件：</w:t>
            </w:r>
          </w:p>
          <w:p w14:paraId="61192C0D">
            <w:pPr>
              <w:spacing w:line="288" w:lineRule="auto"/>
              <w:ind w:firstLine="420"/>
              <w:rPr>
                <w:rFonts w:hint="eastAsia" w:ascii="宋体" w:hAnsi="宋体" w:eastAsia="宋体" w:cs="宋体"/>
                <w:bCs/>
                <w:szCs w:val="21"/>
              </w:rPr>
            </w:pPr>
            <w:r>
              <w:rPr>
                <w:rFonts w:hint="eastAsia" w:ascii="宋体" w:hAnsi="宋体" w:eastAsia="宋体" w:cs="宋体"/>
                <w:bCs/>
                <w:szCs w:val="21"/>
              </w:rPr>
              <w:t>（1）根据实际要求定制外观设计；</w:t>
            </w:r>
          </w:p>
          <w:p w14:paraId="1DBBE171">
            <w:pPr>
              <w:spacing w:line="288" w:lineRule="auto"/>
              <w:ind w:firstLine="420"/>
              <w:rPr>
                <w:rFonts w:hint="eastAsia" w:ascii="宋体" w:hAnsi="宋体" w:eastAsia="宋体" w:cs="宋体"/>
                <w:szCs w:val="21"/>
                <w:lang w:eastAsia="zh" w:bidi="ar"/>
              </w:rPr>
            </w:pPr>
            <w:r>
              <w:rPr>
                <w:rFonts w:hint="eastAsia" w:ascii="宋体" w:hAnsi="宋体" w:eastAsia="宋体" w:cs="宋体"/>
                <w:bCs/>
                <w:szCs w:val="21"/>
              </w:rPr>
              <w:t>（2）定制触摸屏外观，摄像头、喇叭内置设计。</w:t>
            </w:r>
          </w:p>
        </w:tc>
        <w:tc>
          <w:tcPr>
            <w:tcW w:w="376" w:type="pct"/>
            <w:vAlign w:val="center"/>
          </w:tcPr>
          <w:p w14:paraId="4BC4630C">
            <w:pPr>
              <w:spacing w:line="288" w:lineRule="auto"/>
              <w:jc w:val="center"/>
              <w:rPr>
                <w:rFonts w:hint="eastAsia" w:ascii="宋体" w:hAnsi="宋体" w:eastAsia="宋体" w:cs="宋体"/>
                <w:szCs w:val="21"/>
              </w:rPr>
            </w:pPr>
            <w:r>
              <w:rPr>
                <w:rFonts w:hint="eastAsia" w:ascii="宋体" w:hAnsi="宋体" w:eastAsia="宋体" w:cs="宋体"/>
                <w:szCs w:val="21"/>
              </w:rPr>
              <w:t>1套</w:t>
            </w:r>
          </w:p>
        </w:tc>
      </w:tr>
    </w:tbl>
    <w:p w14:paraId="7530A9BA">
      <w:pPr>
        <w:adjustRightInd w:val="0"/>
        <w:snapToGrid w:val="0"/>
        <w:spacing w:line="288" w:lineRule="auto"/>
        <w:rPr>
          <w:rFonts w:hint="eastAsia" w:ascii="宋体" w:hAnsi="宋体" w:eastAsia="宋体" w:cs="Times New Roman"/>
          <w:b/>
          <w:bCs/>
          <w:szCs w:val="21"/>
        </w:rPr>
      </w:pPr>
    </w:p>
    <w:p w14:paraId="66EC4AC4">
      <w:pPr>
        <w:adjustRightInd w:val="0"/>
        <w:snapToGrid w:val="0"/>
        <w:spacing w:line="288" w:lineRule="auto"/>
        <w:outlineLvl w:val="1"/>
        <w:rPr>
          <w:rFonts w:hint="eastAsia" w:ascii="宋体" w:hAnsi="宋体" w:eastAsia="宋体" w:cs="Times New Roman"/>
          <w:szCs w:val="21"/>
        </w:rPr>
      </w:pPr>
      <w:r>
        <w:rPr>
          <w:rFonts w:hint="eastAsia" w:ascii="宋体" w:hAnsi="宋体" w:eastAsia="宋体" w:cs="Times New Roman"/>
          <w:b/>
          <w:szCs w:val="21"/>
        </w:rPr>
        <w:t>五、演示要求</w:t>
      </w:r>
    </w:p>
    <w:p w14:paraId="11FD2755">
      <w:pPr>
        <w:adjustRightInd w:val="0"/>
        <w:snapToGrid w:val="0"/>
        <w:spacing w:line="288" w:lineRule="auto"/>
        <w:rPr>
          <w:rFonts w:hint="eastAsia" w:ascii="宋体" w:hAnsi="宋体" w:eastAsia="宋体" w:cs="Times New Roman"/>
          <w:szCs w:val="21"/>
        </w:rPr>
      </w:pPr>
      <w:r>
        <w:rPr>
          <w:rFonts w:hint="eastAsia" w:ascii="宋体" w:hAnsi="宋体" w:eastAsia="宋体" w:cs="Times New Roman"/>
          <w:szCs w:val="21"/>
        </w:rPr>
        <w:t>1.本项目标项一需要提供演示，演示内容如下：</w:t>
      </w:r>
    </w:p>
    <w:tbl>
      <w:tblPr>
        <w:tblStyle w:val="24"/>
        <w:tblW w:w="46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263"/>
        <w:gridCol w:w="7095"/>
      </w:tblGrid>
      <w:tr w14:paraId="53C2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37DAB176">
            <w:pPr>
              <w:spacing w:line="288" w:lineRule="auto"/>
              <w:jc w:val="center"/>
              <w:rPr>
                <w:rFonts w:hint="eastAsia" w:ascii="宋体" w:hAnsi="宋体" w:eastAsia="宋体" w:cs="宋体"/>
                <w:bCs/>
                <w:szCs w:val="21"/>
              </w:rPr>
            </w:pPr>
            <w:r>
              <w:rPr>
                <w:rFonts w:hint="eastAsia" w:ascii="宋体" w:hAnsi="宋体" w:eastAsia="宋体" w:cs="宋体"/>
                <w:bCs/>
                <w:szCs w:val="21"/>
              </w:rPr>
              <w:t>序号</w:t>
            </w:r>
          </w:p>
        </w:tc>
        <w:tc>
          <w:tcPr>
            <w:tcW w:w="698" w:type="pct"/>
            <w:vAlign w:val="center"/>
          </w:tcPr>
          <w:p w14:paraId="5BD6BD94">
            <w:pPr>
              <w:spacing w:line="288" w:lineRule="auto"/>
              <w:jc w:val="center"/>
              <w:rPr>
                <w:rFonts w:hint="eastAsia" w:ascii="宋体" w:hAnsi="宋体" w:eastAsia="宋体" w:cs="宋体"/>
                <w:bCs/>
                <w:szCs w:val="21"/>
              </w:rPr>
            </w:pPr>
            <w:r>
              <w:rPr>
                <w:rFonts w:hint="eastAsia" w:ascii="宋体" w:hAnsi="宋体" w:eastAsia="宋体" w:cs="宋体"/>
                <w:bCs/>
                <w:szCs w:val="21"/>
              </w:rPr>
              <w:t>货物名称</w:t>
            </w:r>
          </w:p>
        </w:tc>
        <w:tc>
          <w:tcPr>
            <w:tcW w:w="3921" w:type="pct"/>
            <w:vAlign w:val="center"/>
          </w:tcPr>
          <w:p w14:paraId="5833BC11">
            <w:pPr>
              <w:spacing w:line="288" w:lineRule="auto"/>
              <w:jc w:val="center"/>
              <w:rPr>
                <w:rFonts w:hint="eastAsia" w:ascii="宋体" w:hAnsi="宋体" w:eastAsia="宋体" w:cs="宋体"/>
                <w:bCs/>
                <w:szCs w:val="21"/>
              </w:rPr>
            </w:pPr>
            <w:r>
              <w:rPr>
                <w:rFonts w:hint="eastAsia" w:ascii="宋体" w:hAnsi="宋体" w:eastAsia="宋体" w:cs="宋体"/>
                <w:bCs/>
                <w:szCs w:val="21"/>
              </w:rPr>
              <w:t>演示内容要求</w:t>
            </w:r>
          </w:p>
        </w:tc>
      </w:tr>
      <w:tr w14:paraId="09D8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7286EED7">
            <w:pPr>
              <w:spacing w:line="288" w:lineRule="auto"/>
              <w:jc w:val="center"/>
              <w:rPr>
                <w:rFonts w:hint="eastAsia" w:ascii="宋体" w:hAnsi="宋体" w:eastAsia="宋体" w:cs="宋体"/>
                <w:bCs/>
                <w:szCs w:val="21"/>
              </w:rPr>
            </w:pPr>
            <w:r>
              <w:rPr>
                <w:rFonts w:hint="eastAsia" w:ascii="宋体" w:hAnsi="宋体" w:eastAsia="宋体" w:cs="宋体"/>
                <w:bCs/>
                <w:szCs w:val="21"/>
              </w:rPr>
              <w:t>1</w:t>
            </w:r>
          </w:p>
        </w:tc>
        <w:tc>
          <w:tcPr>
            <w:tcW w:w="698" w:type="pct"/>
            <w:vMerge w:val="restart"/>
            <w:shd w:val="clear" w:color="auto" w:fill="auto"/>
            <w:vAlign w:val="center"/>
          </w:tcPr>
          <w:p w14:paraId="3D85B5A7">
            <w:pPr>
              <w:spacing w:line="288" w:lineRule="auto"/>
              <w:jc w:val="center"/>
              <w:rPr>
                <w:rFonts w:hint="eastAsia" w:ascii="宋体" w:hAnsi="宋体" w:eastAsia="宋体" w:cs="宋体"/>
                <w:bCs/>
                <w:szCs w:val="21"/>
              </w:rPr>
            </w:pPr>
            <w:r>
              <w:rPr>
                <w:rFonts w:hint="eastAsia" w:ascii="宋体" w:hAnsi="宋体" w:eastAsia="宋体" w:cs="宋体"/>
                <w:bCs/>
                <w:szCs w:val="21"/>
                <w:lang w:bidi="ar"/>
              </w:rPr>
              <w:t>超模态行为洞察平台</w:t>
            </w:r>
          </w:p>
        </w:tc>
        <w:tc>
          <w:tcPr>
            <w:tcW w:w="3921" w:type="pct"/>
            <w:vAlign w:val="center"/>
          </w:tcPr>
          <w:p w14:paraId="4D9691C6">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（1）行为编码模块</w:t>
            </w:r>
          </w:p>
          <w:p w14:paraId="2463250F">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第三，系统应配备可视化界面</w:t>
            </w:r>
            <w:r>
              <w:rPr>
                <w:rFonts w:hint="eastAsia" w:ascii="宋体" w:hAnsi="宋体" w:eastAsia="宋体" w:cs="宋体"/>
                <w:bCs/>
                <w:szCs w:val="21"/>
                <w:lang w:eastAsia="zh"/>
              </w:rPr>
              <w:t>，</w:t>
            </w:r>
            <w:r>
              <w:rPr>
                <w:rFonts w:hint="eastAsia" w:ascii="宋体" w:hAnsi="宋体" w:eastAsia="宋体" w:cs="宋体"/>
                <w:bCs/>
                <w:szCs w:val="21"/>
              </w:rPr>
              <w:t>通过</w:t>
            </w:r>
            <w:r>
              <w:rPr>
                <w:rFonts w:hint="eastAsia" w:ascii="宋体" w:hAnsi="宋体" w:eastAsia="宋体" w:cs="宋体"/>
                <w:bCs/>
                <w:szCs w:val="21"/>
                <w:lang w:eastAsia="zh"/>
              </w:rPr>
              <w:t>如</w:t>
            </w:r>
            <w:r>
              <w:rPr>
                <w:rFonts w:hint="eastAsia" w:ascii="宋体" w:hAnsi="宋体" w:eastAsia="宋体" w:cs="宋体"/>
                <w:bCs/>
                <w:szCs w:val="21"/>
              </w:rPr>
              <w:t>事件日志、图形时间轴联动展示等展现形式。（需要演示</w:t>
            </w:r>
            <w:r>
              <w:rPr>
                <w:rFonts w:hint="eastAsia" w:ascii="宋体" w:hAnsi="宋体" w:eastAsia="宋体" w:cs="宋体"/>
                <w:bCs/>
                <w:szCs w:val="21"/>
                <w:lang w:eastAsia="zh"/>
              </w:rPr>
              <w:t>1</w:t>
            </w:r>
            <w:r>
              <w:rPr>
                <w:rFonts w:hint="eastAsia" w:ascii="宋体" w:hAnsi="宋体" w:eastAsia="宋体" w:cs="宋体"/>
                <w:bCs/>
                <w:szCs w:val="21"/>
              </w:rPr>
              <w:t>）</w:t>
            </w:r>
          </w:p>
          <w:p w14:paraId="0A9178E9">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第五，系统应具备导入/导出编码结果的能力（例如支持导出CSV或ODX等其他格式数据），可将数据发送到其他行为编码软件或第三方分析软件分析，便于后续的数据管理和分析。（需要演示</w:t>
            </w:r>
            <w:r>
              <w:rPr>
                <w:rFonts w:hint="eastAsia" w:ascii="宋体" w:hAnsi="宋体" w:eastAsia="宋体" w:cs="宋体"/>
                <w:bCs/>
                <w:szCs w:val="21"/>
                <w:lang w:eastAsia="zh"/>
              </w:rPr>
              <w:t>2</w:t>
            </w:r>
            <w:r>
              <w:rPr>
                <w:rFonts w:hint="eastAsia" w:ascii="宋体" w:hAnsi="宋体" w:eastAsia="宋体" w:cs="宋体"/>
                <w:bCs/>
                <w:szCs w:val="21"/>
              </w:rPr>
              <w:t>）</w:t>
            </w:r>
          </w:p>
        </w:tc>
      </w:tr>
      <w:tr w14:paraId="1A58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4498CC57">
            <w:pPr>
              <w:spacing w:line="288" w:lineRule="auto"/>
              <w:jc w:val="center"/>
              <w:rPr>
                <w:rFonts w:hint="eastAsia" w:ascii="宋体" w:hAnsi="宋体" w:eastAsia="宋体" w:cs="宋体"/>
                <w:bCs/>
                <w:szCs w:val="21"/>
              </w:rPr>
            </w:pPr>
            <w:r>
              <w:rPr>
                <w:rFonts w:hint="eastAsia" w:ascii="宋体" w:hAnsi="宋体" w:eastAsia="宋体" w:cs="宋体"/>
                <w:bCs/>
                <w:szCs w:val="21"/>
              </w:rPr>
              <w:t>2</w:t>
            </w:r>
          </w:p>
        </w:tc>
        <w:tc>
          <w:tcPr>
            <w:tcW w:w="698" w:type="pct"/>
            <w:vMerge w:val="continue"/>
            <w:shd w:val="clear" w:color="auto" w:fill="auto"/>
            <w:vAlign w:val="center"/>
          </w:tcPr>
          <w:p w14:paraId="34E41001">
            <w:pPr>
              <w:spacing w:line="288" w:lineRule="auto"/>
              <w:jc w:val="center"/>
              <w:rPr>
                <w:rFonts w:hint="eastAsia" w:ascii="宋体" w:hAnsi="宋体" w:eastAsia="宋体" w:cs="宋体"/>
                <w:bCs/>
                <w:szCs w:val="21"/>
                <w:lang w:bidi="ar"/>
              </w:rPr>
            </w:pPr>
          </w:p>
        </w:tc>
        <w:tc>
          <w:tcPr>
            <w:tcW w:w="3921" w:type="pct"/>
            <w:vAlign w:val="center"/>
          </w:tcPr>
          <w:p w14:paraId="2C46CD82">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（2）生理电导反应模块</w:t>
            </w:r>
          </w:p>
          <w:p w14:paraId="3346B138">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第三，系统应提供可视化工具，如趋势图，以直观展示生理反应的变化。（需要演示3）</w:t>
            </w:r>
          </w:p>
          <w:p w14:paraId="3A0985A4">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第四，系统需要支持与行为编码模块的数据联动，标识出特定行为发生时的生理反应变化。（需要演示4）</w:t>
            </w:r>
          </w:p>
        </w:tc>
      </w:tr>
      <w:tr w14:paraId="7AA4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55CAEBDE">
            <w:pPr>
              <w:spacing w:line="288" w:lineRule="auto"/>
              <w:jc w:val="center"/>
              <w:rPr>
                <w:rFonts w:hint="eastAsia" w:ascii="宋体" w:hAnsi="宋体" w:eastAsia="宋体" w:cs="宋体"/>
                <w:bCs/>
                <w:szCs w:val="21"/>
              </w:rPr>
            </w:pPr>
            <w:r>
              <w:rPr>
                <w:rFonts w:hint="eastAsia" w:ascii="宋体" w:hAnsi="宋体" w:eastAsia="宋体" w:cs="宋体"/>
                <w:bCs/>
                <w:szCs w:val="21"/>
              </w:rPr>
              <w:t>3</w:t>
            </w:r>
          </w:p>
        </w:tc>
        <w:tc>
          <w:tcPr>
            <w:tcW w:w="698" w:type="pct"/>
            <w:vMerge w:val="continue"/>
            <w:shd w:val="clear" w:color="auto" w:fill="auto"/>
            <w:vAlign w:val="center"/>
          </w:tcPr>
          <w:p w14:paraId="64C77C83">
            <w:pPr>
              <w:spacing w:line="288" w:lineRule="auto"/>
              <w:jc w:val="center"/>
              <w:rPr>
                <w:rFonts w:hint="eastAsia" w:ascii="宋体" w:hAnsi="宋体" w:eastAsia="宋体" w:cs="宋体"/>
                <w:bCs/>
                <w:szCs w:val="21"/>
                <w:lang w:bidi="ar"/>
              </w:rPr>
            </w:pPr>
          </w:p>
        </w:tc>
        <w:tc>
          <w:tcPr>
            <w:tcW w:w="3921" w:type="pct"/>
            <w:vAlign w:val="center"/>
          </w:tcPr>
          <w:p w14:paraId="540097C3">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（3）视动采集模块</w:t>
            </w:r>
          </w:p>
          <w:p w14:paraId="35CAFC71">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第二，系统提供眼动注视点位、瞳孔直径、眼跳。以帮助分析受试者的注意力分布及认知负荷。（需要演示5）</w:t>
            </w:r>
          </w:p>
          <w:p w14:paraId="47434468">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第三，系统应提供可视化工具，如趋势图，以直观展示生理反应的变化。（需要演示6）</w:t>
            </w:r>
          </w:p>
        </w:tc>
      </w:tr>
      <w:tr w14:paraId="06D8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04F787F3">
            <w:pPr>
              <w:spacing w:line="288" w:lineRule="auto"/>
              <w:jc w:val="center"/>
              <w:rPr>
                <w:rFonts w:hint="eastAsia" w:ascii="宋体" w:hAnsi="宋体" w:eastAsia="宋体" w:cs="宋体"/>
                <w:bCs/>
                <w:szCs w:val="21"/>
              </w:rPr>
            </w:pPr>
            <w:r>
              <w:rPr>
                <w:rFonts w:hint="eastAsia" w:ascii="宋体" w:hAnsi="宋体" w:eastAsia="宋体" w:cs="宋体"/>
                <w:bCs/>
                <w:szCs w:val="21"/>
              </w:rPr>
              <w:t>4</w:t>
            </w:r>
          </w:p>
        </w:tc>
        <w:tc>
          <w:tcPr>
            <w:tcW w:w="698" w:type="pct"/>
            <w:vMerge w:val="continue"/>
            <w:shd w:val="clear" w:color="auto" w:fill="auto"/>
            <w:vAlign w:val="center"/>
          </w:tcPr>
          <w:p w14:paraId="27271785">
            <w:pPr>
              <w:spacing w:line="288" w:lineRule="auto"/>
              <w:jc w:val="center"/>
              <w:rPr>
                <w:rFonts w:hint="eastAsia" w:ascii="宋体" w:hAnsi="宋体" w:eastAsia="宋体" w:cs="宋体"/>
                <w:bCs/>
                <w:szCs w:val="21"/>
                <w:lang w:bidi="ar"/>
              </w:rPr>
            </w:pPr>
          </w:p>
        </w:tc>
        <w:tc>
          <w:tcPr>
            <w:tcW w:w="3921" w:type="pct"/>
            <w:vAlign w:val="center"/>
          </w:tcPr>
          <w:p w14:paraId="21BE2388">
            <w:pPr>
              <w:adjustRightInd w:val="0"/>
              <w:spacing w:line="288" w:lineRule="auto"/>
              <w:rPr>
                <w:rFonts w:hint="eastAsia" w:ascii="宋体" w:hAnsi="宋体" w:eastAsia="宋体" w:cs="宋体"/>
                <w:bCs/>
                <w:szCs w:val="21"/>
              </w:rPr>
            </w:pPr>
            <w:r>
              <w:rPr>
                <w:rFonts w:hint="eastAsia" w:ascii="宋体" w:hAnsi="宋体" w:eastAsia="宋体" w:cs="宋体"/>
                <w:bCs/>
                <w:szCs w:val="21"/>
              </w:rPr>
              <w:t>（4）心理情绪分析模块（需要演示7）</w:t>
            </w:r>
          </w:p>
          <w:p w14:paraId="1665E68F">
            <w:pPr>
              <w:adjustRightInd w:val="0"/>
              <w:spacing w:line="288" w:lineRule="auto"/>
              <w:rPr>
                <w:rFonts w:hint="eastAsia" w:ascii="宋体" w:hAnsi="宋体" w:eastAsia="宋体" w:cs="宋体"/>
                <w:bCs/>
                <w:szCs w:val="21"/>
              </w:rPr>
            </w:pPr>
            <w:r>
              <w:rPr>
                <w:rFonts w:hint="eastAsia" w:ascii="宋体" w:hAnsi="宋体" w:eastAsia="宋体" w:cs="宋体"/>
                <w:bCs/>
                <w:szCs w:val="21"/>
              </w:rPr>
              <w:t>第一，系统应自动进行情绪识别，通过摄像机捕捉被试面部，软件识别建模后分析面部表情（喜、怒、哀、乐、惊、惧、中性）基本表情及困惑、无趣、感兴趣等情绪，采集后所得数据支持实时可视化呈现。</w:t>
            </w:r>
          </w:p>
          <w:p w14:paraId="5E4AC0BB">
            <w:pPr>
              <w:adjustRightInd w:val="0"/>
              <w:spacing w:line="288" w:lineRule="auto"/>
              <w:rPr>
                <w:rFonts w:hint="eastAsia" w:ascii="宋体" w:hAnsi="宋体" w:eastAsia="宋体" w:cs="宋体"/>
                <w:bCs/>
                <w:szCs w:val="21"/>
              </w:rPr>
            </w:pPr>
            <w:r>
              <w:rPr>
                <w:rFonts w:hint="eastAsia" w:ascii="宋体" w:hAnsi="宋体" w:eastAsia="宋体" w:cs="宋体"/>
                <w:bCs/>
                <w:szCs w:val="21"/>
              </w:rPr>
              <w:t>第二，系统应提供情绪强度的量化指标，以客观评估情绪变化的程度。</w:t>
            </w:r>
          </w:p>
          <w:p w14:paraId="74D0BC64">
            <w:pPr>
              <w:adjustRightInd w:val="0"/>
              <w:spacing w:line="288" w:lineRule="auto"/>
              <w:rPr>
                <w:rFonts w:hint="eastAsia" w:ascii="宋体" w:hAnsi="宋体" w:eastAsia="宋体" w:cs="宋体"/>
                <w:bCs/>
                <w:szCs w:val="21"/>
              </w:rPr>
            </w:pPr>
            <w:r>
              <w:rPr>
                <w:rFonts w:hint="eastAsia" w:ascii="宋体" w:hAnsi="宋体" w:eastAsia="宋体" w:cs="宋体"/>
                <w:bCs/>
                <w:szCs w:val="21"/>
              </w:rPr>
              <w:t>第三，系统应具备同时获取不少于2人的表情数据，并支持将分析结果与行为数据和眼动、生理数据进行关联分析的功能，以满足模拟提案实验中的多人实时数据采集。</w:t>
            </w:r>
          </w:p>
        </w:tc>
      </w:tr>
      <w:tr w14:paraId="5905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33632F92">
            <w:pPr>
              <w:spacing w:line="288" w:lineRule="auto"/>
              <w:jc w:val="center"/>
              <w:rPr>
                <w:rFonts w:hint="eastAsia" w:ascii="宋体" w:hAnsi="宋体" w:eastAsia="宋体" w:cs="宋体"/>
                <w:bCs/>
                <w:szCs w:val="21"/>
              </w:rPr>
            </w:pPr>
            <w:r>
              <w:rPr>
                <w:rFonts w:hint="eastAsia" w:ascii="宋体" w:hAnsi="宋体" w:eastAsia="宋体" w:cs="宋体"/>
                <w:bCs/>
                <w:szCs w:val="21"/>
              </w:rPr>
              <w:t>5</w:t>
            </w:r>
          </w:p>
        </w:tc>
        <w:tc>
          <w:tcPr>
            <w:tcW w:w="698" w:type="pct"/>
            <w:shd w:val="clear" w:color="auto" w:fill="auto"/>
            <w:vAlign w:val="center"/>
          </w:tcPr>
          <w:p w14:paraId="7F24B7EC">
            <w:pPr>
              <w:spacing w:line="288" w:lineRule="auto"/>
              <w:jc w:val="center"/>
              <w:rPr>
                <w:rFonts w:hint="eastAsia" w:ascii="宋体" w:hAnsi="宋体" w:eastAsia="宋体" w:cs="宋体"/>
                <w:bCs/>
                <w:szCs w:val="21"/>
              </w:rPr>
            </w:pPr>
            <w:r>
              <w:rPr>
                <w:rFonts w:hint="eastAsia" w:ascii="宋体" w:hAnsi="宋体" w:eastAsia="宋体" w:cs="宋体"/>
                <w:bCs/>
                <w:szCs w:val="21"/>
                <w:lang w:bidi="ar"/>
              </w:rPr>
              <w:t>便携式行为观察记录分析系统</w:t>
            </w:r>
          </w:p>
        </w:tc>
        <w:tc>
          <w:tcPr>
            <w:tcW w:w="3921" w:type="pct"/>
            <w:vAlign w:val="center"/>
          </w:tcPr>
          <w:p w14:paraId="3EB0C84E">
            <w:pPr>
              <w:numPr>
                <w:ilvl w:val="0"/>
                <w:numId w:val="6"/>
              </w:numPr>
              <w:adjustRightInd w:val="0"/>
              <w:spacing w:line="288" w:lineRule="auto"/>
              <w:rPr>
                <w:rFonts w:hint="eastAsia" w:ascii="宋体" w:hAnsi="宋体" w:eastAsia="宋体" w:cs="宋体"/>
                <w:bCs/>
                <w:szCs w:val="21"/>
              </w:rPr>
            </w:pPr>
            <w:r>
              <w:rPr>
                <w:rFonts w:hint="eastAsia" w:ascii="宋体" w:hAnsi="宋体" w:eastAsia="宋体" w:cs="宋体"/>
                <w:bCs/>
                <w:szCs w:val="21"/>
              </w:rPr>
              <w:t>行为分析系统软件</w:t>
            </w:r>
          </w:p>
          <w:p w14:paraId="1F011DA6">
            <w:pPr>
              <w:pStyle w:val="101"/>
              <w:adjustRightInd w:val="0"/>
              <w:spacing w:line="288" w:lineRule="auto"/>
              <w:ind w:left="0"/>
              <w:rPr>
                <w:rFonts w:hint="eastAsia" w:ascii="宋体" w:hAnsi="宋体" w:cs="宋体"/>
                <w:bCs/>
                <w:sz w:val="21"/>
                <w:szCs w:val="21"/>
              </w:rPr>
            </w:pPr>
            <w:r>
              <w:rPr>
                <w:rFonts w:hint="eastAsia" w:ascii="宋体" w:hAnsi="宋体" w:cs="宋体"/>
                <w:bCs/>
                <w:sz w:val="21"/>
                <w:szCs w:val="21"/>
              </w:rPr>
              <w:t>①视频处理模块（需要演示8）</w:t>
            </w:r>
          </w:p>
          <w:p w14:paraId="08DB1D75">
            <w:pPr>
              <w:numPr>
                <w:ilvl w:val="255"/>
                <w:numId w:val="0"/>
              </w:numPr>
              <w:adjustRightInd w:val="0"/>
              <w:spacing w:line="288" w:lineRule="auto"/>
              <w:rPr>
                <w:rFonts w:hint="eastAsia" w:ascii="宋体" w:hAnsi="宋体" w:eastAsia="宋体" w:cs="宋体"/>
                <w:bCs/>
                <w:szCs w:val="21"/>
              </w:rPr>
            </w:pPr>
            <w:r>
              <w:rPr>
                <w:rFonts w:hint="eastAsia" w:ascii="宋体" w:hAnsi="宋体" w:eastAsia="宋体" w:cs="宋体"/>
                <w:bCs/>
                <w:szCs w:val="21"/>
              </w:rPr>
              <w:t>数据采样机制需灵活多样，囊括连续采样、瞬时采样及两者混合模式</w:t>
            </w:r>
            <w:r>
              <w:rPr>
                <w:rFonts w:hint="eastAsia" w:ascii="宋体" w:hAnsi="宋体" w:eastAsia="宋体" w:cs="宋体"/>
                <w:bCs/>
                <w:szCs w:val="21"/>
                <w:lang w:eastAsia="zh"/>
              </w:rPr>
              <w:t>，</w:t>
            </w:r>
            <w:r>
              <w:rPr>
                <w:rFonts w:hint="eastAsia" w:ascii="宋体" w:hAnsi="宋体" w:eastAsia="宋体" w:cs="宋体"/>
                <w:bCs/>
                <w:szCs w:val="21"/>
              </w:rPr>
              <w:t>并借助可视化界面</w:t>
            </w:r>
            <w:r>
              <w:rPr>
                <w:rFonts w:hint="eastAsia" w:ascii="宋体" w:hAnsi="宋体" w:eastAsia="宋体" w:cs="宋体"/>
                <w:bCs/>
                <w:szCs w:val="21"/>
                <w:lang w:eastAsia="zh"/>
              </w:rPr>
              <w:t>，如</w:t>
            </w:r>
            <w:r>
              <w:rPr>
                <w:rFonts w:hint="eastAsia" w:ascii="宋体" w:hAnsi="宋体" w:eastAsia="宋体" w:cs="宋体"/>
                <w:bCs/>
                <w:szCs w:val="21"/>
              </w:rPr>
              <w:t>事件日志</w:t>
            </w:r>
            <w:r>
              <w:rPr>
                <w:rFonts w:hint="eastAsia" w:ascii="宋体" w:hAnsi="宋体" w:eastAsia="宋体" w:cs="宋体"/>
                <w:bCs/>
                <w:szCs w:val="21"/>
                <w:lang w:eastAsia="zh"/>
              </w:rPr>
              <w:t>和</w:t>
            </w:r>
            <w:r>
              <w:rPr>
                <w:rFonts w:hint="eastAsia" w:ascii="宋体" w:hAnsi="宋体" w:eastAsia="宋体" w:cs="宋体"/>
                <w:bCs/>
                <w:szCs w:val="21"/>
              </w:rPr>
              <w:t>图形时间轴联动展示，方便对已标记事件进行查阅和分析，并具备uASQ实时调查问卷功能、uLog记录鼠标键盘操作功能。</w:t>
            </w:r>
          </w:p>
        </w:tc>
      </w:tr>
      <w:tr w14:paraId="415B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Align w:val="center"/>
          </w:tcPr>
          <w:p w14:paraId="4FCF86EC">
            <w:pPr>
              <w:spacing w:line="288" w:lineRule="auto"/>
              <w:jc w:val="center"/>
              <w:rPr>
                <w:rFonts w:hint="eastAsia" w:ascii="宋体" w:hAnsi="宋体" w:eastAsia="宋体" w:cs="宋体"/>
                <w:bCs/>
                <w:szCs w:val="21"/>
                <w:lang w:eastAsia="zh"/>
              </w:rPr>
            </w:pPr>
            <w:r>
              <w:rPr>
                <w:rFonts w:hint="eastAsia" w:ascii="宋体" w:hAnsi="宋体" w:eastAsia="宋体" w:cs="宋体"/>
                <w:bCs/>
                <w:szCs w:val="21"/>
              </w:rPr>
              <w:t>6</w:t>
            </w:r>
          </w:p>
        </w:tc>
        <w:tc>
          <w:tcPr>
            <w:tcW w:w="698" w:type="pct"/>
            <w:shd w:val="clear" w:color="auto" w:fill="auto"/>
            <w:vAlign w:val="center"/>
          </w:tcPr>
          <w:p w14:paraId="6777DD54">
            <w:pPr>
              <w:spacing w:line="288" w:lineRule="auto"/>
              <w:jc w:val="center"/>
              <w:rPr>
                <w:rFonts w:hint="eastAsia" w:ascii="宋体" w:hAnsi="宋体" w:eastAsia="宋体" w:cs="宋体"/>
                <w:bCs/>
                <w:szCs w:val="21"/>
                <w:lang w:bidi="ar"/>
              </w:rPr>
            </w:pPr>
            <w:r>
              <w:rPr>
                <w:rFonts w:hint="eastAsia" w:ascii="宋体" w:hAnsi="宋体" w:eastAsia="宋体" w:cs="宋体"/>
                <w:bCs/>
                <w:szCs w:val="21"/>
                <w:lang w:bidi="ar"/>
              </w:rPr>
              <w:t>视觉动态追踪系统</w:t>
            </w:r>
          </w:p>
        </w:tc>
        <w:tc>
          <w:tcPr>
            <w:tcW w:w="3921" w:type="pct"/>
            <w:vAlign w:val="center"/>
          </w:tcPr>
          <w:p w14:paraId="7C72D84C">
            <w:pPr>
              <w:spacing w:line="288" w:lineRule="auto"/>
              <w:rPr>
                <w:rFonts w:hint="eastAsia" w:ascii="宋体" w:hAnsi="宋体" w:eastAsia="宋体" w:cs="宋体"/>
                <w:bCs/>
                <w:szCs w:val="21"/>
              </w:rPr>
            </w:pPr>
            <w:r>
              <w:rPr>
                <w:rFonts w:hint="eastAsia" w:ascii="宋体" w:hAnsi="宋体" w:eastAsia="宋体" w:cs="宋体"/>
                <w:bCs/>
                <w:szCs w:val="21"/>
              </w:rPr>
              <w:t>（2）视觉动态数据分析软件</w:t>
            </w:r>
          </w:p>
          <w:p w14:paraId="5CE0D451">
            <w:pPr>
              <w:pStyle w:val="101"/>
              <w:spacing w:line="288" w:lineRule="auto"/>
              <w:ind w:left="0"/>
              <w:rPr>
                <w:rFonts w:hint="eastAsia" w:ascii="宋体" w:hAnsi="宋体" w:cs="宋体"/>
                <w:bCs/>
                <w:sz w:val="21"/>
                <w:szCs w:val="21"/>
              </w:rPr>
            </w:pPr>
            <w:r>
              <w:rPr>
                <w:rFonts w:hint="eastAsia" w:ascii="宋体" w:hAnsi="宋体" w:cs="宋体"/>
                <w:bCs/>
                <w:sz w:val="21"/>
                <w:szCs w:val="21"/>
              </w:rPr>
              <w:t>第三，采集软件支持被试信息管理，可添加字数不限的描述和注释信息，并在记录结束后立即回放叠加了视线位置的视频，便于快速分析。</w:t>
            </w:r>
            <w:r>
              <w:rPr>
                <w:rFonts w:hint="eastAsia" w:ascii="宋体" w:hAnsi="宋体" w:cs="宋体"/>
                <w:bCs/>
                <w:sz w:val="21"/>
                <w:szCs w:val="21"/>
                <w:lang w:eastAsia="zh"/>
              </w:rPr>
              <w:t>（需要演示</w:t>
            </w:r>
            <w:r>
              <w:rPr>
                <w:rFonts w:hint="eastAsia" w:ascii="宋体" w:hAnsi="宋体" w:cs="宋体"/>
                <w:bCs/>
                <w:sz w:val="21"/>
                <w:szCs w:val="21"/>
              </w:rPr>
              <w:t>9</w:t>
            </w:r>
            <w:r>
              <w:rPr>
                <w:rFonts w:hint="eastAsia" w:ascii="宋体" w:hAnsi="宋体" w:cs="宋体"/>
                <w:bCs/>
                <w:sz w:val="21"/>
                <w:szCs w:val="21"/>
                <w:lang w:eastAsia="zh"/>
              </w:rPr>
              <w:t>）</w:t>
            </w:r>
          </w:p>
          <w:p w14:paraId="383E193E">
            <w:pPr>
              <w:pStyle w:val="101"/>
              <w:spacing w:line="288" w:lineRule="auto"/>
              <w:ind w:left="0"/>
              <w:rPr>
                <w:rFonts w:hint="eastAsia" w:ascii="宋体" w:hAnsi="宋体" w:cs="宋体"/>
                <w:bCs/>
                <w:sz w:val="21"/>
                <w:szCs w:val="21"/>
              </w:rPr>
            </w:pPr>
            <w:r>
              <w:rPr>
                <w:rFonts w:hint="eastAsia" w:ascii="宋体" w:hAnsi="宋体" w:cs="宋体"/>
                <w:bCs/>
                <w:sz w:val="21"/>
                <w:szCs w:val="21"/>
                <w:lang w:eastAsia="zh"/>
              </w:rPr>
              <w:t>第四，</w:t>
            </w:r>
            <w:r>
              <w:rPr>
                <w:rFonts w:hint="eastAsia" w:ascii="宋体" w:hAnsi="宋体" w:cs="宋体"/>
                <w:bCs/>
                <w:sz w:val="21"/>
                <w:szCs w:val="21"/>
              </w:rPr>
              <w:t>系统应提供热点图、注视轨迹图、注视轨迹回放视频等可视化结果呈现与导出功能，方便后续分析。</w:t>
            </w:r>
            <w:r>
              <w:rPr>
                <w:rFonts w:hint="eastAsia" w:ascii="宋体" w:hAnsi="宋体" w:cs="宋体"/>
                <w:bCs/>
                <w:sz w:val="21"/>
                <w:szCs w:val="21"/>
                <w:lang w:eastAsia="zh"/>
              </w:rPr>
              <w:t>（需要演示</w:t>
            </w:r>
            <w:r>
              <w:rPr>
                <w:rFonts w:hint="eastAsia" w:ascii="宋体" w:hAnsi="宋体" w:cs="宋体"/>
                <w:bCs/>
                <w:sz w:val="21"/>
                <w:szCs w:val="21"/>
              </w:rPr>
              <w:t>10</w:t>
            </w:r>
            <w:r>
              <w:rPr>
                <w:rFonts w:hint="eastAsia" w:ascii="宋体" w:hAnsi="宋体" w:cs="宋体"/>
                <w:bCs/>
                <w:sz w:val="21"/>
                <w:szCs w:val="21"/>
                <w:lang w:eastAsia="zh"/>
              </w:rPr>
              <w:t>）</w:t>
            </w:r>
          </w:p>
        </w:tc>
      </w:tr>
    </w:tbl>
    <w:p w14:paraId="63331C46">
      <w:pPr>
        <w:adjustRightInd w:val="0"/>
        <w:snapToGrid w:val="0"/>
        <w:spacing w:line="288" w:lineRule="auto"/>
        <w:rPr>
          <w:rFonts w:hint="eastAsia" w:ascii="宋体" w:hAnsi="宋体" w:eastAsia="宋体" w:cs="Times New Roman"/>
          <w:szCs w:val="21"/>
        </w:rPr>
      </w:pPr>
    </w:p>
    <w:p w14:paraId="3AD0A2D0">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lang w:bidi="ar"/>
        </w:rPr>
        <w:t>2.演示时间不超过</w:t>
      </w:r>
      <w:r>
        <w:rPr>
          <w:rFonts w:ascii="宋体" w:hAnsi="宋体" w:eastAsia="宋体" w:cs="宋体"/>
          <w:szCs w:val="21"/>
          <w:lang w:bidi="ar"/>
        </w:rPr>
        <w:t>15</w:t>
      </w:r>
      <w:r>
        <w:rPr>
          <w:rFonts w:hint="eastAsia" w:ascii="宋体" w:hAnsi="宋体" w:eastAsia="宋体" w:cs="宋体"/>
          <w:szCs w:val="21"/>
          <w:lang w:bidi="ar"/>
        </w:rPr>
        <w:t>分钟（所有演示总时长），演示过程需要准备的器材、软件、网络等设施由供应商自行准备。</w:t>
      </w:r>
    </w:p>
    <w:p w14:paraId="7102E94A">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lang w:bidi="ar"/>
        </w:rPr>
        <w:t>3.演示U盘：</w:t>
      </w:r>
    </w:p>
    <w:p w14:paraId="17BCB306">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lang w:bidi="ar"/>
        </w:rPr>
        <w:t>3.1供应商需将以上演示过程录制视频，演示时长不超过15分钟以mp4.格式存储于U盘。</w:t>
      </w:r>
    </w:p>
    <w:p w14:paraId="3D2C9976">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lang w:bidi="ar"/>
        </w:rPr>
        <w:t>3.2 演示U盘可以EMS或顺丰邮寄形式在投标文件提交截止时间前递交，演示U盘应当密封包装并在包装上标注演示U盘、项目名称、供应商名称并加盖公章。</w:t>
      </w:r>
    </w:p>
    <w:p w14:paraId="73082B1E">
      <w:pPr>
        <w:adjustRightInd w:val="0"/>
        <w:snapToGrid w:val="0"/>
        <w:spacing w:line="288" w:lineRule="auto"/>
        <w:jc w:val="left"/>
        <w:rPr>
          <w:rFonts w:hint="eastAsia" w:ascii="宋体" w:hAnsi="宋体" w:eastAsia="宋体" w:cs="宋体"/>
          <w:szCs w:val="21"/>
          <w:lang w:bidi="ar"/>
        </w:rPr>
      </w:pPr>
      <w:r>
        <w:rPr>
          <w:rFonts w:hint="eastAsia" w:ascii="宋体" w:hAnsi="宋体" w:eastAsia="宋体" w:cs="宋体"/>
          <w:szCs w:val="21"/>
          <w:lang w:bidi="ar"/>
        </w:rPr>
        <w:t>3.3未按招标文件要求提供演示U盘造成评审专家无法正常评审的风险由供应商自行承担。</w:t>
      </w:r>
    </w:p>
    <w:p w14:paraId="1B6B0347">
      <w:pPr>
        <w:adjustRightInd w:val="0"/>
        <w:snapToGrid w:val="0"/>
        <w:spacing w:line="288" w:lineRule="auto"/>
        <w:rPr>
          <w:rFonts w:hint="eastAsia" w:ascii="宋体" w:hAnsi="宋体" w:eastAsia="宋体" w:cs="Times New Roman"/>
          <w:b/>
          <w:bCs/>
          <w:szCs w:val="21"/>
        </w:rPr>
      </w:pPr>
      <w:r>
        <w:rPr>
          <w:rFonts w:hint="eastAsia" w:ascii="宋体" w:hAnsi="宋体" w:eastAsia="宋体" w:cs="Times New Roman"/>
          <w:b/>
          <w:bCs/>
          <w:szCs w:val="21"/>
        </w:rPr>
        <w:t>4.</w:t>
      </w:r>
      <w:r>
        <w:rPr>
          <w:rFonts w:hint="eastAsia" w:ascii="宋体" w:hAnsi="宋体" w:eastAsia="宋体" w:cs="宋体"/>
          <w:b/>
          <w:bCs/>
          <w:szCs w:val="21"/>
          <w:lang w:bidi="ar"/>
        </w:rPr>
        <w:t>▲未提供演示的，投标无效。</w:t>
      </w:r>
    </w:p>
    <w:p w14:paraId="73698B7D">
      <w:pPr>
        <w:widowControl/>
        <w:adjustRightInd w:val="0"/>
        <w:snapToGrid w:val="0"/>
        <w:spacing w:line="288" w:lineRule="auto"/>
        <w:jc w:val="left"/>
        <w:rPr>
          <w:rFonts w:hint="eastAsia" w:ascii="宋体" w:hAnsi="宋体" w:eastAsia="宋体" w:cs="Times New Roman"/>
          <w:szCs w:val="21"/>
        </w:rPr>
      </w:pPr>
      <w:r>
        <w:rPr>
          <w:rFonts w:ascii="宋体" w:hAnsi="宋体" w:eastAsia="宋体" w:cs="Times New Roman"/>
          <w:szCs w:val="21"/>
        </w:rPr>
        <w:br w:type="page"/>
      </w:r>
    </w:p>
    <w:p w14:paraId="33192C4D">
      <w:pPr>
        <w:adjustRightInd w:val="0"/>
        <w:snapToGrid w:val="0"/>
        <w:spacing w:line="288" w:lineRule="auto"/>
        <w:jc w:val="center"/>
        <w:outlineLvl w:val="0"/>
        <w:rPr>
          <w:rFonts w:hint="eastAsia" w:ascii="宋体" w:hAnsi="宋体" w:eastAsia="宋体" w:cs="Times New Roman"/>
          <w:sz w:val="32"/>
          <w:szCs w:val="32"/>
        </w:rPr>
      </w:pPr>
      <w:r>
        <w:rPr>
          <w:rFonts w:hint="eastAsia" w:ascii="宋体" w:hAnsi="宋体" w:eastAsia="宋体" w:cs="Times New Roman"/>
          <w:b/>
          <w:sz w:val="32"/>
          <w:szCs w:val="32"/>
        </w:rPr>
        <w:t>第三章  投标人须知</w:t>
      </w:r>
    </w:p>
    <w:p w14:paraId="67C56368">
      <w:pPr>
        <w:adjustRightInd w:val="0"/>
        <w:snapToGrid w:val="0"/>
        <w:spacing w:line="288" w:lineRule="auto"/>
        <w:ind w:left="238"/>
        <w:jc w:val="center"/>
        <w:outlineLvl w:val="1"/>
        <w:rPr>
          <w:rFonts w:hint="eastAsia" w:ascii="宋体" w:hAnsi="宋体" w:eastAsia="宋体" w:cs="Times New Roman"/>
          <w:b/>
          <w:szCs w:val="21"/>
        </w:rPr>
      </w:pPr>
      <w:r>
        <w:rPr>
          <w:rFonts w:hint="eastAsia" w:ascii="宋体" w:hAnsi="宋体" w:eastAsia="宋体" w:cs="Times New Roman"/>
          <w:b/>
          <w:szCs w:val="21"/>
        </w:rPr>
        <w:t>投标人</w:t>
      </w:r>
      <w:r>
        <w:rPr>
          <w:rFonts w:ascii="宋体" w:hAnsi="宋体" w:eastAsia="宋体" w:cs="Times New Roman"/>
          <w:b/>
          <w:szCs w:val="21"/>
        </w:rPr>
        <w:t>须知</w:t>
      </w:r>
      <w:r>
        <w:rPr>
          <w:rFonts w:hint="eastAsia" w:ascii="宋体" w:hAnsi="宋体" w:eastAsia="宋体" w:cs="Times New Roman"/>
          <w:b/>
          <w:szCs w:val="21"/>
        </w:rPr>
        <w:t>前附表</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622C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A837A08">
            <w:pPr>
              <w:adjustRightInd w:val="0"/>
              <w:snapToGrid w:val="0"/>
              <w:spacing w:line="288" w:lineRule="auto"/>
              <w:jc w:val="center"/>
              <w:rPr>
                <w:rFonts w:hint="eastAsia" w:ascii="宋体" w:hAnsi="宋体" w:eastAsia="宋体"/>
                <w:b/>
                <w:bCs/>
                <w:szCs w:val="21"/>
              </w:rPr>
            </w:pPr>
            <w:r>
              <w:rPr>
                <w:rFonts w:hint="eastAsia" w:ascii="宋体" w:hAnsi="宋体" w:eastAsia="宋体"/>
                <w:b/>
                <w:bCs/>
                <w:szCs w:val="21"/>
              </w:rPr>
              <w:t>条款号</w:t>
            </w:r>
          </w:p>
        </w:tc>
        <w:tc>
          <w:tcPr>
            <w:tcW w:w="1701" w:type="dxa"/>
            <w:vAlign w:val="center"/>
          </w:tcPr>
          <w:p w14:paraId="40ED31F0">
            <w:pPr>
              <w:adjustRightInd w:val="0"/>
              <w:snapToGrid w:val="0"/>
              <w:spacing w:line="288" w:lineRule="auto"/>
              <w:jc w:val="center"/>
              <w:rPr>
                <w:rFonts w:hint="eastAsia" w:ascii="宋体" w:hAnsi="宋体" w:eastAsia="宋体"/>
                <w:b/>
                <w:bCs/>
                <w:szCs w:val="21"/>
              </w:rPr>
            </w:pPr>
            <w:r>
              <w:rPr>
                <w:rFonts w:hint="eastAsia" w:ascii="宋体" w:hAnsi="宋体" w:eastAsia="宋体"/>
                <w:b/>
                <w:bCs/>
                <w:szCs w:val="21"/>
              </w:rPr>
              <w:t>内容</w:t>
            </w:r>
          </w:p>
        </w:tc>
        <w:tc>
          <w:tcPr>
            <w:tcW w:w="6663" w:type="dxa"/>
            <w:vAlign w:val="center"/>
          </w:tcPr>
          <w:p w14:paraId="66A1A465">
            <w:pPr>
              <w:adjustRightInd w:val="0"/>
              <w:snapToGrid w:val="0"/>
              <w:spacing w:line="288" w:lineRule="auto"/>
              <w:jc w:val="center"/>
              <w:rPr>
                <w:rFonts w:hint="eastAsia" w:ascii="宋体" w:hAnsi="宋体" w:eastAsia="宋体"/>
                <w:b/>
                <w:bCs/>
                <w:szCs w:val="21"/>
              </w:rPr>
            </w:pPr>
            <w:r>
              <w:rPr>
                <w:rFonts w:hint="eastAsia" w:ascii="宋体" w:hAnsi="宋体" w:eastAsia="宋体"/>
                <w:b/>
                <w:bCs/>
                <w:szCs w:val="21"/>
              </w:rPr>
              <w:t>说明与要求</w:t>
            </w:r>
          </w:p>
        </w:tc>
      </w:tr>
      <w:tr w14:paraId="4ABE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3FEF413">
            <w:pPr>
              <w:adjustRightInd w:val="0"/>
              <w:snapToGrid w:val="0"/>
              <w:spacing w:line="288" w:lineRule="auto"/>
              <w:jc w:val="center"/>
              <w:rPr>
                <w:rFonts w:hint="eastAsia" w:ascii="宋体" w:hAnsi="宋体" w:eastAsia="宋体"/>
                <w:szCs w:val="21"/>
              </w:rPr>
            </w:pPr>
            <w:r>
              <w:rPr>
                <w:rFonts w:hint="eastAsia" w:ascii="宋体" w:hAnsi="宋体" w:eastAsia="宋体"/>
                <w:szCs w:val="21"/>
              </w:rPr>
              <w:t>（一）</w:t>
            </w:r>
          </w:p>
        </w:tc>
        <w:tc>
          <w:tcPr>
            <w:tcW w:w="1701" w:type="dxa"/>
            <w:vAlign w:val="center"/>
          </w:tcPr>
          <w:p w14:paraId="46E66AF9">
            <w:pPr>
              <w:adjustRightInd w:val="0"/>
              <w:snapToGrid w:val="0"/>
              <w:spacing w:line="288" w:lineRule="auto"/>
              <w:jc w:val="center"/>
              <w:rPr>
                <w:rFonts w:hint="eastAsia" w:ascii="宋体" w:hAnsi="宋体" w:eastAsia="宋体"/>
                <w:szCs w:val="21"/>
              </w:rPr>
            </w:pPr>
            <w:r>
              <w:rPr>
                <w:rFonts w:hint="eastAsia" w:ascii="宋体" w:hAnsi="宋体" w:eastAsia="宋体"/>
                <w:szCs w:val="21"/>
              </w:rPr>
              <w:t>适用范围</w:t>
            </w:r>
          </w:p>
        </w:tc>
        <w:tc>
          <w:tcPr>
            <w:tcW w:w="6663" w:type="dxa"/>
            <w:vAlign w:val="center"/>
          </w:tcPr>
          <w:p w14:paraId="10A2A5C8">
            <w:pPr>
              <w:adjustRightInd w:val="0"/>
              <w:snapToGrid w:val="0"/>
              <w:spacing w:line="288" w:lineRule="auto"/>
              <w:rPr>
                <w:rFonts w:hint="eastAsia" w:ascii="宋体" w:hAnsi="宋体" w:eastAsia="宋体"/>
                <w:szCs w:val="21"/>
              </w:rPr>
            </w:pPr>
            <w:r>
              <w:rPr>
                <w:rFonts w:hint="eastAsia" w:ascii="宋体" w:hAnsi="宋体" w:eastAsia="宋体"/>
                <w:szCs w:val="21"/>
              </w:rPr>
              <w:t>本招标文件适用于浙江工商大学未来营养健康与共同富裕计算设备更新-共同富裕计算设备（第一批）的招标、评标、定标、验收、合同履约、付款等（法律、法规另有规定的，从其规定）。</w:t>
            </w:r>
          </w:p>
        </w:tc>
      </w:tr>
      <w:tr w14:paraId="0764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D87F410">
            <w:pPr>
              <w:adjustRightInd w:val="0"/>
              <w:snapToGrid w:val="0"/>
              <w:spacing w:line="288" w:lineRule="auto"/>
              <w:jc w:val="center"/>
              <w:rPr>
                <w:rFonts w:hint="eastAsia" w:ascii="宋体" w:hAnsi="宋体" w:eastAsia="宋体"/>
                <w:szCs w:val="21"/>
              </w:rPr>
            </w:pPr>
            <w:r>
              <w:rPr>
                <w:rFonts w:hint="eastAsia" w:ascii="宋体" w:hAnsi="宋体" w:eastAsia="宋体"/>
                <w:szCs w:val="21"/>
              </w:rPr>
              <w:t>（二）</w:t>
            </w:r>
          </w:p>
        </w:tc>
        <w:tc>
          <w:tcPr>
            <w:tcW w:w="1701" w:type="dxa"/>
            <w:vAlign w:val="center"/>
          </w:tcPr>
          <w:p w14:paraId="33AAB772">
            <w:pPr>
              <w:adjustRightInd w:val="0"/>
              <w:snapToGrid w:val="0"/>
              <w:spacing w:line="288" w:lineRule="auto"/>
              <w:jc w:val="center"/>
              <w:rPr>
                <w:rFonts w:hint="eastAsia" w:ascii="宋体" w:hAnsi="宋体" w:eastAsia="宋体"/>
                <w:szCs w:val="21"/>
              </w:rPr>
            </w:pPr>
            <w:r>
              <w:rPr>
                <w:rFonts w:hint="eastAsia" w:ascii="宋体" w:hAnsi="宋体" w:eastAsia="宋体"/>
                <w:szCs w:val="21"/>
              </w:rPr>
              <w:t>招标方式</w:t>
            </w:r>
          </w:p>
        </w:tc>
        <w:tc>
          <w:tcPr>
            <w:tcW w:w="6663" w:type="dxa"/>
            <w:vAlign w:val="center"/>
          </w:tcPr>
          <w:p w14:paraId="374C5BA5">
            <w:pPr>
              <w:adjustRightInd w:val="0"/>
              <w:snapToGrid w:val="0"/>
              <w:spacing w:line="288" w:lineRule="auto"/>
              <w:rPr>
                <w:rFonts w:hint="eastAsia" w:ascii="宋体" w:hAnsi="宋体" w:eastAsia="宋体"/>
                <w:szCs w:val="21"/>
              </w:rPr>
            </w:pPr>
            <w:r>
              <w:rPr>
                <w:rFonts w:hint="eastAsia" w:ascii="宋体" w:hAnsi="宋体" w:eastAsia="宋体"/>
                <w:szCs w:val="21"/>
              </w:rPr>
              <w:t>本次招标采用公开招标（线上电子招投标）方式进行。</w:t>
            </w:r>
          </w:p>
        </w:tc>
      </w:tr>
      <w:tr w14:paraId="5491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7224E3B">
            <w:pPr>
              <w:adjustRightInd w:val="0"/>
              <w:snapToGrid w:val="0"/>
              <w:spacing w:line="288" w:lineRule="auto"/>
              <w:jc w:val="center"/>
              <w:rPr>
                <w:rFonts w:hint="eastAsia" w:ascii="宋体" w:hAnsi="宋体" w:eastAsia="宋体"/>
                <w:szCs w:val="21"/>
              </w:rPr>
            </w:pPr>
            <w:r>
              <w:rPr>
                <w:rFonts w:hint="eastAsia" w:ascii="宋体" w:hAnsi="宋体" w:eastAsia="宋体"/>
                <w:szCs w:val="21"/>
              </w:rPr>
              <w:t>（三）</w:t>
            </w:r>
          </w:p>
        </w:tc>
        <w:tc>
          <w:tcPr>
            <w:tcW w:w="1701" w:type="dxa"/>
            <w:vAlign w:val="center"/>
          </w:tcPr>
          <w:p w14:paraId="3A1FFF55">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投标委托</w:t>
            </w:r>
          </w:p>
        </w:tc>
        <w:tc>
          <w:tcPr>
            <w:tcW w:w="6663" w:type="dxa"/>
            <w:vAlign w:val="center"/>
          </w:tcPr>
          <w:p w14:paraId="789327CF">
            <w:pPr>
              <w:adjustRightInd w:val="0"/>
              <w:snapToGrid w:val="0"/>
              <w:spacing w:line="288" w:lineRule="auto"/>
              <w:rPr>
                <w:rFonts w:hint="eastAsia" w:ascii="宋体" w:hAnsi="宋体" w:eastAsia="宋体"/>
                <w:szCs w:val="21"/>
              </w:rPr>
            </w:pPr>
            <w:r>
              <w:rPr>
                <w:rFonts w:hint="eastAsia" w:ascii="宋体" w:hAnsi="宋体" w:eastAsia="宋体"/>
                <w:szCs w:val="21"/>
              </w:rPr>
              <w:t>▲1</w:t>
            </w:r>
            <w:r>
              <w:rPr>
                <w:rFonts w:ascii="宋体" w:hAnsi="宋体" w:eastAsia="宋体"/>
                <w:szCs w:val="21"/>
              </w:rPr>
              <w:t>.投标人代表是法定代表人</w:t>
            </w:r>
            <w:r>
              <w:rPr>
                <w:rFonts w:hint="eastAsia" w:ascii="宋体" w:hAnsi="宋体" w:eastAsia="宋体"/>
                <w:szCs w:val="21"/>
              </w:rPr>
              <w:t>（单位负责人、自然人本人）的，须提供本人身份证明。</w:t>
            </w:r>
          </w:p>
          <w:p w14:paraId="406B186D">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w:t>
            </w:r>
            <w:r>
              <w:rPr>
                <w:rFonts w:ascii="宋体" w:hAnsi="宋体" w:eastAsia="宋体"/>
                <w:szCs w:val="21"/>
              </w:rPr>
              <w:t>投标人代表不是法定代表人</w:t>
            </w:r>
            <w:r>
              <w:rPr>
                <w:rFonts w:hint="eastAsia" w:ascii="宋体" w:hAnsi="宋体" w:eastAsia="宋体"/>
                <w:szCs w:val="21"/>
              </w:rPr>
              <w:t>（单位负责人、自然人本人）的</w:t>
            </w:r>
            <w:r>
              <w:rPr>
                <w:rFonts w:ascii="宋体" w:hAnsi="宋体" w:eastAsia="宋体"/>
                <w:szCs w:val="21"/>
              </w:rPr>
              <w:t>，须提供</w:t>
            </w:r>
            <w:r>
              <w:rPr>
                <w:rFonts w:ascii="宋体" w:hAnsi="宋体" w:eastAsia="宋体"/>
                <w:bCs/>
                <w:szCs w:val="21"/>
              </w:rPr>
              <w:t>授权</w:t>
            </w:r>
            <w:r>
              <w:rPr>
                <w:rFonts w:hint="eastAsia" w:ascii="宋体" w:hAnsi="宋体" w:eastAsia="宋体"/>
                <w:bCs/>
                <w:szCs w:val="21"/>
              </w:rPr>
              <w:t>委托</w:t>
            </w:r>
            <w:r>
              <w:rPr>
                <w:rFonts w:ascii="宋体" w:hAnsi="宋体" w:eastAsia="宋体"/>
                <w:bCs/>
                <w:szCs w:val="21"/>
              </w:rPr>
              <w:t>书</w:t>
            </w:r>
            <w:r>
              <w:rPr>
                <w:rFonts w:hint="eastAsia" w:ascii="宋体" w:hAnsi="宋体" w:eastAsia="宋体"/>
                <w:szCs w:val="21"/>
              </w:rPr>
              <w:t>（格式详见招标文件第六章）和授权代表社保缴纳证明（2024年6月（含）</w:t>
            </w:r>
            <w:r>
              <w:rPr>
                <w:rFonts w:ascii="宋体" w:hAnsi="宋体" w:eastAsia="宋体"/>
                <w:szCs w:val="21"/>
              </w:rPr>
              <w:t>以后任意一月）</w:t>
            </w:r>
            <w:r>
              <w:rPr>
                <w:rFonts w:hint="eastAsia" w:ascii="宋体" w:hAnsi="宋体" w:eastAsia="宋体"/>
                <w:szCs w:val="21"/>
              </w:rPr>
              <w:t>；</w:t>
            </w:r>
          </w:p>
          <w:p w14:paraId="6794DA8C">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投标人委派不在本单位缴纳社保的人员作为授权代表的，应当在投标文件中，说明具体原因、授权代表缴纳社保的单位，并附列该授权代表缴纳社保清单。</w:t>
            </w:r>
          </w:p>
        </w:tc>
      </w:tr>
      <w:tr w14:paraId="17FF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DDCCE9E">
            <w:pPr>
              <w:adjustRightInd w:val="0"/>
              <w:snapToGrid w:val="0"/>
              <w:spacing w:line="288" w:lineRule="auto"/>
              <w:jc w:val="center"/>
              <w:rPr>
                <w:rFonts w:hint="eastAsia" w:ascii="宋体" w:hAnsi="宋体" w:eastAsia="宋体"/>
                <w:szCs w:val="21"/>
              </w:rPr>
            </w:pPr>
            <w:r>
              <w:rPr>
                <w:rFonts w:hint="eastAsia" w:ascii="宋体" w:hAnsi="宋体" w:eastAsia="宋体"/>
                <w:szCs w:val="21"/>
              </w:rPr>
              <w:t>（四）</w:t>
            </w:r>
          </w:p>
        </w:tc>
        <w:tc>
          <w:tcPr>
            <w:tcW w:w="1701" w:type="dxa"/>
            <w:vAlign w:val="center"/>
          </w:tcPr>
          <w:p w14:paraId="7AEF5DE9">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投标费用</w:t>
            </w:r>
          </w:p>
        </w:tc>
        <w:tc>
          <w:tcPr>
            <w:tcW w:w="6663" w:type="dxa"/>
            <w:vAlign w:val="center"/>
          </w:tcPr>
          <w:p w14:paraId="4BF29DAB">
            <w:pPr>
              <w:adjustRightInd w:val="0"/>
              <w:snapToGrid w:val="0"/>
              <w:spacing w:line="288" w:lineRule="auto"/>
              <w:rPr>
                <w:rFonts w:hint="eastAsia" w:ascii="宋体" w:hAnsi="宋体" w:eastAsia="宋体"/>
                <w:szCs w:val="21"/>
              </w:rPr>
            </w:pPr>
            <w:r>
              <w:rPr>
                <w:rFonts w:hint="eastAsia" w:ascii="宋体" w:hAnsi="宋体" w:eastAsia="宋体"/>
                <w:szCs w:val="21"/>
              </w:rPr>
              <w:t>1.不论投标结果如何，投标人均应自行承担所有与投标有关的全部费用；</w:t>
            </w:r>
          </w:p>
          <w:p w14:paraId="359783DC">
            <w:pPr>
              <w:adjustRightInd w:val="0"/>
              <w:snapToGrid w:val="0"/>
              <w:spacing w:line="288" w:lineRule="auto"/>
              <w:rPr>
                <w:rFonts w:hint="eastAsia" w:ascii="宋体" w:hAnsi="宋体" w:eastAsia="宋体"/>
                <w:szCs w:val="21"/>
              </w:rPr>
            </w:pPr>
            <w:r>
              <w:rPr>
                <w:rFonts w:hint="eastAsia" w:ascii="宋体" w:hAnsi="宋体" w:eastAsia="宋体"/>
                <w:szCs w:val="21"/>
              </w:rPr>
              <w:t>2.中标人在中标通知书发出之日起七个工作日内，向采购代理机构交纳代理服务费；</w:t>
            </w:r>
          </w:p>
          <w:p w14:paraId="10AA677E">
            <w:pPr>
              <w:adjustRightInd w:val="0"/>
              <w:snapToGrid w:val="0"/>
              <w:spacing w:line="288" w:lineRule="auto"/>
              <w:rPr>
                <w:rFonts w:hint="eastAsia" w:ascii="宋体" w:hAnsi="宋体" w:eastAsia="宋体"/>
                <w:szCs w:val="21"/>
              </w:rPr>
            </w:pPr>
            <w:r>
              <w:rPr>
                <w:rFonts w:hint="eastAsia" w:ascii="宋体" w:hAnsi="宋体" w:eastAsia="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7450F4B5">
            <w:pPr>
              <w:adjustRightInd w:val="0"/>
              <w:snapToGrid w:val="0"/>
              <w:spacing w:line="288" w:lineRule="auto"/>
              <w:rPr>
                <w:rFonts w:hint="eastAsia"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14:paraId="1CCBF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0C8BCD6">
                  <w:pPr>
                    <w:adjustRightInd w:val="0"/>
                    <w:snapToGrid w:val="0"/>
                    <w:spacing w:line="288" w:lineRule="auto"/>
                    <w:jc w:val="center"/>
                    <w:rPr>
                      <w:rFonts w:hint="eastAsia" w:ascii="宋体" w:hAnsi="宋体" w:eastAsia="宋体"/>
                      <w:szCs w:val="21"/>
                      <w:highlight w:val="yellow"/>
                    </w:rPr>
                  </w:pPr>
                  <w:r>
                    <w:rPr>
                      <w:rFonts w:hint="eastAsia" w:ascii="宋体" w:hAnsi="宋体" w:eastAsia="宋体"/>
                      <w:szCs w:val="21"/>
                    </w:rPr>
                    <w:t>中标金额（万元）</w:t>
                  </w:r>
                </w:p>
              </w:tc>
              <w:tc>
                <w:tcPr>
                  <w:tcW w:w="3070" w:type="dxa"/>
                  <w:tcMar>
                    <w:top w:w="0" w:type="dxa"/>
                    <w:left w:w="108" w:type="dxa"/>
                    <w:bottom w:w="0" w:type="dxa"/>
                    <w:right w:w="108" w:type="dxa"/>
                  </w:tcMar>
                  <w:vAlign w:val="center"/>
                </w:tcPr>
                <w:p w14:paraId="10014BF7">
                  <w:pPr>
                    <w:adjustRightInd w:val="0"/>
                    <w:snapToGrid w:val="0"/>
                    <w:spacing w:line="288" w:lineRule="auto"/>
                    <w:jc w:val="center"/>
                    <w:rPr>
                      <w:rFonts w:hint="eastAsia" w:ascii="宋体" w:hAnsi="宋体" w:eastAsia="宋体"/>
                      <w:szCs w:val="21"/>
                      <w:highlight w:val="yellow"/>
                    </w:rPr>
                  </w:pPr>
                  <w:r>
                    <w:rPr>
                      <w:rFonts w:hint="eastAsia" w:ascii="宋体" w:hAnsi="宋体" w:eastAsia="宋体"/>
                      <w:szCs w:val="21"/>
                    </w:rPr>
                    <w:t>收费标准（费率，%）</w:t>
                  </w:r>
                </w:p>
              </w:tc>
            </w:tr>
            <w:tr w14:paraId="6EB47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58CDB41F">
                  <w:pPr>
                    <w:widowControl/>
                    <w:jc w:val="center"/>
                    <w:textAlignment w:val="center"/>
                    <w:rPr>
                      <w:rFonts w:hint="eastAsia" w:ascii="宋体" w:hAnsi="宋体" w:eastAsia="宋体"/>
                      <w:szCs w:val="21"/>
                      <w:highlight w:val="yellow"/>
                    </w:rPr>
                  </w:pPr>
                  <w:r>
                    <w:rPr>
                      <w:rFonts w:hint="eastAsia" w:ascii="宋体" w:hAnsi="宋体" w:eastAsia="宋体" w:cs="宋体"/>
                      <w:color w:val="333333"/>
                      <w:kern w:val="0"/>
                      <w:szCs w:val="21"/>
                      <w:lang w:bidi="ar"/>
                    </w:rPr>
                    <w:t>100以下</w:t>
                  </w:r>
                </w:p>
              </w:tc>
              <w:tc>
                <w:tcPr>
                  <w:tcW w:w="3070" w:type="dxa"/>
                  <w:tcMar>
                    <w:top w:w="0" w:type="dxa"/>
                    <w:left w:w="108" w:type="dxa"/>
                    <w:bottom w:w="0" w:type="dxa"/>
                    <w:right w:w="108" w:type="dxa"/>
                  </w:tcMar>
                  <w:vAlign w:val="center"/>
                </w:tcPr>
                <w:p w14:paraId="6683F0A9">
                  <w:pPr>
                    <w:widowControl/>
                    <w:jc w:val="center"/>
                    <w:textAlignment w:val="center"/>
                    <w:rPr>
                      <w:rFonts w:hint="eastAsia" w:ascii="宋体" w:hAnsi="宋体" w:eastAsia="宋体"/>
                      <w:szCs w:val="21"/>
                      <w:highlight w:val="yellow"/>
                    </w:rPr>
                  </w:pPr>
                  <w:r>
                    <w:rPr>
                      <w:rFonts w:hint="eastAsia" w:ascii="宋体" w:hAnsi="宋体" w:eastAsia="宋体" w:cs="宋体"/>
                      <w:color w:val="333333"/>
                      <w:kern w:val="0"/>
                      <w:szCs w:val="21"/>
                      <w:lang w:bidi="ar"/>
                    </w:rPr>
                    <w:t>1.05%</w:t>
                  </w:r>
                  <w:r>
                    <w:rPr>
                      <w:rFonts w:hint="eastAsia" w:ascii="宋体" w:hAnsi="宋体" w:eastAsia="宋体" w:cs="宋体"/>
                      <w:color w:val="333333"/>
                      <w:kern w:val="0"/>
                      <w:szCs w:val="21"/>
                      <w:lang w:bidi="ar"/>
                    </w:rPr>
                    <w:br w:type="textWrapping"/>
                  </w:r>
                  <w:r>
                    <w:rPr>
                      <w:rFonts w:hint="eastAsia" w:ascii="宋体" w:hAnsi="宋体" w:eastAsia="宋体" w:cs="宋体"/>
                      <w:color w:val="333333"/>
                      <w:kern w:val="0"/>
                      <w:szCs w:val="21"/>
                      <w:lang w:bidi="ar"/>
                    </w:rPr>
                    <w:t>（不足2000元按2000元计）</w:t>
                  </w:r>
                </w:p>
              </w:tc>
            </w:tr>
            <w:tr w14:paraId="725E3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1C3AEC80">
                  <w:pPr>
                    <w:widowControl/>
                    <w:jc w:val="center"/>
                    <w:textAlignment w:val="center"/>
                    <w:rPr>
                      <w:rFonts w:hint="eastAsia" w:ascii="宋体" w:hAnsi="宋体" w:eastAsia="宋体"/>
                      <w:szCs w:val="21"/>
                      <w:highlight w:val="yellow"/>
                    </w:rPr>
                  </w:pPr>
                  <w:r>
                    <w:rPr>
                      <w:rFonts w:hint="eastAsia" w:ascii="宋体" w:hAnsi="宋体" w:eastAsia="宋体" w:cs="宋体"/>
                      <w:color w:val="333333"/>
                      <w:kern w:val="0"/>
                      <w:szCs w:val="21"/>
                      <w:lang w:bidi="ar"/>
                    </w:rPr>
                    <w:t>100-200</w:t>
                  </w:r>
                  <w:r>
                    <w:rPr>
                      <w:rFonts w:hint="eastAsia" w:ascii="宋体" w:hAnsi="宋体" w:eastAsia="宋体" w:cs="宋体"/>
                      <w:color w:val="333333"/>
                      <w:kern w:val="0"/>
                      <w:szCs w:val="21"/>
                      <w:lang w:bidi="ar"/>
                    </w:rPr>
                    <w:br w:type="textWrapping"/>
                  </w:r>
                  <w:r>
                    <w:rPr>
                      <w:rFonts w:hint="eastAsia" w:ascii="宋体" w:hAnsi="宋体" w:eastAsia="宋体" w:cs="宋体"/>
                      <w:color w:val="333333"/>
                      <w:kern w:val="0"/>
                      <w:szCs w:val="21"/>
                      <w:lang w:bidi="ar"/>
                    </w:rPr>
                    <w:t>（超过200万按200万计算）</w:t>
                  </w:r>
                </w:p>
              </w:tc>
              <w:tc>
                <w:tcPr>
                  <w:tcW w:w="3070" w:type="dxa"/>
                  <w:tcMar>
                    <w:top w:w="0" w:type="dxa"/>
                    <w:left w:w="108" w:type="dxa"/>
                    <w:bottom w:w="0" w:type="dxa"/>
                    <w:right w:w="108" w:type="dxa"/>
                  </w:tcMar>
                  <w:vAlign w:val="center"/>
                </w:tcPr>
                <w:p w14:paraId="1B8FAFF6">
                  <w:pPr>
                    <w:widowControl/>
                    <w:jc w:val="center"/>
                    <w:textAlignment w:val="center"/>
                    <w:rPr>
                      <w:rFonts w:hint="eastAsia" w:ascii="宋体" w:hAnsi="宋体" w:eastAsia="宋体"/>
                      <w:szCs w:val="21"/>
                      <w:highlight w:val="yellow"/>
                    </w:rPr>
                  </w:pPr>
                  <w:r>
                    <w:rPr>
                      <w:rFonts w:hint="eastAsia" w:ascii="宋体" w:hAnsi="宋体" w:eastAsia="宋体" w:cs="宋体"/>
                      <w:color w:val="333333"/>
                      <w:kern w:val="0"/>
                      <w:szCs w:val="21"/>
                      <w:lang w:bidi="ar"/>
                    </w:rPr>
                    <w:t>0.77%</w:t>
                  </w:r>
                </w:p>
              </w:tc>
            </w:tr>
          </w:tbl>
          <w:p w14:paraId="22C26DED">
            <w:pPr>
              <w:adjustRightInd w:val="0"/>
              <w:snapToGrid w:val="0"/>
              <w:spacing w:line="288" w:lineRule="auto"/>
              <w:rPr>
                <w:rFonts w:hint="eastAsia" w:ascii="宋体" w:hAnsi="宋体" w:eastAsia="宋体"/>
                <w:szCs w:val="21"/>
              </w:rPr>
            </w:pPr>
          </w:p>
        </w:tc>
      </w:tr>
      <w:tr w14:paraId="5ACB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C30A63B">
            <w:pPr>
              <w:adjustRightInd w:val="0"/>
              <w:snapToGrid w:val="0"/>
              <w:spacing w:line="288" w:lineRule="auto"/>
              <w:jc w:val="center"/>
              <w:rPr>
                <w:rFonts w:hint="eastAsia" w:ascii="宋体" w:hAnsi="宋体" w:eastAsia="宋体"/>
                <w:szCs w:val="21"/>
              </w:rPr>
            </w:pPr>
            <w:r>
              <w:rPr>
                <w:rFonts w:hint="eastAsia" w:ascii="宋体" w:hAnsi="宋体" w:eastAsia="宋体"/>
                <w:szCs w:val="21"/>
              </w:rPr>
              <w:t>（五）</w:t>
            </w:r>
          </w:p>
        </w:tc>
        <w:tc>
          <w:tcPr>
            <w:tcW w:w="1701" w:type="dxa"/>
            <w:vAlign w:val="center"/>
          </w:tcPr>
          <w:p w14:paraId="0165F0E4">
            <w:pPr>
              <w:adjustRightInd w:val="0"/>
              <w:snapToGrid w:val="0"/>
              <w:spacing w:line="288" w:lineRule="auto"/>
              <w:ind w:right="-105" w:rightChars="-50"/>
              <w:jc w:val="center"/>
              <w:rPr>
                <w:rFonts w:hint="eastAsia" w:ascii="宋体" w:hAnsi="宋体" w:eastAsia="宋体"/>
                <w:szCs w:val="21"/>
              </w:rPr>
            </w:pPr>
            <w:r>
              <w:rPr>
                <w:rFonts w:hint="eastAsia" w:ascii="宋体" w:hAnsi="宋体" w:eastAsia="宋体" w:cs="Times New Roman"/>
                <w:spacing w:val="-6"/>
                <w:szCs w:val="21"/>
              </w:rPr>
              <w:t>投标保证金（元）</w:t>
            </w:r>
          </w:p>
        </w:tc>
        <w:tc>
          <w:tcPr>
            <w:tcW w:w="6663" w:type="dxa"/>
            <w:vAlign w:val="center"/>
          </w:tcPr>
          <w:p w14:paraId="3ED70AEF">
            <w:pPr>
              <w:adjustRightInd w:val="0"/>
              <w:snapToGrid w:val="0"/>
              <w:spacing w:line="288" w:lineRule="auto"/>
              <w:rPr>
                <w:rFonts w:hint="eastAsia" w:ascii="宋体" w:hAnsi="宋体" w:eastAsia="宋体"/>
                <w:szCs w:val="21"/>
              </w:rPr>
            </w:pPr>
            <w:r>
              <w:rPr>
                <w:rFonts w:hint="eastAsia" w:ascii="宋体" w:hAnsi="宋体" w:eastAsia="宋体" w:cs="Times New Roman"/>
                <w:spacing w:val="-6"/>
                <w:szCs w:val="21"/>
              </w:rPr>
              <w:t>无。</w:t>
            </w:r>
          </w:p>
        </w:tc>
      </w:tr>
      <w:tr w14:paraId="3E9B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20FCC80">
            <w:pPr>
              <w:adjustRightInd w:val="0"/>
              <w:snapToGrid w:val="0"/>
              <w:spacing w:line="288" w:lineRule="auto"/>
              <w:jc w:val="center"/>
              <w:rPr>
                <w:rFonts w:hint="eastAsia" w:ascii="宋体" w:hAnsi="宋体" w:eastAsia="宋体"/>
                <w:szCs w:val="21"/>
              </w:rPr>
            </w:pPr>
            <w:r>
              <w:rPr>
                <w:rFonts w:hint="eastAsia" w:ascii="宋体" w:hAnsi="宋体" w:eastAsia="宋体"/>
                <w:szCs w:val="21"/>
              </w:rPr>
              <w:t>（六）</w:t>
            </w:r>
          </w:p>
        </w:tc>
        <w:tc>
          <w:tcPr>
            <w:tcW w:w="1701" w:type="dxa"/>
            <w:vAlign w:val="center"/>
          </w:tcPr>
          <w:p w14:paraId="73252636">
            <w:pPr>
              <w:adjustRightInd w:val="0"/>
              <w:snapToGrid w:val="0"/>
              <w:spacing w:line="288" w:lineRule="auto"/>
              <w:jc w:val="center"/>
              <w:rPr>
                <w:rFonts w:hint="eastAsia" w:ascii="宋体" w:hAnsi="宋体" w:eastAsia="宋体"/>
                <w:szCs w:val="21"/>
              </w:rPr>
            </w:pPr>
            <w:r>
              <w:rPr>
                <w:rFonts w:hint="eastAsia" w:ascii="宋体" w:hAnsi="宋体" w:eastAsia="宋体"/>
                <w:szCs w:val="21"/>
              </w:rPr>
              <w:t>联合体投标</w:t>
            </w:r>
          </w:p>
        </w:tc>
        <w:tc>
          <w:tcPr>
            <w:tcW w:w="6663" w:type="dxa"/>
            <w:vAlign w:val="center"/>
          </w:tcPr>
          <w:p w14:paraId="7337CC0B">
            <w:pPr>
              <w:adjustRightInd w:val="0"/>
              <w:snapToGrid w:val="0"/>
              <w:spacing w:line="288" w:lineRule="auto"/>
              <w:rPr>
                <w:rFonts w:hint="eastAsia" w:ascii="宋体" w:hAnsi="宋体" w:eastAsia="宋体"/>
                <w:szCs w:val="21"/>
              </w:rPr>
            </w:pPr>
            <w:r>
              <w:rPr>
                <w:rFonts w:hint="eastAsia" w:ascii="宋体" w:hAnsi="宋体" w:eastAsia="宋体"/>
                <w:szCs w:val="21"/>
              </w:rPr>
              <w:t>本项目（是）接受联合体投标。</w:t>
            </w:r>
          </w:p>
        </w:tc>
      </w:tr>
      <w:tr w14:paraId="6542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4769E50">
            <w:pPr>
              <w:adjustRightInd w:val="0"/>
              <w:snapToGrid w:val="0"/>
              <w:spacing w:line="288" w:lineRule="auto"/>
              <w:jc w:val="center"/>
              <w:rPr>
                <w:rFonts w:hint="eastAsia" w:ascii="宋体" w:hAnsi="宋体" w:eastAsia="宋体"/>
                <w:szCs w:val="21"/>
              </w:rPr>
            </w:pPr>
            <w:r>
              <w:rPr>
                <w:rFonts w:hint="eastAsia" w:ascii="宋体" w:hAnsi="宋体" w:eastAsia="宋体"/>
                <w:szCs w:val="21"/>
              </w:rPr>
              <w:t>（七）</w:t>
            </w:r>
          </w:p>
        </w:tc>
        <w:tc>
          <w:tcPr>
            <w:tcW w:w="1701" w:type="dxa"/>
            <w:vAlign w:val="center"/>
          </w:tcPr>
          <w:p w14:paraId="05A44CB7">
            <w:pPr>
              <w:adjustRightInd w:val="0"/>
              <w:snapToGrid w:val="0"/>
              <w:spacing w:line="288" w:lineRule="auto"/>
              <w:jc w:val="center"/>
              <w:rPr>
                <w:rFonts w:hint="eastAsia" w:ascii="宋体" w:hAnsi="宋体" w:eastAsia="宋体"/>
                <w:szCs w:val="21"/>
              </w:rPr>
            </w:pPr>
            <w:r>
              <w:rPr>
                <w:rFonts w:hint="eastAsia" w:ascii="宋体" w:hAnsi="宋体" w:eastAsia="宋体"/>
                <w:szCs w:val="21"/>
              </w:rPr>
              <w:t>转包与分包</w:t>
            </w:r>
          </w:p>
        </w:tc>
        <w:tc>
          <w:tcPr>
            <w:tcW w:w="6663" w:type="dxa"/>
            <w:vAlign w:val="center"/>
          </w:tcPr>
          <w:p w14:paraId="0B1FC075">
            <w:pPr>
              <w:adjustRightInd w:val="0"/>
              <w:snapToGrid w:val="0"/>
              <w:spacing w:line="288"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本项目不允许转包；</w:t>
            </w:r>
          </w:p>
          <w:p w14:paraId="5C26EFEA">
            <w:pPr>
              <w:adjustRightInd w:val="0"/>
              <w:snapToGrid w:val="0"/>
              <w:spacing w:line="288" w:lineRule="auto"/>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标项一、二、四</w:t>
            </w:r>
            <w:r>
              <w:rPr>
                <w:rFonts w:hint="eastAsia" w:ascii="宋体" w:hAnsi="宋体" w:eastAsia="宋体"/>
                <w:b/>
                <w:bCs/>
                <w:color w:val="000000" w:themeColor="text1"/>
                <w:szCs w:val="21"/>
                <w:u w:val="single"/>
                <w14:textFill>
                  <w14:solidFill>
                    <w14:schemeClr w14:val="tx1"/>
                  </w14:solidFill>
                </w14:textFill>
              </w:rPr>
              <w:t>允许</w:t>
            </w:r>
            <w:r>
              <w:rPr>
                <w:rFonts w:hint="eastAsia" w:ascii="宋体" w:hAnsi="宋体" w:eastAsia="宋体"/>
                <w:color w:val="000000" w:themeColor="text1"/>
                <w:szCs w:val="21"/>
                <w14:textFill>
                  <w14:solidFill>
                    <w14:schemeClr w14:val="tx1"/>
                  </w14:solidFill>
                </w14:textFill>
              </w:rPr>
              <w:t>分包，</w:t>
            </w:r>
            <w:r>
              <w:rPr>
                <w:rFonts w:ascii="宋体" w:hAnsi="宋体" w:eastAsia="宋体"/>
                <w:color w:val="000000" w:themeColor="text1"/>
                <w:szCs w:val="21"/>
                <w14:textFill>
                  <w14:solidFill>
                    <w14:schemeClr w14:val="tx1"/>
                  </w14:solidFill>
                </w14:textFill>
              </w:rPr>
              <w:t>可以分包履行的（非主体、非关键性的工作）具体内容、金额或者比例：</w:t>
            </w:r>
            <w:r>
              <w:rPr>
                <w:rFonts w:hint="eastAsia" w:ascii="宋体" w:hAnsi="宋体" w:eastAsia="宋体"/>
                <w:color w:val="000000" w:themeColor="text1"/>
                <w:szCs w:val="21"/>
                <w14:textFill>
                  <w14:solidFill>
                    <w14:schemeClr w14:val="tx1"/>
                  </w14:solidFill>
                </w14:textFill>
              </w:rPr>
              <w:t>设备运输</w:t>
            </w:r>
            <w:r>
              <w:rPr>
                <w:rFonts w:ascii="宋体" w:hAnsi="宋体" w:eastAsia="宋体"/>
                <w:color w:val="000000" w:themeColor="text1"/>
                <w:szCs w:val="21"/>
                <w14:textFill>
                  <w14:solidFill>
                    <w14:schemeClr w14:val="tx1"/>
                  </w14:solidFill>
                </w14:textFill>
              </w:rPr>
              <w:t xml:space="preserve"> 。</w:t>
            </w:r>
          </w:p>
          <w:p w14:paraId="05751B8E">
            <w:pPr>
              <w:adjustRightInd w:val="0"/>
              <w:snapToGrid w:val="0"/>
              <w:spacing w:line="288"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b/>
                <w:bCs/>
                <w:color w:val="000000" w:themeColor="text1"/>
                <w:szCs w:val="21"/>
                <w:u w:val="single"/>
                <w14:textFill>
                  <w14:solidFill>
                    <w14:schemeClr w14:val="tx1"/>
                  </w14:solidFill>
                </w14:textFill>
              </w:rPr>
              <w:t>3.标项三允许</w:t>
            </w:r>
            <w:r>
              <w:rPr>
                <w:rFonts w:hint="eastAsia" w:ascii="宋体" w:hAnsi="宋体" w:eastAsia="宋体"/>
                <w:color w:val="000000" w:themeColor="text1"/>
                <w:szCs w:val="21"/>
                <w14:textFill>
                  <w14:solidFill>
                    <w14:schemeClr w14:val="tx1"/>
                  </w14:solidFill>
                </w14:textFill>
              </w:rPr>
              <w:t>分包，</w:t>
            </w:r>
            <w:r>
              <w:rPr>
                <w:rFonts w:ascii="宋体" w:hAnsi="宋体" w:eastAsia="宋体"/>
                <w:color w:val="000000" w:themeColor="text1"/>
                <w:szCs w:val="21"/>
                <w14:textFill>
                  <w14:solidFill>
                    <w14:schemeClr w14:val="tx1"/>
                  </w14:solidFill>
                </w14:textFill>
              </w:rPr>
              <w:t>可以分包履行的（非主体、非关键性的工作）具体内容、金额或者比例：</w:t>
            </w:r>
            <w:r>
              <w:rPr>
                <w:rFonts w:hint="eastAsia" w:ascii="宋体" w:hAnsi="宋体" w:eastAsia="宋体"/>
                <w:color w:val="000000" w:themeColor="text1"/>
                <w:szCs w:val="21"/>
                <w:u w:val="single"/>
                <w14:textFill>
                  <w14:solidFill>
                    <w14:schemeClr w14:val="tx1"/>
                  </w14:solidFill>
                </w14:textFill>
              </w:rPr>
              <w:t>“共同富裕智慧大脑”私有数据模型训练服务平台中“（5）政策计算器”模块的开发</w:t>
            </w:r>
            <w:r>
              <w:rPr>
                <w:rFonts w:ascii="宋体" w:hAnsi="宋体" w:eastAsia="宋体"/>
                <w:color w:val="000000" w:themeColor="text1"/>
                <w:szCs w:val="21"/>
                <w14:textFill>
                  <w14:solidFill>
                    <w14:schemeClr w14:val="tx1"/>
                  </w14:solidFill>
                </w14:textFill>
              </w:rPr>
              <w:t xml:space="preserve"> 。</w:t>
            </w:r>
          </w:p>
          <w:p w14:paraId="78AECEDB">
            <w:pPr>
              <w:adjustRightInd w:val="0"/>
              <w:snapToGrid w:val="0"/>
              <w:spacing w:line="288" w:lineRule="auto"/>
              <w:rPr>
                <w:rFonts w:hint="eastAsia" w:ascii="宋体" w:hAnsi="宋体" w:eastAsia="宋体" w:cs="Times New Roman"/>
                <w:spacing w:val="-6"/>
                <w:szCs w:val="21"/>
              </w:rPr>
            </w:pPr>
            <w:r>
              <w:rPr>
                <w:rFonts w:hint="eastAsia" w:ascii="宋体" w:hAnsi="宋体" w:eastAsia="宋体"/>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0B6B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5C97C97">
            <w:pPr>
              <w:adjustRightInd w:val="0"/>
              <w:snapToGrid w:val="0"/>
              <w:spacing w:line="288" w:lineRule="auto"/>
              <w:jc w:val="center"/>
              <w:rPr>
                <w:rFonts w:hint="eastAsia" w:ascii="宋体" w:hAnsi="宋体" w:eastAsia="宋体"/>
                <w:szCs w:val="21"/>
              </w:rPr>
            </w:pPr>
            <w:r>
              <w:rPr>
                <w:rFonts w:hint="eastAsia" w:ascii="宋体" w:hAnsi="宋体" w:eastAsia="宋体"/>
                <w:szCs w:val="21"/>
              </w:rPr>
              <w:t>（八）</w:t>
            </w:r>
          </w:p>
        </w:tc>
        <w:tc>
          <w:tcPr>
            <w:tcW w:w="1701" w:type="dxa"/>
            <w:vAlign w:val="center"/>
          </w:tcPr>
          <w:p w14:paraId="5DBD7AA1">
            <w:pPr>
              <w:adjustRightInd w:val="0"/>
              <w:snapToGrid w:val="0"/>
              <w:spacing w:line="288" w:lineRule="auto"/>
              <w:jc w:val="center"/>
              <w:rPr>
                <w:rFonts w:hint="eastAsia" w:ascii="宋体" w:hAnsi="宋体" w:eastAsia="宋体"/>
                <w:szCs w:val="21"/>
              </w:rPr>
            </w:pPr>
            <w:r>
              <w:rPr>
                <w:rFonts w:hint="eastAsia" w:ascii="宋体" w:hAnsi="宋体" w:eastAsia="宋体"/>
                <w:b/>
                <w:bCs/>
                <w:szCs w:val="21"/>
              </w:rPr>
              <w:t>信用记录</w:t>
            </w:r>
          </w:p>
        </w:tc>
        <w:tc>
          <w:tcPr>
            <w:tcW w:w="6663" w:type="dxa"/>
            <w:vAlign w:val="center"/>
          </w:tcPr>
          <w:p w14:paraId="49166128">
            <w:pPr>
              <w:adjustRightInd w:val="0"/>
              <w:snapToGrid w:val="0"/>
              <w:spacing w:line="288" w:lineRule="auto"/>
              <w:rPr>
                <w:rFonts w:hint="eastAsia" w:ascii="宋体" w:hAnsi="宋体" w:eastAsia="宋体"/>
                <w:szCs w:val="21"/>
              </w:rPr>
            </w:pPr>
            <w:r>
              <w:rPr>
                <w:rFonts w:hint="eastAsia" w:ascii="宋体" w:hAnsi="宋体" w:eastAsia="宋体"/>
                <w:bCs/>
                <w:szCs w:val="21"/>
              </w:rPr>
              <w:t>根据财库[2016]125号《关于在政府采购活动中查询及使用信用记录有关问题的通知》要求，采购代理机构会对投标人信用记录进行查询并甄别。信用</w:t>
            </w:r>
            <w:r>
              <w:rPr>
                <w:rFonts w:hint="eastAsia" w:ascii="宋体" w:hAnsi="宋体" w:eastAsia="宋体"/>
                <w:szCs w:val="21"/>
              </w:rPr>
              <w:t>信息查询的截止时点：投标截止时间；</w:t>
            </w:r>
          </w:p>
          <w:p w14:paraId="7A9A203B">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）查询渠道：“信用中国”（www.creditchina.gov.cn）、“中国政府采购网”（www.ccgp.gov.cn）；</w:t>
            </w:r>
          </w:p>
          <w:p w14:paraId="05D37C6F">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）信用信息查询记录和证据留存具体方式：采购代理机构经办人和监督人员将查询网页打印、签名与其他采购文件一并保存；</w:t>
            </w:r>
          </w:p>
          <w:p w14:paraId="1D5971B0">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bCs/>
                <w:szCs w:val="21"/>
              </w:rPr>
              <w:t>）信用信息的使用规则：投标人被列入失信被执行人、重大税收违法案件当事人名单、政府采购严重违法失信行为记录名单的，拒绝其参与政府采购活动。</w:t>
            </w:r>
          </w:p>
        </w:tc>
      </w:tr>
      <w:tr w14:paraId="5F91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97960A7">
            <w:pPr>
              <w:adjustRightInd w:val="0"/>
              <w:snapToGrid w:val="0"/>
              <w:spacing w:line="288" w:lineRule="auto"/>
              <w:jc w:val="center"/>
              <w:rPr>
                <w:rFonts w:hint="eastAsia" w:ascii="宋体" w:hAnsi="宋体" w:eastAsia="宋体"/>
                <w:szCs w:val="21"/>
              </w:rPr>
            </w:pPr>
            <w:r>
              <w:rPr>
                <w:rFonts w:hint="eastAsia" w:ascii="宋体" w:hAnsi="宋体" w:eastAsia="宋体"/>
                <w:szCs w:val="21"/>
              </w:rPr>
              <w:t>（九）</w:t>
            </w:r>
          </w:p>
        </w:tc>
        <w:tc>
          <w:tcPr>
            <w:tcW w:w="1701" w:type="dxa"/>
            <w:vAlign w:val="center"/>
          </w:tcPr>
          <w:p w14:paraId="307DB798">
            <w:pPr>
              <w:adjustRightInd w:val="0"/>
              <w:snapToGrid w:val="0"/>
              <w:spacing w:line="288" w:lineRule="auto"/>
              <w:jc w:val="center"/>
              <w:rPr>
                <w:rFonts w:hint="eastAsia" w:ascii="宋体" w:hAnsi="宋体" w:eastAsia="宋体"/>
                <w:szCs w:val="21"/>
              </w:rPr>
            </w:pPr>
            <w:r>
              <w:rPr>
                <w:rFonts w:hint="eastAsia" w:ascii="宋体" w:hAnsi="宋体" w:eastAsia="宋体"/>
                <w:szCs w:val="21"/>
              </w:rPr>
              <w:t>资格审查要求的资格证明材料</w:t>
            </w:r>
          </w:p>
        </w:tc>
        <w:tc>
          <w:tcPr>
            <w:tcW w:w="6663" w:type="dxa"/>
            <w:vAlign w:val="center"/>
          </w:tcPr>
          <w:p w14:paraId="61F8FC49">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资格审查要求的资格证明材料（均需加盖公章）</w:t>
            </w:r>
          </w:p>
          <w:p w14:paraId="27F373F5">
            <w:pPr>
              <w:adjustRightInd w:val="0"/>
              <w:snapToGrid w:val="0"/>
              <w:spacing w:line="288" w:lineRule="auto"/>
              <w:rPr>
                <w:rFonts w:hint="eastAsia" w:ascii="宋体" w:hAnsi="宋体" w:eastAsia="宋体"/>
                <w:bCs/>
                <w:szCs w:val="21"/>
              </w:rPr>
            </w:pPr>
            <w:r>
              <w:rPr>
                <w:rFonts w:hint="eastAsia" w:ascii="宋体" w:hAnsi="宋体" w:eastAsia="宋体"/>
                <w:szCs w:val="21"/>
              </w:rPr>
              <w:t>（</w:t>
            </w:r>
            <w:r>
              <w:rPr>
                <w:rFonts w:hint="eastAsia" w:ascii="宋体" w:hAnsi="宋体" w:eastAsia="宋体"/>
                <w:bCs/>
                <w:szCs w:val="21"/>
              </w:rPr>
              <w:t>1）有效的法人或者其他组织的营业执照等证明文件，自然人的身份证明</w:t>
            </w:r>
          </w:p>
          <w:p w14:paraId="41B44603">
            <w:pPr>
              <w:adjustRightInd w:val="0"/>
              <w:snapToGrid w:val="0"/>
              <w:spacing w:line="288" w:lineRule="auto"/>
              <w:rPr>
                <w:rFonts w:hint="eastAsia" w:ascii="宋体" w:hAnsi="宋体" w:eastAsia="宋体"/>
                <w:bCs/>
                <w:szCs w:val="21"/>
              </w:rPr>
            </w:pPr>
            <w:r>
              <w:rPr>
                <w:rFonts w:hint="eastAsia" w:ascii="宋体" w:hAnsi="宋体" w:eastAsia="宋体"/>
                <w:szCs w:val="21"/>
              </w:rPr>
              <w:t>（</w:t>
            </w:r>
            <w:r>
              <w:rPr>
                <w:rFonts w:hint="eastAsia" w:ascii="宋体" w:hAnsi="宋体" w:eastAsia="宋体"/>
                <w:bCs/>
                <w:szCs w:val="21"/>
              </w:rPr>
              <w:t>2）符合参加政府采购活动应当具备的一般条件的承诺函</w:t>
            </w:r>
          </w:p>
          <w:p w14:paraId="3BEEA9EC">
            <w:pPr>
              <w:adjustRightInd w:val="0"/>
              <w:snapToGrid w:val="0"/>
              <w:spacing w:line="288" w:lineRule="auto"/>
              <w:rPr>
                <w:rFonts w:hint="eastAsia" w:ascii="宋体" w:hAnsi="宋体" w:eastAsia="宋体"/>
                <w:bCs/>
                <w:szCs w:val="21"/>
              </w:rPr>
            </w:pPr>
            <w:r>
              <w:rPr>
                <w:rFonts w:hint="eastAsia" w:ascii="宋体" w:hAnsi="宋体" w:eastAsia="宋体"/>
                <w:bCs/>
                <w:szCs w:val="21"/>
              </w:rPr>
              <w:t>（</w:t>
            </w:r>
            <w:r>
              <w:rPr>
                <w:rFonts w:ascii="宋体" w:hAnsi="宋体" w:eastAsia="宋体"/>
                <w:bCs/>
                <w:szCs w:val="21"/>
              </w:rPr>
              <w:t>3</w:t>
            </w:r>
            <w:r>
              <w:rPr>
                <w:rFonts w:hint="eastAsia" w:ascii="宋体" w:hAnsi="宋体" w:eastAsia="宋体"/>
                <w:bCs/>
                <w:szCs w:val="21"/>
              </w:rPr>
              <w:t>）</w:t>
            </w:r>
            <w:r>
              <w:rPr>
                <w:rFonts w:ascii="宋体" w:hAnsi="宋体" w:eastAsia="宋体"/>
                <w:bCs/>
                <w:szCs w:val="21"/>
              </w:rPr>
              <w:t>落实政府采购政策需满足的资格要求：</w:t>
            </w:r>
            <w:r>
              <w:rPr>
                <w:rFonts w:hint="eastAsia" w:ascii="宋体" w:hAnsi="宋体" w:eastAsia="宋体"/>
                <w:bCs/>
                <w:szCs w:val="21"/>
              </w:rPr>
              <w:t>无</w:t>
            </w:r>
          </w:p>
          <w:p w14:paraId="4DF98B7D">
            <w:pPr>
              <w:adjustRightInd w:val="0"/>
              <w:snapToGrid w:val="0"/>
              <w:spacing w:line="288" w:lineRule="auto"/>
              <w:rPr>
                <w:rFonts w:hint="eastAsia" w:ascii="宋体" w:hAnsi="宋体" w:eastAsia="宋体"/>
                <w:bCs/>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本项目的特定资格要求</w:t>
            </w:r>
            <w:r>
              <w:rPr>
                <w:rFonts w:ascii="宋体" w:hAnsi="宋体" w:eastAsia="宋体"/>
                <w:szCs w:val="21"/>
              </w:rPr>
              <w:t>证明材料</w:t>
            </w:r>
            <w:r>
              <w:rPr>
                <w:rFonts w:ascii="宋体" w:hAnsi="宋体" w:eastAsia="宋体"/>
                <w:bCs/>
                <w:szCs w:val="21"/>
              </w:rPr>
              <w:t>：</w:t>
            </w:r>
            <w:r>
              <w:rPr>
                <w:rFonts w:hint="eastAsia" w:ascii="宋体" w:hAnsi="宋体" w:eastAsia="宋体"/>
                <w:bCs/>
                <w:szCs w:val="21"/>
              </w:rPr>
              <w:t>无</w:t>
            </w:r>
          </w:p>
          <w:p w14:paraId="7969228F">
            <w:pPr>
              <w:adjustRightInd w:val="0"/>
              <w:snapToGrid w:val="0"/>
              <w:spacing w:line="288" w:lineRule="auto"/>
              <w:rPr>
                <w:rFonts w:hint="eastAsia" w:ascii="宋体" w:hAnsi="宋体" w:eastAsia="宋体"/>
                <w:szCs w:val="21"/>
              </w:rPr>
            </w:pPr>
            <w:r>
              <w:rPr>
                <w:rFonts w:hint="eastAsia" w:ascii="宋体" w:hAnsi="宋体" w:eastAsia="宋体"/>
                <w:szCs w:val="21"/>
              </w:rPr>
              <w:t>（5）</w:t>
            </w:r>
            <w:r>
              <w:rPr>
                <w:rFonts w:hint="eastAsia" w:ascii="宋体" w:hAnsi="宋体" w:eastAsia="宋体"/>
                <w:szCs w:val="21"/>
                <w:lang w:val="zh-CN"/>
              </w:rPr>
              <w:t>联合协议</w:t>
            </w:r>
            <w:r>
              <w:rPr>
                <w:rFonts w:hint="eastAsia" w:ascii="宋体" w:hAnsi="宋体" w:eastAsia="宋体"/>
                <w:szCs w:val="21"/>
              </w:rPr>
              <w:t>（以联合体形式投标的，提供联合协议；本项目不接受联合体投标或者投标人不以联合体形式投标的，则不需要提供）</w:t>
            </w:r>
          </w:p>
          <w:p w14:paraId="515FB438">
            <w:pPr>
              <w:adjustRightInd w:val="0"/>
              <w:snapToGrid w:val="0"/>
              <w:spacing w:line="288" w:lineRule="auto"/>
              <w:rPr>
                <w:rFonts w:hint="eastAsia" w:ascii="宋体" w:hAnsi="宋体" w:eastAsia="宋体"/>
                <w:bCs/>
                <w:szCs w:val="21"/>
                <w:highlight w:val="yellow"/>
              </w:rPr>
            </w:pPr>
          </w:p>
        </w:tc>
      </w:tr>
      <w:tr w14:paraId="682C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3BF5772">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w:t>
            </w:r>
          </w:p>
        </w:tc>
        <w:tc>
          <w:tcPr>
            <w:tcW w:w="1701" w:type="dxa"/>
            <w:vAlign w:val="center"/>
          </w:tcPr>
          <w:p w14:paraId="0E8AB052">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投标文件份数</w:t>
            </w:r>
          </w:p>
        </w:tc>
        <w:tc>
          <w:tcPr>
            <w:tcW w:w="6663" w:type="dxa"/>
            <w:vAlign w:val="center"/>
          </w:tcPr>
          <w:p w14:paraId="799AEFA9">
            <w:pPr>
              <w:adjustRightInd w:val="0"/>
              <w:snapToGrid w:val="0"/>
              <w:spacing w:line="288" w:lineRule="auto"/>
              <w:ind w:firstLine="396" w:firstLineChars="200"/>
              <w:jc w:val="left"/>
              <w:rPr>
                <w:rFonts w:hint="eastAsia" w:ascii="宋体" w:hAnsi="宋体" w:eastAsia="宋体"/>
                <w:bCs/>
                <w:spacing w:val="-6"/>
                <w:szCs w:val="21"/>
              </w:rPr>
            </w:pPr>
            <w:r>
              <w:rPr>
                <w:rFonts w:hint="eastAsia" w:ascii="宋体" w:hAnsi="宋体" w:eastAsia="宋体"/>
                <w:bCs/>
                <w:spacing w:val="-6"/>
                <w:szCs w:val="21"/>
              </w:rPr>
              <w:t>电子加密投标文件：政府采购云平台在线上传一份；</w:t>
            </w:r>
          </w:p>
          <w:p w14:paraId="47E9173D">
            <w:pPr>
              <w:adjustRightInd w:val="0"/>
              <w:snapToGrid w:val="0"/>
              <w:spacing w:line="288" w:lineRule="auto"/>
              <w:ind w:firstLine="396" w:firstLineChars="200"/>
              <w:jc w:val="left"/>
              <w:rPr>
                <w:rFonts w:hint="eastAsia" w:ascii="宋体" w:hAnsi="宋体" w:eastAsia="宋体" w:cs="宋体"/>
                <w:bCs/>
                <w:szCs w:val="21"/>
              </w:rPr>
            </w:pPr>
            <w:r>
              <w:rPr>
                <w:rFonts w:hint="eastAsia" w:ascii="宋体" w:hAnsi="宋体" w:eastAsia="宋体"/>
                <w:bCs/>
                <w:spacing w:val="-6"/>
                <w:szCs w:val="21"/>
              </w:rPr>
              <w:t>备份投标文件：密封包装后EMS或顺丰邮寄形式递交一份（邮寄地址：</w:t>
            </w:r>
            <w:r>
              <w:rPr>
                <w:rFonts w:hint="eastAsia" w:ascii="宋体" w:hAnsi="宋体" w:eastAsia="宋体" w:cs="宋体"/>
                <w:bCs/>
                <w:szCs w:val="21"/>
              </w:rPr>
              <w:t>杭州市西湖区玉古路173号中田大厦21楼H室，浙江求是招标代理有限公司（温瑶）收，电话：0571-87666115，寄出后将（快递单号、项目名称、公司名称、联系方式等相关信息）发至：zb03@qszb.net，以便查收）。</w:t>
            </w:r>
          </w:p>
          <w:p w14:paraId="542D47EA">
            <w:pPr>
              <w:adjustRightInd w:val="0"/>
              <w:snapToGrid w:val="0"/>
              <w:spacing w:line="288" w:lineRule="auto"/>
              <w:ind w:firstLine="422" w:firstLineChars="200"/>
              <w:jc w:val="left"/>
              <w:rPr>
                <w:rFonts w:hint="eastAsia" w:ascii="宋体" w:hAnsi="宋体" w:eastAsia="宋体"/>
                <w:bCs/>
                <w:spacing w:val="-6"/>
                <w:szCs w:val="21"/>
                <w:highlight w:val="yellow"/>
              </w:rPr>
            </w:pPr>
            <w:r>
              <w:rPr>
                <w:rFonts w:hint="eastAsia" w:ascii="宋体" w:hAnsi="宋体" w:eastAsia="宋体" w:cs="宋体"/>
                <w:b/>
                <w:szCs w:val="21"/>
              </w:rPr>
              <w:t>特别说明：双休日和法定节假日不收件，投标人自行承担邮寄风险。</w:t>
            </w:r>
          </w:p>
        </w:tc>
      </w:tr>
      <w:tr w14:paraId="5CFC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86E1ECE">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（十一）</w:t>
            </w:r>
          </w:p>
        </w:tc>
        <w:tc>
          <w:tcPr>
            <w:tcW w:w="1701" w:type="dxa"/>
            <w:vAlign w:val="center"/>
          </w:tcPr>
          <w:p w14:paraId="53A08A5E">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投标报价</w:t>
            </w:r>
          </w:p>
        </w:tc>
        <w:tc>
          <w:tcPr>
            <w:tcW w:w="6663" w:type="dxa"/>
            <w:vAlign w:val="center"/>
          </w:tcPr>
          <w:p w14:paraId="50E92791">
            <w:pPr>
              <w:adjustRightInd w:val="0"/>
              <w:snapToGrid w:val="0"/>
              <w:spacing w:line="288" w:lineRule="auto"/>
              <w:rPr>
                <w:rFonts w:hint="eastAsia" w:ascii="宋体" w:hAnsi="宋体" w:eastAsia="宋体"/>
                <w:szCs w:val="21"/>
              </w:rPr>
            </w:pPr>
            <w:r>
              <w:rPr>
                <w:rFonts w:hint="eastAsia" w:ascii="宋体" w:hAnsi="宋体" w:eastAsia="宋体"/>
                <w:szCs w:val="21"/>
              </w:rPr>
              <w:t>1.报价应按招标文件要求的格式编制、填写报价内容（可自行增行），未按招标文件要求编制、填写的投标文件可能被拒绝；</w:t>
            </w:r>
          </w:p>
          <w:p w14:paraId="1B9FC357">
            <w:pPr>
              <w:adjustRightInd w:val="0"/>
              <w:snapToGrid w:val="0"/>
              <w:spacing w:line="288" w:lineRule="auto"/>
              <w:rPr>
                <w:rFonts w:hint="eastAsia" w:ascii="宋体" w:hAnsi="宋体" w:eastAsia="宋体"/>
                <w:szCs w:val="21"/>
              </w:rPr>
            </w:pPr>
            <w:r>
              <w:rPr>
                <w:rFonts w:hint="eastAsia" w:ascii="宋体" w:hAnsi="宋体" w:eastAsia="宋体"/>
                <w:szCs w:val="21"/>
              </w:rPr>
              <w:t>2.以人民币报价；</w:t>
            </w:r>
          </w:p>
          <w:p w14:paraId="5B159607">
            <w:pPr>
              <w:adjustRightInd w:val="0"/>
              <w:snapToGrid w:val="0"/>
              <w:spacing w:line="288"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szCs w:val="21"/>
              </w:rPr>
              <w:t>3.投标报价是</w:t>
            </w:r>
            <w:r>
              <w:rPr>
                <w:rFonts w:hint="eastAsia" w:ascii="宋体" w:hAnsi="宋体" w:eastAsia="宋体"/>
                <w:color w:val="000000" w:themeColor="text1"/>
                <w:szCs w:val="21"/>
                <w14:textFill>
                  <w14:solidFill>
                    <w14:schemeClr w14:val="tx1"/>
                  </w14:solidFill>
                </w14:textFill>
              </w:rPr>
              <w:t>履行合同的最终价格，有关本项目实施所涉及的一切费用均计入报价；总价不为零，分项报价中部分产品、服务单价为零的，视作已包含在总价中。</w:t>
            </w:r>
          </w:p>
          <w:p w14:paraId="662977F0">
            <w:pPr>
              <w:adjustRightInd w:val="0"/>
              <w:snapToGrid w:val="0"/>
              <w:spacing w:line="288"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4.投标文件只允许有一个报价，有选择的报价将不予接受。</w:t>
            </w:r>
          </w:p>
          <w:p w14:paraId="5FEB1385">
            <w:pPr>
              <w:pStyle w:val="13"/>
              <w:adjustRightInd w:val="0"/>
              <w:snapToGrid w:val="0"/>
              <w:spacing w:before="0" w:beforeLines="0" w:after="0" w:afterLines="0" w:line="288" w:lineRule="auto"/>
              <w:jc w:val="left"/>
              <w:rPr>
                <w:rFonts w:hint="eastAsia"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▲5</w:t>
            </w:r>
            <w:r>
              <w:rPr>
                <w:rFonts w:hAnsi="宋体" w:eastAsia="宋体" w:cs="宋体"/>
                <w:color w:val="000000" w:themeColor="text1"/>
                <w:sz w:val="21"/>
                <w:szCs w:val="21"/>
                <w14:textFill>
                  <w14:solidFill>
                    <w14:schemeClr w14:val="tx1"/>
                  </w14:solidFill>
                </w14:textFill>
              </w:rPr>
              <w:t>.</w:t>
            </w:r>
            <w:r>
              <w:rPr>
                <w:rFonts w:hint="eastAsia" w:hAnsi="宋体" w:eastAsia="宋体" w:cs="宋体"/>
                <w:color w:val="000000" w:themeColor="text1"/>
                <w:sz w:val="21"/>
                <w:szCs w:val="21"/>
                <w14:textFill>
                  <w14:solidFill>
                    <w14:schemeClr w14:val="tx1"/>
                  </w14:solidFill>
                </w14:textFill>
              </w:rPr>
              <w:t>采购人将以合同形式有偿取得货物或服务，不接受投标人给予的赠品、回扣或者与采购无关的其他商品、服务</w:t>
            </w:r>
            <w:r>
              <w:rPr>
                <w:rFonts w:hAnsi="宋体" w:eastAsia="宋体" w:cs="宋体"/>
                <w:color w:val="000000" w:themeColor="text1"/>
                <w:sz w:val="21"/>
                <w:szCs w:val="21"/>
                <w14:textFill>
                  <w14:solidFill>
                    <w14:schemeClr w14:val="tx1"/>
                  </w14:solidFill>
                </w14:textFill>
              </w:rPr>
              <w:t>。</w:t>
            </w:r>
          </w:p>
          <w:p w14:paraId="5858AD48">
            <w:pPr>
              <w:pStyle w:val="13"/>
              <w:adjustRightInd w:val="0"/>
              <w:snapToGrid w:val="0"/>
              <w:spacing w:before="0" w:beforeLines="0" w:after="0" w:afterLines="0" w:line="288" w:lineRule="auto"/>
              <w:jc w:val="left"/>
              <w:rPr>
                <w:rFonts w:hint="eastAsia" w:hAnsi="宋体" w:eastAsia="宋体" w:cs="宋体"/>
                <w:sz w:val="21"/>
                <w:szCs w:val="21"/>
                <w:highlight w:val="cyan"/>
              </w:rPr>
            </w:pPr>
            <w:r>
              <w:rPr>
                <w:rFonts w:hint="eastAsia" w:hAnsi="宋体" w:eastAsia="宋体" w:cs="宋体"/>
                <w:color w:val="000000" w:themeColor="text1"/>
                <w:sz w:val="21"/>
                <w:szCs w:val="21"/>
                <w14:textFill>
                  <w14:solidFill>
                    <w14:schemeClr w14:val="tx1"/>
                  </w14:solidFill>
                </w14:textFill>
              </w:rPr>
              <w:t>6.供应商不得进行影响产品质量或者诚信履约的恶意报价。供应商报价低于项目预算50%的，应当在报价文件中提供说明，详细阐述不影响产品质量或者诚信履约的具体原因。</w:t>
            </w:r>
          </w:p>
        </w:tc>
      </w:tr>
      <w:tr w14:paraId="6B4A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EBE4403">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（十二）</w:t>
            </w:r>
          </w:p>
        </w:tc>
        <w:tc>
          <w:tcPr>
            <w:tcW w:w="1701" w:type="dxa"/>
            <w:vAlign w:val="center"/>
          </w:tcPr>
          <w:p w14:paraId="44441250">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投标有效期</w:t>
            </w:r>
          </w:p>
        </w:tc>
        <w:tc>
          <w:tcPr>
            <w:tcW w:w="6663" w:type="dxa"/>
            <w:vAlign w:val="center"/>
          </w:tcPr>
          <w:p w14:paraId="027F5E22">
            <w:pPr>
              <w:adjustRightInd w:val="0"/>
              <w:snapToGrid w:val="0"/>
              <w:spacing w:line="288" w:lineRule="auto"/>
              <w:rPr>
                <w:rFonts w:hint="eastAsia" w:ascii="宋体" w:hAnsi="宋体" w:eastAsia="宋体"/>
                <w:szCs w:val="21"/>
              </w:rPr>
            </w:pPr>
            <w:r>
              <w:rPr>
                <w:rFonts w:hint="eastAsia" w:ascii="宋体" w:hAnsi="宋体" w:eastAsia="宋体"/>
                <w:szCs w:val="21"/>
              </w:rPr>
              <w:t>▲从提交投标文件的截止之日起</w:t>
            </w:r>
            <w:r>
              <w:rPr>
                <w:rFonts w:ascii="宋体" w:hAnsi="宋体" w:eastAsia="宋体"/>
                <w:szCs w:val="21"/>
              </w:rPr>
              <w:t>90天，在原投标有效期满之前，如果出现特殊情况，采购人或采购代理机构以书面形式通知投标人延长投标有效期。</w:t>
            </w:r>
          </w:p>
        </w:tc>
      </w:tr>
      <w:tr w14:paraId="7264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58DDF4B">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（十三）</w:t>
            </w:r>
          </w:p>
        </w:tc>
        <w:tc>
          <w:tcPr>
            <w:tcW w:w="1701" w:type="dxa"/>
            <w:vAlign w:val="center"/>
          </w:tcPr>
          <w:p w14:paraId="1EBC17B1">
            <w:pPr>
              <w:adjustRightInd w:val="0"/>
              <w:snapToGrid w:val="0"/>
              <w:spacing w:line="288" w:lineRule="auto"/>
              <w:jc w:val="center"/>
              <w:rPr>
                <w:rFonts w:hint="eastAsia" w:ascii="宋体" w:hAnsi="宋体" w:eastAsia="宋体"/>
                <w:szCs w:val="21"/>
              </w:rPr>
            </w:pPr>
            <w:r>
              <w:rPr>
                <w:rFonts w:hint="eastAsia" w:ascii="宋体" w:hAnsi="宋体" w:eastAsia="宋体"/>
                <w:szCs w:val="21"/>
              </w:rPr>
              <w:t>评标方法和评标标准</w:t>
            </w:r>
          </w:p>
        </w:tc>
        <w:tc>
          <w:tcPr>
            <w:tcW w:w="6663" w:type="dxa"/>
            <w:vAlign w:val="center"/>
          </w:tcPr>
          <w:p w14:paraId="30E593CE">
            <w:pPr>
              <w:adjustRightInd w:val="0"/>
              <w:snapToGrid w:val="0"/>
              <w:spacing w:line="288" w:lineRule="auto"/>
              <w:rPr>
                <w:rFonts w:hint="eastAsia" w:ascii="宋体" w:hAnsi="宋体" w:eastAsia="宋体"/>
                <w:szCs w:val="21"/>
              </w:rPr>
            </w:pPr>
            <w:r>
              <w:rPr>
                <w:rFonts w:ascii="宋体" w:hAnsi="宋体" w:eastAsia="宋体"/>
                <w:szCs w:val="21"/>
              </w:rPr>
              <w:t>详见“</w:t>
            </w:r>
            <w:r>
              <w:rPr>
                <w:rFonts w:hint="eastAsia" w:ascii="宋体" w:hAnsi="宋体" w:eastAsia="宋体"/>
                <w:szCs w:val="21"/>
              </w:rPr>
              <w:t>第四章  评标方法和评标标准</w:t>
            </w:r>
            <w:r>
              <w:rPr>
                <w:rFonts w:ascii="宋体" w:hAnsi="宋体" w:eastAsia="宋体"/>
                <w:szCs w:val="21"/>
              </w:rPr>
              <w:t>”</w:t>
            </w:r>
            <w:r>
              <w:rPr>
                <w:rFonts w:hint="eastAsia" w:ascii="宋体" w:hAnsi="宋体" w:eastAsia="宋体"/>
                <w:szCs w:val="21"/>
              </w:rPr>
              <w:t>。</w:t>
            </w:r>
          </w:p>
        </w:tc>
      </w:tr>
      <w:tr w14:paraId="3439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2D2E78C">
            <w:pPr>
              <w:adjustRightInd w:val="0"/>
              <w:snapToGrid w:val="0"/>
              <w:spacing w:line="288" w:lineRule="auto"/>
              <w:jc w:val="center"/>
              <w:rPr>
                <w:rFonts w:hint="eastAsia" w:ascii="宋体" w:hAnsi="宋体" w:eastAsia="宋体"/>
                <w:szCs w:val="21"/>
              </w:rPr>
            </w:pPr>
            <w:r>
              <w:rPr>
                <w:rFonts w:ascii="宋体" w:hAnsi="宋体" w:eastAsia="宋体"/>
                <w:szCs w:val="21"/>
              </w:rPr>
              <w:t>（</w:t>
            </w:r>
            <w:r>
              <w:rPr>
                <w:rFonts w:hint="eastAsia" w:ascii="宋体" w:hAnsi="宋体" w:eastAsia="宋体"/>
                <w:szCs w:val="21"/>
              </w:rPr>
              <w:t>十四</w:t>
            </w:r>
            <w:r>
              <w:rPr>
                <w:rFonts w:ascii="宋体" w:hAnsi="宋体" w:eastAsia="宋体"/>
                <w:szCs w:val="21"/>
              </w:rPr>
              <w:t>）</w:t>
            </w:r>
          </w:p>
        </w:tc>
        <w:tc>
          <w:tcPr>
            <w:tcW w:w="1701" w:type="dxa"/>
            <w:vAlign w:val="center"/>
          </w:tcPr>
          <w:p w14:paraId="700988D9">
            <w:pPr>
              <w:adjustRightInd w:val="0"/>
              <w:snapToGrid w:val="0"/>
              <w:spacing w:line="288" w:lineRule="auto"/>
              <w:jc w:val="center"/>
              <w:rPr>
                <w:rFonts w:hint="eastAsia" w:ascii="宋体" w:hAnsi="宋体" w:eastAsia="宋体"/>
                <w:szCs w:val="21"/>
              </w:rPr>
            </w:pPr>
            <w:r>
              <w:rPr>
                <w:rFonts w:hint="eastAsia" w:ascii="宋体" w:hAnsi="宋体" w:eastAsia="宋体"/>
                <w:szCs w:val="21"/>
              </w:rPr>
              <w:t>评标结果公示</w:t>
            </w:r>
          </w:p>
        </w:tc>
        <w:tc>
          <w:tcPr>
            <w:tcW w:w="6663" w:type="dxa"/>
            <w:vAlign w:val="center"/>
          </w:tcPr>
          <w:p w14:paraId="38D3E65E">
            <w:pPr>
              <w:adjustRightInd w:val="0"/>
              <w:snapToGrid w:val="0"/>
              <w:spacing w:line="288" w:lineRule="auto"/>
              <w:rPr>
                <w:rFonts w:hint="eastAsia" w:ascii="宋体" w:hAnsi="宋体" w:eastAsia="宋体"/>
                <w:szCs w:val="21"/>
              </w:rPr>
            </w:pPr>
            <w:r>
              <w:rPr>
                <w:rFonts w:hint="eastAsia" w:ascii="宋体" w:hAnsi="宋体" w:eastAsia="宋体"/>
                <w:szCs w:val="21"/>
              </w:rPr>
              <w:t>评标结果公示媒体：浙江政府采购网（http://zfcg.czt.zj.gov.cn）。</w:t>
            </w:r>
          </w:p>
        </w:tc>
      </w:tr>
      <w:tr w14:paraId="4EB4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DEAD5D7">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（十五）</w:t>
            </w:r>
          </w:p>
        </w:tc>
        <w:tc>
          <w:tcPr>
            <w:tcW w:w="1701" w:type="dxa"/>
            <w:vAlign w:val="center"/>
          </w:tcPr>
          <w:p w14:paraId="551A690E">
            <w:pPr>
              <w:adjustRightInd w:val="0"/>
              <w:snapToGrid w:val="0"/>
              <w:spacing w:line="288" w:lineRule="auto"/>
              <w:jc w:val="center"/>
              <w:rPr>
                <w:rFonts w:hint="eastAsia" w:ascii="宋体" w:hAnsi="宋体" w:eastAsia="宋体"/>
                <w:szCs w:val="21"/>
              </w:rPr>
            </w:pPr>
            <w:r>
              <w:rPr>
                <w:rFonts w:hint="eastAsia" w:ascii="宋体" w:hAnsi="宋体" w:eastAsia="宋体"/>
                <w:szCs w:val="21"/>
              </w:rPr>
              <w:t>签订合同</w:t>
            </w:r>
          </w:p>
        </w:tc>
        <w:tc>
          <w:tcPr>
            <w:tcW w:w="6663" w:type="dxa"/>
            <w:vAlign w:val="center"/>
          </w:tcPr>
          <w:p w14:paraId="713D10A7">
            <w:pPr>
              <w:adjustRightInd w:val="0"/>
              <w:snapToGrid w:val="0"/>
              <w:spacing w:line="288" w:lineRule="auto"/>
              <w:rPr>
                <w:rFonts w:hint="eastAsia" w:ascii="宋体" w:hAnsi="宋体" w:eastAsia="宋体"/>
                <w:szCs w:val="21"/>
              </w:rPr>
            </w:pPr>
            <w:r>
              <w:rPr>
                <w:rFonts w:hint="eastAsia" w:ascii="宋体" w:hAnsi="宋体" w:eastAsia="宋体"/>
                <w:szCs w:val="21"/>
              </w:rPr>
              <w:t>中标通知书发出之日起30日内。</w:t>
            </w:r>
          </w:p>
        </w:tc>
      </w:tr>
    </w:tbl>
    <w:p w14:paraId="0B9B2FA4">
      <w:pPr>
        <w:adjustRightInd w:val="0"/>
        <w:snapToGrid w:val="0"/>
        <w:spacing w:line="288" w:lineRule="auto"/>
        <w:rPr>
          <w:rFonts w:hint="eastAsia" w:ascii="宋体" w:hAnsi="宋体" w:eastAsia="宋体"/>
          <w:szCs w:val="21"/>
        </w:rPr>
      </w:pPr>
    </w:p>
    <w:p w14:paraId="5B7F576E">
      <w:pPr>
        <w:adjustRightInd w:val="0"/>
        <w:snapToGrid w:val="0"/>
        <w:spacing w:line="288" w:lineRule="auto"/>
        <w:rPr>
          <w:rFonts w:hint="eastAsia" w:ascii="宋体" w:hAnsi="宋体" w:eastAsia="宋体"/>
          <w:szCs w:val="21"/>
        </w:rPr>
      </w:pPr>
      <w:r>
        <w:rPr>
          <w:rFonts w:ascii="宋体" w:hAnsi="宋体" w:eastAsia="宋体"/>
          <w:szCs w:val="21"/>
        </w:rPr>
        <w:br w:type="page"/>
      </w:r>
    </w:p>
    <w:p w14:paraId="3F4A0149">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t>一</w:t>
      </w:r>
      <w:r>
        <w:rPr>
          <w:rFonts w:hint="eastAsia" w:ascii="宋体" w:hAnsi="宋体" w:eastAsia="宋体" w:cs="Times New Roman"/>
          <w:b/>
          <w:spacing w:val="-6"/>
          <w:szCs w:val="21"/>
        </w:rPr>
        <w:t>、</w:t>
      </w:r>
      <w:r>
        <w:rPr>
          <w:rFonts w:ascii="宋体" w:hAnsi="宋体" w:eastAsia="宋体" w:cs="Times New Roman"/>
          <w:b/>
          <w:spacing w:val="-6"/>
          <w:szCs w:val="21"/>
        </w:rPr>
        <w:t>总</w:t>
      </w:r>
      <w:r>
        <w:rPr>
          <w:rFonts w:hint="eastAsia" w:ascii="宋体" w:hAnsi="宋体" w:eastAsia="宋体" w:cs="Times New Roman"/>
          <w:b/>
          <w:spacing w:val="-6"/>
          <w:szCs w:val="21"/>
        </w:rPr>
        <w:t xml:space="preserve">  </w:t>
      </w:r>
      <w:r>
        <w:rPr>
          <w:rFonts w:ascii="宋体" w:hAnsi="宋体" w:eastAsia="宋体" w:cs="Times New Roman"/>
          <w:b/>
          <w:spacing w:val="-6"/>
          <w:szCs w:val="21"/>
        </w:rPr>
        <w:t>则</w:t>
      </w:r>
    </w:p>
    <w:p w14:paraId="15201DB2">
      <w:pPr>
        <w:adjustRightInd w:val="0"/>
        <w:snapToGrid w:val="0"/>
        <w:spacing w:line="288" w:lineRule="auto"/>
        <w:ind w:firstLine="396" w:firstLineChars="200"/>
        <w:jc w:val="left"/>
        <w:rPr>
          <w:rFonts w:hint="eastAsia" w:ascii="宋体" w:hAnsi="宋体" w:eastAsia="宋体" w:cs="Times New Roman"/>
          <w:spacing w:val="-6"/>
          <w:szCs w:val="21"/>
        </w:rPr>
      </w:pPr>
      <w:bookmarkStart w:id="43" w:name="_Hlk94018326"/>
      <w:r>
        <w:rPr>
          <w:rFonts w:ascii="宋体" w:hAnsi="宋体" w:eastAsia="宋体" w:cs="Times New Roman"/>
          <w:spacing w:val="-6"/>
          <w:szCs w:val="21"/>
        </w:rPr>
        <w:t>投标人应仔细阅读招标文件的所有内容，按照招标文件的要求提交投标文件，并对所提供的全部资料的真实性承担法律责任。</w:t>
      </w:r>
    </w:p>
    <w:bookmarkEnd w:id="43"/>
    <w:p w14:paraId="0C1FF6C8">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（一</w:t>
      </w:r>
      <w:r>
        <w:rPr>
          <w:rFonts w:ascii="宋体" w:hAnsi="宋体" w:eastAsia="宋体" w:cs="Times New Roman"/>
          <w:b/>
          <w:spacing w:val="-6"/>
          <w:szCs w:val="21"/>
        </w:rPr>
        <w:t>）</w:t>
      </w:r>
      <w:r>
        <w:rPr>
          <w:rFonts w:hint="eastAsia" w:ascii="宋体" w:hAnsi="宋体" w:eastAsia="宋体" w:cs="Times New Roman"/>
          <w:b/>
          <w:spacing w:val="-6"/>
          <w:szCs w:val="21"/>
        </w:rPr>
        <w:t>适用范围</w:t>
      </w:r>
    </w:p>
    <w:p w14:paraId="414B0437">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本招标文件适用于浙江工商大学未来营养健康与共同富裕计算设备更新-共同富裕计算设备（第一批）的招标、评标、定标、验收、合同履约、付款等（法律、法规另有规定的，从其规定）。</w:t>
      </w:r>
    </w:p>
    <w:p w14:paraId="75ED763D">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（二）定义</w:t>
      </w:r>
    </w:p>
    <w:p w14:paraId="31DDEE35">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1.“采购</w:t>
      </w:r>
      <w:r>
        <w:rPr>
          <w:rFonts w:ascii="宋体" w:hAnsi="宋体" w:eastAsia="宋体" w:cs="Times New Roman"/>
          <w:spacing w:val="-6"/>
          <w:szCs w:val="21"/>
        </w:rPr>
        <w:t>人</w:t>
      </w:r>
      <w:r>
        <w:rPr>
          <w:rFonts w:hint="eastAsia" w:ascii="宋体" w:hAnsi="宋体" w:eastAsia="宋体" w:cs="Times New Roman"/>
          <w:spacing w:val="-6"/>
          <w:szCs w:val="21"/>
        </w:rPr>
        <w:t>”系指浙江工商大学；</w:t>
      </w:r>
    </w:p>
    <w:p w14:paraId="2A083E6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2.“采购代理机构”系指组织本次招标的浙江求是招标代理有限公司；</w:t>
      </w:r>
    </w:p>
    <w:p w14:paraId="194E8C0D">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pacing w:val="-6"/>
          <w:szCs w:val="21"/>
        </w:rPr>
        <w:t>“投标人”系指响应招标、参加投标竞争的法人、其他组织或者自然人；</w:t>
      </w:r>
    </w:p>
    <w:p w14:paraId="755F7CA7">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4.“书面形式”包括合同书、信件和数据电文(包括电报、电传、传真、电子数据交换和电子邮件)等可以有形地表现所载内容的形式。</w:t>
      </w:r>
    </w:p>
    <w:p w14:paraId="6B3DF9C4">
      <w:pPr>
        <w:adjustRightInd w:val="0"/>
        <w:snapToGrid w:val="0"/>
        <w:spacing w:line="288" w:lineRule="auto"/>
        <w:ind w:firstLine="396" w:firstLineChars="200"/>
        <w:jc w:val="left"/>
        <w:rPr>
          <w:rFonts w:hint="eastAsia" w:ascii="宋体" w:hAnsi="宋体" w:eastAsia="宋体"/>
          <w:szCs w:val="21"/>
        </w:rPr>
      </w:pPr>
      <w:r>
        <w:rPr>
          <w:rFonts w:hint="eastAsia" w:ascii="宋体" w:hAnsi="宋体" w:eastAsia="宋体" w:cs="Times New Roman"/>
          <w:spacing w:val="-6"/>
          <w:szCs w:val="21"/>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44" w:name="_Hlk96327615"/>
      <w:r>
        <w:rPr>
          <w:rFonts w:ascii="宋体" w:hAnsi="宋体" w:eastAsia="宋体"/>
          <w:szCs w:val="21"/>
        </w:rPr>
        <w:t>“电子签名”系指数据电文中以电子形式所含、所附用于识别签名人身份并表明签名人认可其中内容的数据；</w:t>
      </w:r>
      <w:r>
        <w:rPr>
          <w:rFonts w:hint="eastAsia" w:ascii="宋体" w:hAnsi="宋体" w:eastAsia="宋体"/>
          <w:szCs w:val="21"/>
        </w:rPr>
        <w:t>“公章”系指单位法定名称章。因特殊原因需要使用冠以法定名称的业务专用章的，投标时须提供《业务专用章使用说明函》（附件1）。</w:t>
      </w:r>
    </w:p>
    <w:p w14:paraId="43A3D202">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招标文件对投标文件签署、盖章的要求适用于电子签名。</w:t>
      </w:r>
    </w:p>
    <w:bookmarkEnd w:id="44"/>
    <w:p w14:paraId="7EBC6FAA">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6</w:t>
      </w:r>
      <w:r>
        <w:rPr>
          <w:rFonts w:hint="eastAsia" w:ascii="宋体" w:hAnsi="宋体" w:eastAsia="宋体" w:cs="Times New Roman"/>
          <w:spacing w:val="-6"/>
          <w:szCs w:val="21"/>
        </w:rPr>
        <w:t>.“▲”系指实质性要求条款，投标人应当做出实质性响应。</w:t>
      </w:r>
    </w:p>
    <w:p w14:paraId="1E14BDE7">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（三）招标方式</w:t>
      </w:r>
    </w:p>
    <w:p w14:paraId="1CC60530">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本次招标采用公开招标（线上电子招投标）方式进行。</w:t>
      </w:r>
    </w:p>
    <w:p w14:paraId="73C1B3BD">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（四）投标费用</w:t>
      </w:r>
    </w:p>
    <w:p w14:paraId="6919476E">
      <w:pPr>
        <w:adjustRightInd w:val="0"/>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1.不论投标结果如何，投标人均应自行承担所有与投标有关的全部费用；</w:t>
      </w:r>
    </w:p>
    <w:p w14:paraId="09D624DA">
      <w:pPr>
        <w:adjustRightInd w:val="0"/>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2.中标人在中标通知书发出之日起七个工作日内，向采购代理机构交纳代理服务费；</w:t>
      </w:r>
    </w:p>
    <w:p w14:paraId="77506328">
      <w:pPr>
        <w:adjustRightInd w:val="0"/>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61F8FCED">
      <w:pPr>
        <w:adjustRightInd w:val="0"/>
        <w:snapToGrid w:val="0"/>
        <w:spacing w:line="288" w:lineRule="auto"/>
        <w:ind w:firstLine="424" w:firstLineChars="202"/>
        <w:jc w:val="left"/>
        <w:rPr>
          <w:rFonts w:hint="eastAsia" w:ascii="宋体" w:hAnsi="宋体" w:eastAsia="宋体" w:cs="Times New Roman"/>
          <w:spacing w:val="-6"/>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pacing w:val="-6"/>
          <w:szCs w:val="21"/>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397"/>
        <w:gridCol w:w="3680"/>
      </w:tblGrid>
      <w:tr w14:paraId="44DD65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4397" w:type="dxa"/>
            <w:tcMar>
              <w:top w:w="0" w:type="dxa"/>
              <w:left w:w="108" w:type="dxa"/>
              <w:bottom w:w="0" w:type="dxa"/>
              <w:right w:w="108" w:type="dxa"/>
            </w:tcMar>
            <w:vAlign w:val="center"/>
          </w:tcPr>
          <w:p w14:paraId="280BF2A1">
            <w:pPr>
              <w:adjustRightInd w:val="0"/>
              <w:snapToGrid w:val="0"/>
              <w:spacing w:line="288" w:lineRule="auto"/>
              <w:jc w:val="center"/>
              <w:rPr>
                <w:rFonts w:hint="eastAsia" w:ascii="宋体" w:hAnsi="宋体" w:eastAsia="宋体" w:cs="宋体"/>
                <w:szCs w:val="21"/>
                <w:highlight w:val="yellow"/>
              </w:rPr>
            </w:pPr>
            <w:r>
              <w:rPr>
                <w:rFonts w:hint="eastAsia" w:ascii="宋体" w:hAnsi="宋体" w:eastAsia="宋体"/>
                <w:szCs w:val="21"/>
              </w:rPr>
              <w:t>中标金额（万元）</w:t>
            </w:r>
          </w:p>
        </w:tc>
        <w:tc>
          <w:tcPr>
            <w:tcW w:w="3680" w:type="dxa"/>
            <w:tcMar>
              <w:top w:w="0" w:type="dxa"/>
              <w:left w:w="108" w:type="dxa"/>
              <w:bottom w:w="0" w:type="dxa"/>
              <w:right w:w="108" w:type="dxa"/>
            </w:tcMar>
            <w:vAlign w:val="center"/>
          </w:tcPr>
          <w:p w14:paraId="6D67DEDB">
            <w:pPr>
              <w:adjustRightInd w:val="0"/>
              <w:snapToGrid w:val="0"/>
              <w:spacing w:line="288" w:lineRule="auto"/>
              <w:jc w:val="center"/>
              <w:rPr>
                <w:rFonts w:hint="eastAsia" w:ascii="宋体" w:hAnsi="宋体" w:eastAsia="宋体" w:cs="宋体"/>
                <w:szCs w:val="21"/>
                <w:highlight w:val="yellow"/>
              </w:rPr>
            </w:pPr>
            <w:r>
              <w:rPr>
                <w:rFonts w:hint="eastAsia" w:ascii="宋体" w:hAnsi="宋体" w:eastAsia="宋体"/>
                <w:szCs w:val="21"/>
              </w:rPr>
              <w:t>收费标准（费率，%）</w:t>
            </w:r>
          </w:p>
        </w:tc>
      </w:tr>
      <w:tr w14:paraId="5DEC8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4397" w:type="dxa"/>
            <w:tcMar>
              <w:top w:w="0" w:type="dxa"/>
              <w:left w:w="108" w:type="dxa"/>
              <w:bottom w:w="0" w:type="dxa"/>
              <w:right w:w="108" w:type="dxa"/>
            </w:tcMar>
            <w:vAlign w:val="center"/>
          </w:tcPr>
          <w:p w14:paraId="7C90A4E1">
            <w:pPr>
              <w:widowControl/>
              <w:jc w:val="center"/>
              <w:textAlignment w:val="center"/>
              <w:rPr>
                <w:rFonts w:hint="eastAsia" w:ascii="宋体" w:hAnsi="宋体" w:eastAsia="宋体" w:cs="宋体"/>
                <w:szCs w:val="21"/>
                <w:highlight w:val="yellow"/>
              </w:rPr>
            </w:pPr>
            <w:r>
              <w:rPr>
                <w:rFonts w:hint="eastAsia" w:ascii="宋体" w:hAnsi="宋体" w:eastAsia="宋体" w:cs="宋体"/>
                <w:color w:val="333333"/>
                <w:kern w:val="0"/>
                <w:szCs w:val="21"/>
                <w:lang w:bidi="ar"/>
              </w:rPr>
              <w:t>100以下</w:t>
            </w:r>
          </w:p>
        </w:tc>
        <w:tc>
          <w:tcPr>
            <w:tcW w:w="3680" w:type="dxa"/>
            <w:tcMar>
              <w:top w:w="0" w:type="dxa"/>
              <w:left w:w="108" w:type="dxa"/>
              <w:bottom w:w="0" w:type="dxa"/>
              <w:right w:w="108" w:type="dxa"/>
            </w:tcMar>
            <w:vAlign w:val="center"/>
          </w:tcPr>
          <w:p w14:paraId="5412524F">
            <w:pPr>
              <w:widowControl/>
              <w:jc w:val="center"/>
              <w:textAlignment w:val="center"/>
              <w:rPr>
                <w:rFonts w:hint="eastAsia" w:ascii="宋体" w:hAnsi="宋体" w:eastAsia="宋体" w:cs="宋体"/>
                <w:szCs w:val="21"/>
                <w:highlight w:val="yellow"/>
              </w:rPr>
            </w:pPr>
            <w:r>
              <w:rPr>
                <w:rFonts w:hint="eastAsia" w:ascii="宋体" w:hAnsi="宋体" w:eastAsia="宋体" w:cs="宋体"/>
                <w:color w:val="333333"/>
                <w:kern w:val="0"/>
                <w:szCs w:val="21"/>
                <w:lang w:bidi="ar"/>
              </w:rPr>
              <w:t>1.05%</w:t>
            </w:r>
            <w:r>
              <w:rPr>
                <w:rFonts w:hint="eastAsia" w:ascii="宋体" w:hAnsi="宋体" w:eastAsia="宋体" w:cs="宋体"/>
                <w:color w:val="333333"/>
                <w:kern w:val="0"/>
                <w:szCs w:val="21"/>
                <w:lang w:bidi="ar"/>
              </w:rPr>
              <w:br w:type="textWrapping"/>
            </w:r>
            <w:r>
              <w:rPr>
                <w:rFonts w:hint="eastAsia" w:ascii="宋体" w:hAnsi="宋体" w:eastAsia="宋体" w:cs="宋体"/>
                <w:color w:val="333333"/>
                <w:kern w:val="0"/>
                <w:szCs w:val="21"/>
                <w:lang w:bidi="ar"/>
              </w:rPr>
              <w:t>（不足2000元按2000元计）</w:t>
            </w:r>
          </w:p>
        </w:tc>
      </w:tr>
      <w:tr w14:paraId="61D9C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4397" w:type="dxa"/>
            <w:tcMar>
              <w:top w:w="0" w:type="dxa"/>
              <w:left w:w="108" w:type="dxa"/>
              <w:bottom w:w="0" w:type="dxa"/>
              <w:right w:w="108" w:type="dxa"/>
            </w:tcMar>
            <w:vAlign w:val="center"/>
          </w:tcPr>
          <w:p w14:paraId="557342CD">
            <w:pPr>
              <w:widowControl/>
              <w:jc w:val="center"/>
              <w:textAlignment w:val="center"/>
              <w:rPr>
                <w:rFonts w:hint="eastAsia" w:ascii="宋体" w:hAnsi="宋体" w:eastAsia="宋体" w:cs="宋体"/>
                <w:szCs w:val="21"/>
                <w:highlight w:val="yellow"/>
              </w:rPr>
            </w:pPr>
            <w:r>
              <w:rPr>
                <w:rFonts w:hint="eastAsia" w:ascii="宋体" w:hAnsi="宋体" w:eastAsia="宋体" w:cs="宋体"/>
                <w:color w:val="333333"/>
                <w:kern w:val="0"/>
                <w:szCs w:val="21"/>
                <w:lang w:bidi="ar"/>
              </w:rPr>
              <w:t>100-200</w:t>
            </w:r>
            <w:r>
              <w:rPr>
                <w:rFonts w:hint="eastAsia" w:ascii="宋体" w:hAnsi="宋体" w:eastAsia="宋体" w:cs="宋体"/>
                <w:color w:val="333333"/>
                <w:kern w:val="0"/>
                <w:szCs w:val="21"/>
                <w:lang w:bidi="ar"/>
              </w:rPr>
              <w:br w:type="textWrapping"/>
            </w:r>
            <w:r>
              <w:rPr>
                <w:rFonts w:hint="eastAsia" w:ascii="宋体" w:hAnsi="宋体" w:eastAsia="宋体" w:cs="宋体"/>
                <w:color w:val="333333"/>
                <w:kern w:val="0"/>
                <w:szCs w:val="21"/>
                <w:lang w:bidi="ar"/>
              </w:rPr>
              <w:t>（超过200万按200万计算）</w:t>
            </w:r>
          </w:p>
        </w:tc>
        <w:tc>
          <w:tcPr>
            <w:tcW w:w="3680" w:type="dxa"/>
            <w:tcMar>
              <w:top w:w="0" w:type="dxa"/>
              <w:left w:w="108" w:type="dxa"/>
              <w:bottom w:w="0" w:type="dxa"/>
              <w:right w:w="108" w:type="dxa"/>
            </w:tcMar>
            <w:vAlign w:val="center"/>
          </w:tcPr>
          <w:p w14:paraId="41D6A08B">
            <w:pPr>
              <w:widowControl/>
              <w:jc w:val="center"/>
              <w:textAlignment w:val="center"/>
              <w:rPr>
                <w:rFonts w:hint="eastAsia" w:ascii="宋体" w:hAnsi="宋体" w:eastAsia="宋体" w:cs="宋体"/>
                <w:szCs w:val="21"/>
                <w:highlight w:val="yellow"/>
              </w:rPr>
            </w:pPr>
            <w:r>
              <w:rPr>
                <w:rFonts w:hint="eastAsia" w:ascii="宋体" w:hAnsi="宋体" w:eastAsia="宋体" w:cs="宋体"/>
                <w:color w:val="333333"/>
                <w:kern w:val="0"/>
                <w:szCs w:val="21"/>
                <w:lang w:bidi="ar"/>
              </w:rPr>
              <w:t>0.77%</w:t>
            </w:r>
          </w:p>
        </w:tc>
      </w:tr>
    </w:tbl>
    <w:p w14:paraId="7AD3762A">
      <w:pPr>
        <w:adjustRightInd w:val="0"/>
        <w:snapToGrid w:val="0"/>
        <w:spacing w:line="288" w:lineRule="auto"/>
        <w:ind w:firstLine="399" w:firstLineChars="202"/>
        <w:jc w:val="left"/>
        <w:rPr>
          <w:rFonts w:hint="eastAsia"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w:t>
      </w:r>
      <w:r>
        <w:rPr>
          <w:rFonts w:hint="eastAsia" w:ascii="宋体" w:hAnsi="宋体" w:eastAsia="宋体" w:cs="Times New Roman"/>
          <w:spacing w:val="-6"/>
          <w:szCs w:val="21"/>
        </w:rPr>
        <w:t>投标保证金（元）：无。</w:t>
      </w:r>
    </w:p>
    <w:p w14:paraId="1D690FE9">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（五）投标委托</w:t>
      </w:r>
    </w:p>
    <w:p w14:paraId="629431CA">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1.投标人代表是法定代表人（单位负责人、自然人本人）的，须提供本人身份证明。</w:t>
      </w:r>
    </w:p>
    <w:p w14:paraId="6A46EB8C">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2.投标人代表不是法定代表人（单位负责人、自然人本人）的，须提供授权委托书（格式详见招标文件第六章）和授权代表社保缴纳证明（</w:t>
      </w:r>
      <w:r>
        <w:rPr>
          <w:rFonts w:hint="eastAsia" w:ascii="宋体" w:hAnsi="宋体" w:eastAsia="宋体" w:cs="Times New Roman"/>
          <w:spacing w:val="-6"/>
          <w:szCs w:val="21"/>
        </w:rPr>
        <w:t>2024年6月（含）</w:t>
      </w:r>
      <w:r>
        <w:rPr>
          <w:rFonts w:ascii="宋体" w:hAnsi="宋体" w:eastAsia="宋体" w:cs="Times New Roman"/>
          <w:spacing w:val="-6"/>
          <w:szCs w:val="21"/>
        </w:rPr>
        <w:t>以后任意一月）；</w:t>
      </w:r>
    </w:p>
    <w:p w14:paraId="3DC7398B">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3.投标人委派不在本单位缴纳社保的人员作为授权代表的，应当在投标文件中，说明具体原因、授权代表缴纳社保的单位，并附列该授权代表缴纳社保清单。</w:t>
      </w:r>
    </w:p>
    <w:p w14:paraId="1EF7619D">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（六）联合体投标</w:t>
      </w:r>
    </w:p>
    <w:p w14:paraId="13688EE4">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szCs w:val="21"/>
        </w:rPr>
        <w:t>（是）</w:t>
      </w:r>
      <w:r>
        <w:rPr>
          <w:rFonts w:hint="eastAsia" w:ascii="宋体" w:hAnsi="宋体" w:eastAsia="宋体" w:cs="宋体"/>
          <w:szCs w:val="21"/>
        </w:rPr>
        <w:t>接受联合体投标。</w:t>
      </w:r>
    </w:p>
    <w:p w14:paraId="2D3E85EA">
      <w:pPr>
        <w:spacing w:line="288" w:lineRule="auto"/>
        <w:ind w:firstLine="420" w:firstLineChars="200"/>
        <w:rPr>
          <w:rFonts w:hint="eastAsia" w:ascii="宋体" w:hAnsi="宋体" w:eastAsia="宋体" w:cs="Times New Roman"/>
        </w:rPr>
      </w:pPr>
      <w:r>
        <w:rPr>
          <w:rFonts w:hint="eastAsia" w:ascii="宋体" w:hAnsi="宋体" w:eastAsia="宋体" w:cs="Times New Roman"/>
        </w:rPr>
        <w:t>两个以上的自然人、法人或者其他组织可以组成一个联合体，以一个供应商的身份共同参加政府采购。</w:t>
      </w:r>
    </w:p>
    <w:p w14:paraId="52A4279E">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Times New Roman"/>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7E90A86B">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（七）转包与分包</w:t>
      </w:r>
    </w:p>
    <w:p w14:paraId="0E9A10C7">
      <w:pPr>
        <w:adjustRightInd w:val="0"/>
        <w:snapToGrid w:val="0"/>
        <w:spacing w:line="288" w:lineRule="auto"/>
        <w:ind w:firstLine="424" w:firstLineChars="202"/>
        <w:jc w:val="left"/>
        <w:rPr>
          <w:rFonts w:hint="eastAsia"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本项目不允许转包；</w:t>
      </w:r>
    </w:p>
    <w:p w14:paraId="4782582B">
      <w:pPr>
        <w:adjustRightInd w:val="0"/>
        <w:snapToGrid w:val="0"/>
        <w:spacing w:line="288" w:lineRule="auto"/>
        <w:ind w:firstLine="424" w:firstLineChars="202"/>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2.标项一、二、四</w:t>
      </w:r>
      <w:r>
        <w:rPr>
          <w:rFonts w:hint="eastAsia" w:ascii="宋体" w:hAnsi="宋体" w:eastAsia="宋体"/>
          <w:b/>
          <w:bCs/>
          <w:color w:val="000000" w:themeColor="text1"/>
          <w:szCs w:val="21"/>
          <w:u w:val="single"/>
          <w14:textFill>
            <w14:solidFill>
              <w14:schemeClr w14:val="tx1"/>
            </w14:solidFill>
          </w14:textFill>
        </w:rPr>
        <w:t>允许</w:t>
      </w:r>
      <w:r>
        <w:rPr>
          <w:rFonts w:hint="eastAsia" w:ascii="宋体" w:hAnsi="宋体" w:eastAsia="宋体"/>
          <w:color w:val="000000" w:themeColor="text1"/>
          <w:szCs w:val="21"/>
          <w14:textFill>
            <w14:solidFill>
              <w14:schemeClr w14:val="tx1"/>
            </w14:solidFill>
          </w14:textFill>
        </w:rPr>
        <w:t>分包，</w:t>
      </w:r>
      <w:r>
        <w:rPr>
          <w:rFonts w:ascii="宋体" w:hAnsi="宋体" w:eastAsia="宋体"/>
          <w:color w:val="000000" w:themeColor="text1"/>
          <w:szCs w:val="21"/>
          <w14:textFill>
            <w14:solidFill>
              <w14:schemeClr w14:val="tx1"/>
            </w14:solidFill>
          </w14:textFill>
        </w:rPr>
        <w:t>可以分包履行的（非主体、非关键性的工作）具体内容、金额或者比例：</w:t>
      </w:r>
      <w:r>
        <w:rPr>
          <w:rFonts w:hint="eastAsia" w:ascii="宋体" w:hAnsi="宋体" w:eastAsia="宋体"/>
          <w:color w:val="000000" w:themeColor="text1"/>
          <w:szCs w:val="21"/>
          <w14:textFill>
            <w14:solidFill>
              <w14:schemeClr w14:val="tx1"/>
            </w14:solidFill>
          </w14:textFill>
        </w:rPr>
        <w:t>设备运输</w:t>
      </w:r>
      <w:r>
        <w:rPr>
          <w:rFonts w:ascii="宋体" w:hAnsi="宋体" w:eastAsia="宋体"/>
          <w:color w:val="000000" w:themeColor="text1"/>
          <w:szCs w:val="21"/>
          <w14:textFill>
            <w14:solidFill>
              <w14:schemeClr w14:val="tx1"/>
            </w14:solidFill>
          </w14:textFill>
        </w:rPr>
        <w:t xml:space="preserve"> 。</w:t>
      </w:r>
    </w:p>
    <w:p w14:paraId="6E7D3419">
      <w:pPr>
        <w:adjustRightInd w:val="0"/>
        <w:snapToGrid w:val="0"/>
        <w:spacing w:line="288" w:lineRule="auto"/>
        <w:ind w:firstLine="424" w:firstLineChars="202"/>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3.标项三允许分包，可以分包履行的（非主体、非关键性的工作）具体内容、金额或者比例：</w:t>
      </w:r>
      <w:r>
        <w:rPr>
          <w:rFonts w:hint="eastAsia" w:ascii="宋体" w:hAnsi="宋体" w:eastAsia="宋体"/>
          <w:color w:val="000000" w:themeColor="text1"/>
          <w:szCs w:val="21"/>
          <w:u w:val="single"/>
          <w14:textFill>
            <w14:solidFill>
              <w14:schemeClr w14:val="tx1"/>
            </w14:solidFill>
          </w14:textFill>
        </w:rPr>
        <w:t>“共同富裕智慧大脑”私有数据模型训练服务平台中“（5）政策计算器”模块的开发</w:t>
      </w:r>
      <w:r>
        <w:rPr>
          <w:rFonts w:hint="eastAsia" w:ascii="宋体" w:hAnsi="宋体" w:eastAsia="宋体"/>
          <w:color w:val="000000" w:themeColor="text1"/>
          <w:szCs w:val="21"/>
          <w14:textFill>
            <w14:solidFill>
              <w14:schemeClr w14:val="tx1"/>
            </w14:solidFill>
          </w14:textFill>
        </w:rPr>
        <w:t>。</w:t>
      </w:r>
    </w:p>
    <w:p w14:paraId="5444920D">
      <w:pPr>
        <w:adjustRightInd w:val="0"/>
        <w:snapToGrid w:val="0"/>
        <w:spacing w:line="288" w:lineRule="auto"/>
        <w:ind w:firstLine="424" w:firstLineChars="202"/>
        <w:jc w:val="left"/>
        <w:rPr>
          <w:rFonts w:hint="eastAsia" w:ascii="宋体" w:hAnsi="宋体" w:eastAsia="宋体"/>
          <w:szCs w:val="21"/>
        </w:rPr>
      </w:pPr>
      <w:r>
        <w:rPr>
          <w:rFonts w:hint="eastAsia" w:ascii="宋体" w:hAnsi="宋体" w:eastAsia="宋体"/>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65A3D702">
      <w:pPr>
        <w:adjustRightInd w:val="0"/>
        <w:snapToGrid w:val="0"/>
        <w:spacing w:line="288" w:lineRule="auto"/>
        <w:ind w:firstLine="402" w:firstLineChars="202"/>
        <w:jc w:val="left"/>
        <w:rPr>
          <w:rFonts w:hint="eastAsia" w:ascii="宋体" w:hAnsi="宋体" w:eastAsia="宋体" w:cs="Times New Roman"/>
          <w:b/>
          <w:spacing w:val="-6"/>
          <w:szCs w:val="21"/>
        </w:rPr>
      </w:pPr>
      <w:r>
        <w:rPr>
          <w:rFonts w:hint="eastAsia" w:ascii="宋体" w:hAnsi="宋体" w:eastAsia="宋体" w:cs="Times New Roman"/>
          <w:b/>
          <w:spacing w:val="-6"/>
          <w:szCs w:val="21"/>
        </w:rPr>
        <w:t>（八）质疑和投诉</w:t>
      </w:r>
    </w:p>
    <w:p w14:paraId="597C6335">
      <w:pPr>
        <w:adjustRightInd w:val="0"/>
        <w:snapToGrid w:val="0"/>
        <w:spacing w:line="288" w:lineRule="auto"/>
        <w:ind w:firstLine="396" w:firstLineChars="200"/>
        <w:jc w:val="left"/>
        <w:rPr>
          <w:rFonts w:hint="eastAsia" w:ascii="宋体" w:hAnsi="宋体" w:eastAsia="宋体" w:cs="Times New Roman"/>
          <w:spacing w:val="-6"/>
          <w:szCs w:val="21"/>
        </w:rPr>
      </w:pPr>
      <w:bookmarkStart w:id="45" w:name="_Hlk92273406"/>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供应商认为采购文件、采购过程、中标或者成交结果使自己的权益受到损害的，可以在知道或者应知其权益受到损害之日起</w:t>
      </w:r>
      <w:r>
        <w:rPr>
          <w:rFonts w:ascii="宋体" w:hAnsi="宋体" w:eastAsia="宋体" w:cs="Times New Roman"/>
          <w:spacing w:val="-6"/>
          <w:szCs w:val="21"/>
        </w:rPr>
        <w:t>7个工作日内，以书面形式向采购人、采购代理机构提出质疑。</w:t>
      </w:r>
      <w:r>
        <w:rPr>
          <w:rFonts w:hint="eastAsia" w:ascii="宋体" w:hAnsi="宋体" w:eastAsia="宋体" w:cs="Times New Roman"/>
          <w:spacing w:val="-6"/>
          <w:szCs w:val="21"/>
        </w:rPr>
        <w:t>质疑供应商对采购人、采购代理机构的答复不满意，或者采购人、采购代理机构未在规定时间内作出答复的，可以在答复期满后</w:t>
      </w:r>
      <w:r>
        <w:rPr>
          <w:rFonts w:ascii="宋体" w:hAnsi="宋体" w:eastAsia="宋体" w:cs="Times New Roman"/>
          <w:spacing w:val="-6"/>
          <w:szCs w:val="21"/>
        </w:rPr>
        <w:t>15个工作日内向</w:t>
      </w:r>
      <w:r>
        <w:rPr>
          <w:rFonts w:hint="eastAsia" w:ascii="宋体" w:hAnsi="宋体" w:eastAsia="宋体" w:cs="Times New Roman"/>
          <w:spacing w:val="-6"/>
          <w:szCs w:val="21"/>
        </w:rPr>
        <w:t>本级财政部门</w:t>
      </w:r>
      <w:r>
        <w:rPr>
          <w:rFonts w:ascii="宋体" w:hAnsi="宋体" w:eastAsia="宋体" w:cs="Times New Roman"/>
          <w:spacing w:val="-6"/>
          <w:szCs w:val="21"/>
        </w:rPr>
        <w:t>提起投诉。</w:t>
      </w:r>
    </w:p>
    <w:bookmarkEnd w:id="45"/>
    <w:p w14:paraId="13F6CF49">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hint="eastAsia" w:ascii="宋体" w:hAnsi="宋体" w:eastAsia="宋体" w:cs="Times New Roman"/>
          <w:b/>
          <w:bCs/>
          <w:spacing w:val="-6"/>
          <w:szCs w:val="21"/>
        </w:rPr>
        <w:t>2.投标人提出质疑应当提交质疑函和必要的证明材料，质疑函范本、投诉书范本请到浙江政府采购网下载专区下载。质疑函应当包括下列内容：</w:t>
      </w:r>
    </w:p>
    <w:p w14:paraId="7E7ACDA0">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（1）供应商的姓名或者名称、地址、邮编、联系人及联系电话；</w:t>
      </w:r>
    </w:p>
    <w:p w14:paraId="482F7679">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（2）质疑项目的名称、编号；</w:t>
      </w:r>
    </w:p>
    <w:p w14:paraId="5FE0E9D4">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（3）具体、明确的质疑事项和与质疑事项相关的请求；</w:t>
      </w:r>
    </w:p>
    <w:p w14:paraId="52775D1B">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（4）事实依据；</w:t>
      </w:r>
    </w:p>
    <w:p w14:paraId="483BAEA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（5）必要的法律依据；</w:t>
      </w:r>
    </w:p>
    <w:p w14:paraId="34A7E7FA">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（6）提出质疑的日期。</w:t>
      </w:r>
    </w:p>
    <w:p w14:paraId="287B3B3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投标人为自然人的，应当由本人签名；投标人为法人或者其他组织的，应当由法定代表人、主要负责人，或者其授权代表签名或者盖章，并加盖公章。</w:t>
      </w:r>
    </w:p>
    <w:p w14:paraId="1A9B54D8">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3.提出质疑的供应商应当是参与本项目招标活动的投标人。</w:t>
      </w:r>
      <w:r>
        <w:rPr>
          <w:rFonts w:hint="eastAsia" w:ascii="宋体" w:hAnsi="宋体" w:eastAsia="宋体" w:cs="Times New Roman"/>
          <w:b/>
          <w:spacing w:val="-6"/>
          <w:szCs w:val="21"/>
        </w:rPr>
        <w:t>投标人在法定质疑期内应一次性提出针对同一采购程序环节的质疑。</w:t>
      </w:r>
    </w:p>
    <w:p w14:paraId="5412AE38">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4.根据《政府采购质疑和投诉办法》第三十七条的规定，投诉人在全国范围</w:t>
      </w:r>
      <w:r>
        <w:rPr>
          <w:rFonts w:ascii="宋体" w:hAnsi="宋体" w:eastAsia="宋体" w:cs="Times New Roman"/>
          <w:spacing w:val="-6"/>
          <w:szCs w:val="21"/>
        </w:rPr>
        <w:t>12</w:t>
      </w:r>
      <w:r>
        <w:rPr>
          <w:rFonts w:hint="eastAsia" w:ascii="宋体" w:hAnsi="宋体" w:eastAsia="宋体" w:cs="Times New Roman"/>
          <w:spacing w:val="-6"/>
          <w:szCs w:val="21"/>
        </w:rPr>
        <w:t>个月内三次以上投诉查无实据的，由财政部门列入不良行为记录名单。</w:t>
      </w:r>
    </w:p>
    <w:p w14:paraId="6BB28CAF">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投诉人有下列行为之一的，属于虚假、恶意投诉，由财政部门列入不良行为记录名单，禁止其</w:t>
      </w:r>
      <w:r>
        <w:rPr>
          <w:rFonts w:ascii="宋体" w:hAnsi="宋体" w:eastAsia="宋体" w:cs="Times New Roman"/>
          <w:spacing w:val="-6"/>
          <w:szCs w:val="21"/>
        </w:rPr>
        <w:t>1</w:t>
      </w:r>
      <w:r>
        <w:rPr>
          <w:rFonts w:hint="eastAsia" w:ascii="宋体" w:hAnsi="宋体" w:eastAsia="宋体" w:cs="Times New Roman"/>
          <w:spacing w:val="-6"/>
          <w:szCs w:val="21"/>
        </w:rPr>
        <w:t>至</w:t>
      </w:r>
      <w:r>
        <w:rPr>
          <w:rFonts w:ascii="宋体" w:hAnsi="宋体" w:eastAsia="宋体" w:cs="Times New Roman"/>
          <w:spacing w:val="-6"/>
          <w:szCs w:val="21"/>
        </w:rPr>
        <w:t>3</w:t>
      </w:r>
      <w:r>
        <w:rPr>
          <w:rFonts w:hint="eastAsia" w:ascii="宋体" w:hAnsi="宋体" w:eastAsia="宋体" w:cs="Times New Roman"/>
          <w:spacing w:val="-6"/>
          <w:szCs w:val="21"/>
        </w:rPr>
        <w:t>年内参加政府采购活动：</w:t>
      </w:r>
    </w:p>
    <w:p w14:paraId="3BCBF675">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（1）捏造事实；</w:t>
      </w:r>
    </w:p>
    <w:p w14:paraId="1ABABB1A">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（2）提供虚假材料；</w:t>
      </w:r>
    </w:p>
    <w:p w14:paraId="08A88AB2">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（3）以非法手段取得证明材料。证据来源的合法性存在明显疑问，投诉人无法证明其取得方式合法的，视为以非法手段取得证明材料。</w:t>
      </w:r>
    </w:p>
    <w:p w14:paraId="44DD959F">
      <w:pPr>
        <w:adjustRightInd w:val="0"/>
        <w:snapToGrid w:val="0"/>
        <w:spacing w:line="288" w:lineRule="auto"/>
        <w:outlineLvl w:val="2"/>
        <w:rPr>
          <w:rFonts w:hint="eastAsia" w:ascii="宋体" w:hAnsi="宋体" w:eastAsia="宋体" w:cs="宋体"/>
          <w:b/>
          <w:spacing w:val="-6"/>
          <w:kern w:val="0"/>
          <w:szCs w:val="21"/>
        </w:rPr>
      </w:pPr>
      <w:bookmarkStart w:id="46" w:name="_Hlk92273111"/>
      <w:bookmarkStart w:id="47" w:name="_Hlk94018492"/>
      <w:r>
        <w:rPr>
          <w:rFonts w:ascii="宋体" w:hAnsi="宋体" w:eastAsia="宋体" w:cs="宋体"/>
          <w:b/>
          <w:spacing w:val="-6"/>
          <w:kern w:val="0"/>
          <w:szCs w:val="21"/>
        </w:rPr>
        <w:t>（</w:t>
      </w:r>
      <w:r>
        <w:rPr>
          <w:rFonts w:hint="eastAsia" w:ascii="宋体" w:hAnsi="宋体" w:eastAsia="宋体" w:cs="宋体"/>
          <w:b/>
          <w:spacing w:val="-6"/>
          <w:kern w:val="0"/>
          <w:szCs w:val="21"/>
        </w:rPr>
        <w:t>九</w:t>
      </w:r>
      <w:r>
        <w:rPr>
          <w:rFonts w:ascii="宋体" w:hAnsi="宋体" w:eastAsia="宋体" w:cs="宋体"/>
          <w:b/>
          <w:spacing w:val="-6"/>
          <w:kern w:val="0"/>
          <w:szCs w:val="21"/>
        </w:rPr>
        <w:t>）</w:t>
      </w:r>
      <w:r>
        <w:rPr>
          <w:rFonts w:hint="eastAsia" w:ascii="宋体" w:hAnsi="宋体" w:eastAsia="宋体" w:cs="宋体"/>
          <w:b/>
          <w:spacing w:val="-6"/>
          <w:kern w:val="0"/>
          <w:szCs w:val="21"/>
        </w:rPr>
        <w:t>采购项目需要落实的政府采购政策</w:t>
      </w:r>
    </w:p>
    <w:p w14:paraId="03C1CF21">
      <w:pPr>
        <w:adjustRightInd w:val="0"/>
        <w:snapToGrid w:val="0"/>
        <w:spacing w:line="288" w:lineRule="auto"/>
        <w:ind w:firstLine="398" w:firstLineChars="200"/>
        <w:jc w:val="left"/>
        <w:rPr>
          <w:rFonts w:hint="eastAsia" w:ascii="宋体" w:hAnsi="宋体" w:eastAsia="宋体" w:cs="Times New Roman"/>
          <w:spacing w:val="-6"/>
          <w:szCs w:val="21"/>
        </w:rPr>
      </w:pPr>
      <w:r>
        <w:rPr>
          <w:rFonts w:hint="eastAsia" w:ascii="宋体" w:hAnsi="宋体" w:eastAsia="宋体" w:cs="Times New Roman"/>
          <w:b/>
          <w:bCs/>
          <w:spacing w:val="-6"/>
          <w:szCs w:val="21"/>
        </w:rPr>
        <w:t>1</w:t>
      </w:r>
      <w:r>
        <w:rPr>
          <w:rFonts w:ascii="宋体" w:hAnsi="宋体" w:eastAsia="宋体" w:cs="Times New Roman"/>
          <w:b/>
          <w:bCs/>
          <w:spacing w:val="-6"/>
          <w:szCs w:val="21"/>
        </w:rPr>
        <w:t>.</w:t>
      </w:r>
      <w:r>
        <w:rPr>
          <w:rFonts w:ascii="宋体" w:hAnsi="宋体" w:eastAsia="宋体" w:cs="Times New Roman"/>
          <w:spacing w:val="-6"/>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eastAsia="宋体" w:cs="Times New Roman"/>
          <w:spacing w:val="-6"/>
          <w:szCs w:val="21"/>
        </w:rPr>
        <w:t>采购代理机构</w:t>
      </w:r>
      <w:r>
        <w:rPr>
          <w:rFonts w:ascii="宋体" w:hAnsi="宋体" w:eastAsia="宋体" w:cs="Times New Roman"/>
          <w:spacing w:val="-6"/>
          <w:szCs w:val="21"/>
        </w:rPr>
        <w:t>不会对其加以限制，仍将按照公平竞争原则实施采购）。</w:t>
      </w:r>
    </w:p>
    <w:p w14:paraId="3D33DAB6">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ascii="宋体" w:hAnsi="宋体" w:eastAsia="宋体" w:cs="Times New Roman"/>
          <w:b/>
          <w:bCs/>
          <w:spacing w:val="-6"/>
          <w:szCs w:val="21"/>
        </w:rPr>
        <w:t>2.支持绿色发展</w:t>
      </w:r>
    </w:p>
    <w:p w14:paraId="095A5B07">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6A62C606">
      <w:pPr>
        <w:adjustRightInd w:val="0"/>
        <w:snapToGrid w:val="0"/>
        <w:spacing w:line="288" w:lineRule="auto"/>
        <w:ind w:firstLine="396" w:firstLineChars="200"/>
        <w:jc w:val="left"/>
        <w:rPr>
          <w:rFonts w:hint="eastAsia" w:ascii="宋体" w:hAnsi="宋体" w:eastAsia="宋体" w:cs="Times New Roman"/>
          <w:spacing w:val="-6"/>
          <w:szCs w:val="21"/>
          <w:u w:val="single"/>
        </w:rPr>
      </w:pPr>
      <w:r>
        <w:rPr>
          <w:rFonts w:ascii="宋体" w:hAnsi="宋体" w:eastAsia="宋体" w:cs="Times New Roman"/>
          <w:spacing w:val="-6"/>
          <w:szCs w:val="21"/>
          <w:u w:val="single"/>
        </w:rPr>
        <w:t>▲采购人拟采购的产品属于政府强制采购的节能产品品目清单范围的，投标人未按招标文件要求提供国家确定的认证机构出具的、有效的节能产品认证证书的，投标无效。</w:t>
      </w:r>
    </w:p>
    <w:p w14:paraId="6A53D401">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修缮、装修类项目采购建材的，采购人应将绿色建筑和绿色建材性能、指标等作为实质性条件纳入招标文件和合同。</w:t>
      </w:r>
    </w:p>
    <w:p w14:paraId="2CF925EC">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6D30965D">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ascii="宋体" w:hAnsi="宋体" w:eastAsia="宋体" w:cs="Times New Roman"/>
          <w:b/>
          <w:bCs/>
          <w:spacing w:val="-6"/>
          <w:szCs w:val="21"/>
        </w:rPr>
        <w:t>3.</w:t>
      </w:r>
      <w:r>
        <w:rPr>
          <w:rFonts w:hint="eastAsia" w:ascii="宋体" w:hAnsi="宋体" w:eastAsia="宋体" w:cs="Times New Roman"/>
          <w:b/>
          <w:bCs/>
          <w:spacing w:val="-6"/>
          <w:szCs w:val="21"/>
        </w:rPr>
        <w:t>支持科技创新</w:t>
      </w:r>
    </w:p>
    <w:p w14:paraId="7C05607F">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优先推荐专精特新中小企业、创新产品参加政府采购活动。对省级以上主管部门认定的首台套产品，自纳入《省推广应用指导目录》起三年内参加政府采购活动，视同已具备相应销售业绩，业绩分为满分。</w:t>
      </w:r>
      <w:bookmarkStart w:id="48" w:name="_Hlk106875293"/>
    </w:p>
    <w:bookmarkEnd w:id="48"/>
    <w:p w14:paraId="7553EBEF">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ascii="宋体" w:hAnsi="宋体" w:eastAsia="宋体" w:cs="Times New Roman"/>
          <w:b/>
          <w:bCs/>
          <w:spacing w:val="-6"/>
          <w:szCs w:val="21"/>
        </w:rPr>
        <w:t>4.支持中小企业发展</w:t>
      </w:r>
    </w:p>
    <w:p w14:paraId="2F8F1D25">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05DEEE2">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符合中小企业划分标准的个体工商户，在政府采购活动中视同中小企业。</w:t>
      </w:r>
    </w:p>
    <w:p w14:paraId="4EA210CB">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在政府采购活动中，投标人提供的货物、工程或者服务符合下列情形的，享受中小企业扶持政策：</w:t>
      </w:r>
    </w:p>
    <w:p w14:paraId="3A6B1A88">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39E5A4A1">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在货物采购项目中，投标人提供的货物既有中小企业制造货物，也有大型企业制造货物的，不享受中小企业扶持政策。</w:t>
      </w:r>
    </w:p>
    <w:p w14:paraId="39E98A6F">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以联合体形式参加政府采购活动，联合体各方均为中小企业的，联合体视同中小企业。其中，联合体各方均为小微企业的，联合体视同小微企业。</w:t>
      </w:r>
    </w:p>
    <w:p w14:paraId="4F7084E9">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对于未预留份额专门面向中小企业的政府采购</w:t>
      </w:r>
      <w:r>
        <w:rPr>
          <w:rFonts w:ascii="宋体" w:hAnsi="宋体" w:eastAsia="宋体" w:cs="Times New Roman"/>
          <w:color w:val="000000" w:themeColor="text1"/>
          <w:spacing w:val="-6"/>
          <w:szCs w:val="21"/>
          <w14:textFill>
            <w14:solidFill>
              <w14:schemeClr w14:val="tx1"/>
            </w14:solidFill>
          </w14:textFill>
        </w:rPr>
        <w:t>货物或服务项目，以及预留份额政府采购货物或服务项目中的非预留部分标项，对小型和微型企业的投标报价给予</w:t>
      </w:r>
      <w:r>
        <w:rPr>
          <w:rFonts w:hint="eastAsia" w:ascii="宋体" w:hAnsi="宋体" w:eastAsia="宋体" w:cs="Times New Roman"/>
          <w:color w:val="000000" w:themeColor="text1"/>
          <w:spacing w:val="-6"/>
          <w:szCs w:val="21"/>
          <w14:textFill>
            <w14:solidFill>
              <w14:schemeClr w14:val="tx1"/>
            </w14:solidFill>
          </w14:textFill>
        </w:rPr>
        <w:t>1</w:t>
      </w:r>
      <w:r>
        <w:rPr>
          <w:rFonts w:ascii="宋体" w:hAnsi="宋体" w:eastAsia="宋体" w:cs="Times New Roman"/>
          <w:color w:val="000000" w:themeColor="text1"/>
          <w:spacing w:val="-6"/>
          <w:szCs w:val="21"/>
          <w14:textFill>
            <w14:solidFill>
              <w14:schemeClr w14:val="tx1"/>
            </w14:solidFill>
          </w14:textFill>
        </w:rPr>
        <w:t>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宋体" w:hAnsi="宋体" w:eastAsia="宋体" w:cs="Times New Roman"/>
          <w:color w:val="000000" w:themeColor="text1"/>
          <w:spacing w:val="-6"/>
          <w:szCs w:val="21"/>
          <w14:textFill>
            <w14:solidFill>
              <w14:schemeClr w14:val="tx1"/>
            </w14:solidFill>
          </w14:textFill>
        </w:rPr>
        <w:t>4</w:t>
      </w:r>
      <w:r>
        <w:rPr>
          <w:rFonts w:ascii="宋体" w:hAnsi="宋体" w:eastAsia="宋体" w:cs="Times New Roman"/>
          <w:color w:val="000000" w:themeColor="text1"/>
          <w:spacing w:val="-6"/>
          <w:szCs w:val="21"/>
          <w14:textFill>
            <w14:solidFill>
              <w14:schemeClr w14:val="tx1"/>
            </w14:solidFill>
          </w14:textFill>
        </w:rPr>
        <w:t>%的扣除，用扣除后的价格参加评审。组成联</w:t>
      </w:r>
      <w:r>
        <w:rPr>
          <w:rFonts w:ascii="宋体" w:hAnsi="宋体" w:eastAsia="宋体" w:cs="Times New Roman"/>
          <w:spacing w:val="-6"/>
          <w:szCs w:val="21"/>
        </w:rPr>
        <w:t>合体或者接受分包的小微企业与联合体内其他企业、分包企业之间存在直接控</w:t>
      </w:r>
      <w:r>
        <w:rPr>
          <w:rFonts w:hint="eastAsia" w:ascii="宋体" w:hAnsi="宋体" w:eastAsia="宋体" w:cs="Times New Roman"/>
          <w:spacing w:val="-6"/>
          <w:szCs w:val="21"/>
        </w:rPr>
        <w:t>股、管理关系的，不享受价格扣除优惠政策。</w:t>
      </w:r>
    </w:p>
    <w:p w14:paraId="2AA7CE84">
      <w:pPr>
        <w:adjustRightInd w:val="0"/>
        <w:snapToGrid w:val="0"/>
        <w:spacing w:line="288" w:lineRule="auto"/>
        <w:ind w:firstLine="396" w:firstLineChars="200"/>
        <w:jc w:val="left"/>
        <w:rPr>
          <w:rFonts w:hint="eastAsia" w:ascii="宋体" w:hAnsi="宋体" w:eastAsia="宋体" w:cs="Times New Roman"/>
          <w:spacing w:val="-6"/>
          <w:szCs w:val="21"/>
          <w:u w:val="single"/>
        </w:rPr>
      </w:pPr>
      <w:r>
        <w:rPr>
          <w:rFonts w:ascii="宋体" w:hAnsi="宋体" w:eastAsia="宋体" w:cs="Times New Roman"/>
          <w:spacing w:val="-6"/>
          <w:szCs w:val="21"/>
          <w:u w:val="single"/>
        </w:rPr>
        <w:t>符合《关于促进残疾人就业政府采购政策的通知》（财库〔2017〕141号）规定的条件并提供《残疾人福利性单位声明函》的残疾人福利性单位视同小型、微型企业；</w:t>
      </w:r>
    </w:p>
    <w:p w14:paraId="02AA58B3">
      <w:pPr>
        <w:adjustRightInd w:val="0"/>
        <w:snapToGrid w:val="0"/>
        <w:spacing w:line="288" w:lineRule="auto"/>
        <w:ind w:firstLine="396" w:firstLineChars="200"/>
        <w:jc w:val="left"/>
        <w:rPr>
          <w:rFonts w:hint="eastAsia" w:ascii="宋体" w:hAnsi="宋体" w:eastAsia="宋体" w:cs="Times New Roman"/>
          <w:spacing w:val="-6"/>
          <w:szCs w:val="21"/>
          <w:u w:val="single"/>
        </w:rPr>
      </w:pPr>
      <w:r>
        <w:rPr>
          <w:rFonts w:ascii="宋体" w:hAnsi="宋体" w:eastAsia="宋体" w:cs="Times New Roman"/>
          <w:spacing w:val="-6"/>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5C198E16">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B6CD1A3">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中小企业享受扶持政策获得政府采购合同的，小微企业不得将合同分包给大中型企业，中型企业不得将合同分包给大型企业。</w:t>
      </w:r>
      <w:bookmarkEnd w:id="46"/>
    </w:p>
    <w:p w14:paraId="78B33D6B">
      <w:pPr>
        <w:adjustRightInd w:val="0"/>
        <w:snapToGrid w:val="0"/>
        <w:spacing w:line="288" w:lineRule="auto"/>
        <w:ind w:firstLine="396" w:firstLineChars="200"/>
        <w:jc w:val="left"/>
        <w:rPr>
          <w:rFonts w:hint="eastAsia" w:ascii="宋体" w:hAnsi="宋体" w:eastAsia="宋体" w:cs="Times New Roman"/>
          <w:b/>
          <w:spacing w:val="-6"/>
          <w:szCs w:val="21"/>
        </w:rPr>
      </w:pPr>
      <w:r>
        <w:rPr>
          <w:rFonts w:hint="eastAsia" w:ascii="宋体" w:hAnsi="宋体" w:eastAsia="宋体" w:cs="Times New Roman"/>
          <w:spacing w:val="-6"/>
          <w:szCs w:val="21"/>
        </w:rPr>
        <w:t>除财库</w:t>
      </w:r>
      <w:r>
        <w:rPr>
          <w:rFonts w:ascii="宋体" w:hAnsi="宋体" w:eastAsia="宋体" w:cs="Times New Roman"/>
          <w:spacing w:val="-6"/>
          <w:szCs w:val="21"/>
        </w:rPr>
        <w:t>《政府采购促进中小企业发展管理办法》</w:t>
      </w:r>
      <w:r>
        <w:rPr>
          <w:rFonts w:hint="eastAsia" w:ascii="宋体" w:hAnsi="宋体" w:eastAsia="宋体" w:cs="Times New Roman"/>
          <w:spacing w:val="-6"/>
          <w:szCs w:val="21"/>
        </w:rPr>
        <w:t>（财库〔</w:t>
      </w:r>
      <w:r>
        <w:rPr>
          <w:rFonts w:ascii="宋体" w:hAnsi="宋体" w:eastAsia="宋体" w:cs="Times New Roman"/>
          <w:spacing w:val="-6"/>
          <w:szCs w:val="21"/>
        </w:rPr>
        <w:t>2020〕46号</w:t>
      </w:r>
      <w:r>
        <w:rPr>
          <w:rFonts w:hint="eastAsia" w:ascii="宋体" w:hAnsi="宋体" w:eastAsia="宋体" w:cs="Times New Roman"/>
          <w:spacing w:val="-6"/>
          <w:szCs w:val="21"/>
        </w:rPr>
        <w:t>）、</w:t>
      </w:r>
      <w:r>
        <w:rPr>
          <w:rFonts w:ascii="宋体" w:hAnsi="宋体" w:eastAsia="宋体" w:cs="Times New Roman"/>
          <w:spacing w:val="-6"/>
          <w:szCs w:val="21"/>
        </w:rPr>
        <w:t>《关于促进残疾人就业政府采购政策的通知》（财库〔2017〕141号）</w:t>
      </w:r>
      <w:r>
        <w:rPr>
          <w:rFonts w:hint="eastAsia" w:ascii="宋体" w:hAnsi="宋体" w:eastAsia="宋体" w:cs="Times New Roman"/>
          <w:spacing w:val="-6"/>
          <w:szCs w:val="21"/>
        </w:rPr>
        <w:t>、</w:t>
      </w:r>
      <w:r>
        <w:rPr>
          <w:rFonts w:ascii="宋体" w:hAnsi="宋体" w:eastAsia="宋体" w:cs="Times New Roman"/>
          <w:spacing w:val="-6"/>
          <w:szCs w:val="21"/>
        </w:rPr>
        <w:t>《关于政府采购支持监狱企业发展有关问题的通知》（财库[2014]68号）规定企业类型以外的供应商不享受中小企业扶持政策</w:t>
      </w:r>
      <w:r>
        <w:rPr>
          <w:rFonts w:hint="eastAsia" w:ascii="宋体" w:hAnsi="宋体" w:eastAsia="宋体" w:cs="Times New Roman"/>
          <w:spacing w:val="-6"/>
          <w:szCs w:val="21"/>
        </w:rPr>
        <w:t>。</w:t>
      </w:r>
      <w:bookmarkEnd w:id="47"/>
      <w:r>
        <w:rPr>
          <w:rFonts w:ascii="宋体" w:hAnsi="宋体" w:eastAsia="宋体" w:cs="Times New Roman"/>
          <w:b/>
          <w:spacing w:val="-6"/>
          <w:szCs w:val="21"/>
        </w:rPr>
        <w:br w:type="page"/>
      </w:r>
    </w:p>
    <w:p w14:paraId="0F481E98">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t>二</w:t>
      </w:r>
      <w:r>
        <w:rPr>
          <w:rFonts w:hint="eastAsia" w:ascii="宋体" w:hAnsi="宋体" w:eastAsia="宋体" w:cs="Times New Roman"/>
          <w:b/>
          <w:spacing w:val="-6"/>
          <w:szCs w:val="21"/>
        </w:rPr>
        <w:t>、招标文件</w:t>
      </w:r>
    </w:p>
    <w:p w14:paraId="5CCA7646">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（一）招标文件的构成</w:t>
      </w:r>
    </w:p>
    <w:p w14:paraId="5E283917">
      <w:pPr>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本招标文件由以下部分组成：</w:t>
      </w:r>
    </w:p>
    <w:p w14:paraId="48230324">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1.投标邀请</w:t>
      </w:r>
    </w:p>
    <w:p w14:paraId="023C697A">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2.采购需求</w:t>
      </w:r>
    </w:p>
    <w:p w14:paraId="62A72849">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3.投标人须知</w:t>
      </w:r>
    </w:p>
    <w:p w14:paraId="41C176DA">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4.评标方法和评标标准</w:t>
      </w:r>
    </w:p>
    <w:p w14:paraId="35F95D1E">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5.拟签订的合同文本</w:t>
      </w:r>
    </w:p>
    <w:p w14:paraId="3A760C29">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6.投标文件格式</w:t>
      </w:r>
    </w:p>
    <w:p w14:paraId="5DBD4694">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7.本项目招标文件的澄清、答复、修改、补充的内容</w:t>
      </w:r>
    </w:p>
    <w:p w14:paraId="414972C2">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（二）招标文件的澄清与修改</w:t>
      </w:r>
    </w:p>
    <w:p w14:paraId="39C451E5">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.采购人或者采购代理机构可以对已发出的招标文件进行必要的澄清或者修改</w:t>
      </w:r>
      <w:r>
        <w:rPr>
          <w:rFonts w:hint="eastAsia" w:ascii="宋体" w:hAnsi="宋体" w:eastAsia="宋体" w:cs="Times New Roman"/>
          <w:spacing w:val="-6"/>
          <w:szCs w:val="21"/>
        </w:rPr>
        <w:t>，</w:t>
      </w:r>
      <w:r>
        <w:rPr>
          <w:rFonts w:ascii="宋体" w:hAnsi="宋体" w:eastAsia="宋体" w:cs="Times New Roman"/>
          <w:spacing w:val="-6"/>
          <w:szCs w:val="21"/>
        </w:rPr>
        <w:t>澄清或者修改</w:t>
      </w:r>
      <w:r>
        <w:rPr>
          <w:rFonts w:hint="eastAsia" w:ascii="宋体" w:hAnsi="宋体" w:eastAsia="宋体" w:cs="Times New Roman"/>
          <w:spacing w:val="-6"/>
          <w:szCs w:val="21"/>
        </w:rPr>
        <w:t>会</w:t>
      </w:r>
      <w:r>
        <w:rPr>
          <w:rFonts w:ascii="宋体" w:hAnsi="宋体" w:eastAsia="宋体" w:cs="Times New Roman"/>
          <w:spacing w:val="-6"/>
          <w:szCs w:val="21"/>
        </w:rPr>
        <w:t>在原公告发布媒体上发布澄清公告</w:t>
      </w:r>
      <w:r>
        <w:rPr>
          <w:rFonts w:hint="eastAsia" w:ascii="宋体" w:hAnsi="宋体" w:eastAsia="宋体" w:cs="Times New Roman"/>
          <w:spacing w:val="-6"/>
          <w:szCs w:val="21"/>
        </w:rPr>
        <w:t>，</w:t>
      </w:r>
      <w:r>
        <w:rPr>
          <w:rFonts w:ascii="宋体" w:hAnsi="宋体" w:eastAsia="宋体" w:cs="Times New Roman"/>
          <w:spacing w:val="-6"/>
          <w:szCs w:val="21"/>
        </w:rPr>
        <w:t>澄清或者修改的内容为招标文件的组成部分。</w:t>
      </w:r>
    </w:p>
    <w:p w14:paraId="3B869ABA">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35EAB7EC">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2.招标文件的修改将以书面形式通知所有获取招标文件的投标人，并对其具有约束力。投标人在收到上述通知后，应立即向采购</w:t>
      </w:r>
      <w:r>
        <w:rPr>
          <w:rFonts w:ascii="宋体" w:hAnsi="宋体" w:eastAsia="宋体" w:cs="Times New Roman"/>
          <w:spacing w:val="-6"/>
          <w:szCs w:val="21"/>
        </w:rPr>
        <w:t>代理机构</w:t>
      </w:r>
      <w:r>
        <w:rPr>
          <w:rFonts w:hint="eastAsia" w:ascii="宋体" w:hAnsi="宋体" w:eastAsia="宋体" w:cs="Times New Roman"/>
          <w:spacing w:val="-6"/>
          <w:szCs w:val="21"/>
        </w:rPr>
        <w:t>回函确认。若无书面回函确认，视同投标人已收到招标文件修改的通知，并受其约束。</w:t>
      </w:r>
    </w:p>
    <w:p w14:paraId="089EB739">
      <w:pPr>
        <w:adjustRightInd w:val="0"/>
        <w:snapToGrid w:val="0"/>
        <w:spacing w:line="288" w:lineRule="auto"/>
        <w:jc w:val="center"/>
        <w:outlineLvl w:val="1"/>
        <w:rPr>
          <w:rFonts w:hint="eastAsia" w:ascii="宋体" w:hAnsi="宋体" w:eastAsia="宋体" w:cs="Times New Roman"/>
          <w:spacing w:val="-6"/>
          <w:szCs w:val="21"/>
        </w:rPr>
      </w:pPr>
      <w:r>
        <w:rPr>
          <w:rFonts w:ascii="宋体" w:hAnsi="宋体" w:eastAsia="宋体" w:cs="Times New Roman"/>
          <w:spacing w:val="-6"/>
          <w:szCs w:val="21"/>
        </w:rPr>
        <w:br w:type="page"/>
      </w:r>
      <w:r>
        <w:rPr>
          <w:rFonts w:ascii="宋体" w:hAnsi="宋体" w:eastAsia="宋体" w:cs="Times New Roman"/>
          <w:b/>
          <w:spacing w:val="-6"/>
          <w:szCs w:val="21"/>
        </w:rPr>
        <w:t>三</w:t>
      </w:r>
      <w:r>
        <w:rPr>
          <w:rFonts w:hint="eastAsia" w:ascii="宋体" w:hAnsi="宋体" w:eastAsia="宋体" w:cs="Times New Roman"/>
          <w:b/>
          <w:spacing w:val="-6"/>
          <w:szCs w:val="21"/>
        </w:rPr>
        <w:t>、</w:t>
      </w:r>
      <w:r>
        <w:rPr>
          <w:rFonts w:ascii="宋体" w:hAnsi="宋体" w:eastAsia="宋体" w:cs="Times New Roman"/>
          <w:b/>
          <w:spacing w:val="-6"/>
          <w:szCs w:val="21"/>
        </w:rPr>
        <w:t>投标文件编制要求</w:t>
      </w:r>
    </w:p>
    <w:p w14:paraId="4BE7BB0E">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（一）投标文件的组成</w:t>
      </w:r>
    </w:p>
    <w:p w14:paraId="13FFEE84">
      <w:pPr>
        <w:adjustRightInd w:val="0"/>
        <w:snapToGrid w:val="0"/>
        <w:spacing w:line="288" w:lineRule="auto"/>
        <w:ind w:firstLine="396" w:firstLineChars="200"/>
        <w:jc w:val="left"/>
        <w:rPr>
          <w:rFonts w:hint="eastAsia" w:ascii="宋体" w:hAnsi="宋体" w:eastAsia="宋体" w:cs="Times New Roman"/>
          <w:spacing w:val="-6"/>
          <w:szCs w:val="21"/>
        </w:rPr>
      </w:pPr>
      <w:bookmarkStart w:id="49" w:name="_Hlk94018532"/>
      <w:r>
        <w:rPr>
          <w:rFonts w:hint="eastAsia" w:ascii="宋体" w:hAnsi="宋体" w:eastAsia="宋体" w:cs="Times New Roman"/>
          <w:spacing w:val="-6"/>
          <w:szCs w:val="21"/>
        </w:rPr>
        <w:t>投标文件（电子加密投标文件）由</w:t>
      </w:r>
      <w:r>
        <w:rPr>
          <w:rFonts w:hint="eastAsia" w:ascii="宋体" w:hAnsi="宋体" w:eastAsia="宋体" w:cs="Times New Roman"/>
          <w:b/>
          <w:spacing w:val="-6"/>
          <w:szCs w:val="21"/>
        </w:rPr>
        <w:t>资格文件、商务和技术文件、报价文件三部分</w:t>
      </w:r>
      <w:r>
        <w:rPr>
          <w:rFonts w:hint="eastAsia" w:ascii="宋体" w:hAnsi="宋体" w:eastAsia="宋体" w:cs="Times New Roman"/>
          <w:bCs/>
          <w:spacing w:val="-6"/>
          <w:szCs w:val="21"/>
        </w:rPr>
        <w:t>组成（格式详见招标文件第六章）。投标人应将投标文件各部分</w:t>
      </w:r>
      <w:r>
        <w:rPr>
          <w:rFonts w:hint="eastAsia" w:ascii="宋体" w:hAnsi="宋体" w:eastAsia="宋体" w:cs="Times New Roman"/>
          <w:b/>
          <w:spacing w:val="-6"/>
          <w:szCs w:val="21"/>
        </w:rPr>
        <w:t>分别上传</w:t>
      </w:r>
      <w:r>
        <w:rPr>
          <w:rFonts w:hint="eastAsia" w:ascii="宋体" w:hAnsi="宋体" w:eastAsia="宋体" w:cs="Times New Roman"/>
          <w:bCs/>
          <w:spacing w:val="-6"/>
          <w:szCs w:val="21"/>
        </w:rPr>
        <w:t>至政府采购云平台指定位置。</w:t>
      </w:r>
    </w:p>
    <w:p w14:paraId="5C6DFD0B">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投标文件组成：详见“第六章</w:t>
      </w:r>
      <w:r>
        <w:rPr>
          <w:rFonts w:ascii="宋体" w:hAnsi="宋体" w:eastAsia="宋体" w:cs="Times New Roman"/>
          <w:spacing w:val="-6"/>
          <w:szCs w:val="21"/>
        </w:rPr>
        <w:t xml:space="preserve">  投标文件格式</w:t>
      </w:r>
      <w:r>
        <w:rPr>
          <w:rFonts w:hint="eastAsia" w:ascii="宋体" w:hAnsi="宋体" w:eastAsia="宋体" w:cs="Times New Roman"/>
          <w:spacing w:val="-6"/>
          <w:szCs w:val="21"/>
        </w:rPr>
        <w:t>”目录</w:t>
      </w:r>
    </w:p>
    <w:p w14:paraId="02916697">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如供应商提供的产品技术支持材料与采购需求偏离表响应不一致，以产品技术支持材料为准。</w:t>
      </w:r>
    </w:p>
    <w:bookmarkEnd w:id="49"/>
    <w:p w14:paraId="1F196F4C">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（二）投标文件的签署和份数</w:t>
      </w:r>
    </w:p>
    <w:p w14:paraId="2DCF722E">
      <w:pPr>
        <w:adjustRightInd w:val="0"/>
        <w:snapToGrid w:val="0"/>
        <w:spacing w:line="288" w:lineRule="auto"/>
        <w:ind w:firstLine="396" w:firstLineChars="200"/>
        <w:jc w:val="left"/>
        <w:rPr>
          <w:rFonts w:hint="eastAsia" w:ascii="宋体" w:hAnsi="宋体" w:eastAsia="宋体"/>
          <w:b/>
          <w:bCs/>
          <w:spacing w:val="-6"/>
          <w:szCs w:val="21"/>
        </w:rPr>
      </w:pPr>
      <w:r>
        <w:rPr>
          <w:rFonts w:hint="eastAsia" w:ascii="宋体" w:hAnsi="宋体" w:eastAsia="宋体"/>
          <w:spacing w:val="-6"/>
          <w:szCs w:val="21"/>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spacing w:val="-6"/>
          <w:szCs w:val="21"/>
        </w:rPr>
        <w:t>其中资格文件、商务技术文件中不得出现投标报价，如因投标人原因提前泄露投标报价，是投标人的责任。</w:t>
      </w:r>
    </w:p>
    <w:p w14:paraId="0A5C28B4">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2.投标文件须由投标人在规定位置</w:t>
      </w:r>
      <w:bookmarkStart w:id="50" w:name="_Hlk96329183"/>
      <w:r>
        <w:rPr>
          <w:rFonts w:hint="eastAsia" w:ascii="宋体" w:hAnsi="宋体" w:eastAsia="宋体"/>
          <w:spacing w:val="-6"/>
          <w:szCs w:val="21"/>
        </w:rPr>
        <w:t>加盖公章</w:t>
      </w:r>
      <w:bookmarkEnd w:id="50"/>
      <w:r>
        <w:rPr>
          <w:rFonts w:hint="eastAsia" w:ascii="宋体" w:hAnsi="宋体" w:eastAsia="宋体"/>
          <w:spacing w:val="-6"/>
          <w:szCs w:val="21"/>
        </w:rPr>
        <w:t>，投标人应写全称。</w:t>
      </w:r>
    </w:p>
    <w:p w14:paraId="0C923AA4">
      <w:pPr>
        <w:adjustRightInd w:val="0"/>
        <w:snapToGrid w:val="0"/>
        <w:spacing w:line="288" w:lineRule="auto"/>
        <w:ind w:firstLine="396" w:firstLineChars="200"/>
        <w:jc w:val="left"/>
        <w:rPr>
          <w:rFonts w:hint="eastAsia" w:ascii="宋体" w:hAnsi="宋体" w:eastAsia="宋体"/>
          <w:spacing w:val="-6"/>
          <w:szCs w:val="21"/>
        </w:rPr>
      </w:pPr>
      <w:r>
        <w:rPr>
          <w:rFonts w:ascii="宋体" w:hAnsi="宋体" w:eastAsia="宋体"/>
          <w:spacing w:val="-6"/>
          <w:szCs w:val="21"/>
        </w:rPr>
        <w:t>3.投标文件不得涂改，若有修改错漏处，须由投标人加盖公章，或者由投标人代表签名。投标文件因字迹潦草或表达不清所引起的后果由投标人负责。</w:t>
      </w:r>
    </w:p>
    <w:p w14:paraId="60E0505C">
      <w:pPr>
        <w:adjustRightInd w:val="0"/>
        <w:snapToGrid w:val="0"/>
        <w:spacing w:line="288" w:lineRule="auto"/>
        <w:ind w:firstLine="398" w:firstLineChars="200"/>
        <w:jc w:val="left"/>
        <w:rPr>
          <w:rFonts w:hint="eastAsia" w:ascii="宋体" w:hAnsi="宋体" w:eastAsia="宋体"/>
          <w:b/>
          <w:bCs/>
          <w:spacing w:val="-6"/>
          <w:szCs w:val="21"/>
        </w:rPr>
      </w:pPr>
      <w:r>
        <w:rPr>
          <w:rFonts w:hint="eastAsia" w:ascii="宋体" w:hAnsi="宋体" w:eastAsia="宋体"/>
          <w:b/>
          <w:bCs/>
          <w:spacing w:val="-6"/>
          <w:szCs w:val="21"/>
        </w:rPr>
        <w:t>4.投标文件份数：</w:t>
      </w:r>
    </w:p>
    <w:p w14:paraId="1877CEC3">
      <w:pPr>
        <w:adjustRightInd w:val="0"/>
        <w:snapToGrid w:val="0"/>
        <w:spacing w:line="288" w:lineRule="auto"/>
        <w:ind w:firstLine="398" w:firstLineChars="200"/>
        <w:jc w:val="left"/>
        <w:rPr>
          <w:rFonts w:hint="eastAsia" w:ascii="宋体" w:hAnsi="宋体" w:eastAsia="宋体"/>
          <w:b/>
          <w:bCs/>
          <w:spacing w:val="-6"/>
          <w:szCs w:val="21"/>
        </w:rPr>
      </w:pPr>
      <w:r>
        <w:rPr>
          <w:rFonts w:hint="eastAsia" w:ascii="宋体" w:hAnsi="宋体" w:eastAsia="宋体"/>
          <w:b/>
          <w:bCs/>
          <w:spacing w:val="-6"/>
          <w:szCs w:val="21"/>
        </w:rPr>
        <w:t>电子加密投标文件：政府采购云平台在线上传一份；</w:t>
      </w:r>
    </w:p>
    <w:p w14:paraId="4743D38D">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hint="eastAsia" w:ascii="宋体" w:hAnsi="宋体" w:eastAsia="宋体"/>
          <w:b/>
          <w:bCs/>
          <w:spacing w:val="-6"/>
          <w:szCs w:val="21"/>
        </w:rPr>
        <w:t>备份投标文件：密封包装后EMS或顺丰邮寄形式递交一份（邮寄地址：</w:t>
      </w:r>
      <w:r>
        <w:rPr>
          <w:rFonts w:hint="eastAsia" w:ascii="宋体" w:hAnsi="宋体" w:eastAsia="宋体" w:cs="宋体"/>
          <w:b/>
          <w:bCs/>
          <w:szCs w:val="21"/>
        </w:rPr>
        <w:t>杭州市西湖区玉古路173号中田大厦21楼H室，浙江求是招标代理有限公司（温瑶）收，电话：0571-87666115，寄出后将（快递单号、项目名称、公司名称、联系方式等相关信息）发至：zb03@qszb.net，以便查收）。</w:t>
      </w:r>
    </w:p>
    <w:p w14:paraId="1017915B">
      <w:pPr>
        <w:adjustRightInd w:val="0"/>
        <w:snapToGrid w:val="0"/>
        <w:spacing w:line="288" w:lineRule="auto"/>
        <w:ind w:firstLine="422" w:firstLineChars="200"/>
        <w:jc w:val="left"/>
        <w:rPr>
          <w:rFonts w:hint="eastAsia" w:ascii="宋体" w:hAnsi="宋体" w:eastAsia="宋体" w:cs="Times New Roman"/>
          <w:b/>
          <w:bCs/>
          <w:spacing w:val="-6"/>
          <w:szCs w:val="21"/>
        </w:rPr>
      </w:pPr>
      <w:r>
        <w:rPr>
          <w:rFonts w:hint="eastAsia" w:ascii="宋体" w:hAnsi="宋体" w:eastAsia="宋体" w:cs="宋体"/>
          <w:b/>
          <w:szCs w:val="21"/>
        </w:rPr>
        <w:t>特别说明：双休日和法定节假日不收件，投标人自行承担邮寄风险。</w:t>
      </w:r>
    </w:p>
    <w:p w14:paraId="73300E52">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（三）投标文件的上传、递交、修改和撤回</w:t>
      </w:r>
    </w:p>
    <w:p w14:paraId="15A25DD2">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1.投标文件的上传、递交：</w:t>
      </w:r>
    </w:p>
    <w:p w14:paraId="10F608D9">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（1）电子加密投标文件的上传：</w:t>
      </w:r>
    </w:p>
    <w:p w14:paraId="49BE3237">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▲a.投标人应在投标截止时间前将电子加密投标文件成功上传至政府采购云平台，否则投标无效；</w:t>
      </w:r>
    </w:p>
    <w:p w14:paraId="20994977">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b.电子加密投标文件成功上传后，投标人可自行打印投标文件接收回执。</w:t>
      </w:r>
    </w:p>
    <w:p w14:paraId="33A419C5">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（2）备份投标文件的密封包装、递交：</w:t>
      </w:r>
    </w:p>
    <w:p w14:paraId="397D759B">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a.投标人在政府采购云平台完成电子加密投标文件的上传后，可以EMS或顺丰邮寄形式在投标截止时间前递交以介质（U盘）存储的数据电文形式的备份投标文件；</w:t>
      </w:r>
    </w:p>
    <w:p w14:paraId="1D158963">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b.备份投标文件应当密封包装并在包装上标注投标</w:t>
      </w:r>
      <w:r>
        <w:rPr>
          <w:rFonts w:hint="eastAsia" w:ascii="宋体" w:hAnsi="宋体" w:eastAsia="宋体"/>
          <w:spacing w:val="-6"/>
          <w:szCs w:val="21"/>
          <w:u w:val="single"/>
        </w:rPr>
        <w:t>项目名称、标项、投标人名称</w:t>
      </w:r>
      <w:r>
        <w:rPr>
          <w:rFonts w:hint="eastAsia" w:ascii="宋体" w:hAnsi="宋体" w:eastAsia="宋体"/>
          <w:spacing w:val="-6"/>
          <w:szCs w:val="21"/>
        </w:rPr>
        <w:t>并加盖公章（非电子签章），投标人逾期送达或者未密封包装的备份投标文件采购代理机构将予以拒收；</w:t>
      </w:r>
    </w:p>
    <w:p w14:paraId="5E4458C7">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▲c.通过政府采购云平台成功上传的电子加密投标文件已按时解密的，备份投标文件自动失效。</w:t>
      </w:r>
    </w:p>
    <w:p w14:paraId="7F0EC4DF">
      <w:pPr>
        <w:adjustRightInd w:val="0"/>
        <w:snapToGrid w:val="0"/>
        <w:spacing w:line="288" w:lineRule="auto"/>
        <w:ind w:firstLine="396" w:firstLineChars="200"/>
        <w:jc w:val="left"/>
        <w:rPr>
          <w:rFonts w:hint="eastAsia" w:ascii="宋体" w:hAnsi="宋体" w:eastAsia="宋体"/>
          <w:spacing w:val="-6"/>
          <w:szCs w:val="21"/>
        </w:rPr>
      </w:pPr>
      <w:bookmarkStart w:id="51" w:name="_Hlk94018616"/>
      <w:r>
        <w:rPr>
          <w:rFonts w:hint="eastAsia" w:ascii="宋体" w:hAnsi="宋体" w:eastAsia="宋体"/>
          <w:spacing w:val="-6"/>
          <w:szCs w:val="21"/>
        </w:rPr>
        <w:t>▲d.投标人仅递交备份投标文件而未将电子加密投标文件成功上传至政府采购云平台的，投标无效。</w:t>
      </w:r>
    </w:p>
    <w:bookmarkEnd w:id="51"/>
    <w:p w14:paraId="74A3A581">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451147DD">
      <w:pPr>
        <w:adjustRightInd w:val="0"/>
        <w:snapToGrid w:val="0"/>
        <w:spacing w:line="288" w:lineRule="auto"/>
        <w:ind w:firstLine="396" w:firstLineChars="200"/>
        <w:jc w:val="left"/>
        <w:rPr>
          <w:rFonts w:hint="eastAsia" w:ascii="宋体" w:hAnsi="宋体" w:eastAsia="宋体"/>
          <w:spacing w:val="-6"/>
          <w:szCs w:val="21"/>
        </w:rPr>
      </w:pPr>
      <w:r>
        <w:rPr>
          <w:rFonts w:ascii="宋体" w:hAnsi="宋体" w:eastAsia="宋体"/>
          <w:spacing w:val="-6"/>
          <w:szCs w:val="21"/>
        </w:rPr>
        <w:t>2</w:t>
      </w:r>
      <w:r>
        <w:rPr>
          <w:rFonts w:hint="eastAsia" w:ascii="宋体" w:hAnsi="宋体" w:eastAsia="宋体"/>
          <w:spacing w:val="-6"/>
          <w:szCs w:val="21"/>
        </w:rPr>
        <w:t>.投标人因未在线参加开标而导致电子加密投标文件无法按时解密等一切后果由投标人自行承担。</w:t>
      </w:r>
    </w:p>
    <w:p w14:paraId="42FEC8D2">
      <w:pPr>
        <w:adjustRightInd w:val="0"/>
        <w:snapToGrid w:val="0"/>
        <w:spacing w:line="288" w:lineRule="auto"/>
        <w:ind w:firstLine="396" w:firstLineChars="200"/>
        <w:jc w:val="left"/>
        <w:rPr>
          <w:rFonts w:hint="eastAsia" w:ascii="宋体" w:hAnsi="宋体" w:eastAsia="宋体"/>
          <w:spacing w:val="-6"/>
          <w:szCs w:val="21"/>
        </w:rPr>
      </w:pPr>
      <w:r>
        <w:rPr>
          <w:rFonts w:ascii="宋体" w:hAnsi="宋体" w:eastAsia="宋体"/>
          <w:spacing w:val="-6"/>
          <w:szCs w:val="21"/>
        </w:rPr>
        <w:t>3</w:t>
      </w:r>
      <w:r>
        <w:rPr>
          <w:rFonts w:hint="eastAsia" w:ascii="宋体" w:hAnsi="宋体" w:eastAsia="宋体"/>
          <w:spacing w:val="-6"/>
          <w:szCs w:val="21"/>
        </w:rPr>
        <w:t>.投标人应按照招标文件和政府采购云平台的要求，根据投标文件的组成规定的内容及顺序通过政采云电子交易客户端（政采云投标客户端）编制加密投标文件。</w:t>
      </w:r>
    </w:p>
    <w:p w14:paraId="436AEA78">
      <w:pPr>
        <w:adjustRightInd w:val="0"/>
        <w:snapToGrid w:val="0"/>
        <w:spacing w:line="288" w:lineRule="auto"/>
        <w:ind w:firstLine="422" w:firstLineChars="200"/>
        <w:jc w:val="left"/>
        <w:rPr>
          <w:rFonts w:hint="eastAsia" w:ascii="宋体" w:hAnsi="宋体" w:eastAsia="宋体"/>
          <w:b/>
          <w:bCs/>
          <w:szCs w:val="21"/>
        </w:rPr>
      </w:pPr>
      <w:r>
        <w:rPr>
          <w:rFonts w:hint="eastAsia" w:ascii="宋体" w:hAnsi="宋体" w:eastAsia="宋体"/>
          <w:b/>
          <w:bCs/>
          <w:szCs w:val="21"/>
        </w:rPr>
        <w:t>备注：投标人可通过浙江省“电子交易/不见面开评标”学习专题提前进行专题学习，熟悉操作，避免影响采购活动（</w:t>
      </w:r>
      <w:r>
        <w:rPr>
          <w:rFonts w:hint="eastAsia"/>
        </w:rPr>
        <w:fldChar w:fldCharType="begin"/>
      </w:r>
      <w:r>
        <w:instrText xml:space="preserve"> HYPERLINK "https://edu.zcygov.cn/luban/e-biding" </w:instrText>
      </w:r>
      <w:r>
        <w:rPr>
          <w:rFonts w:hint="eastAsia"/>
        </w:rPr>
        <w:fldChar w:fldCharType="separate"/>
      </w:r>
      <w:r>
        <w:rPr>
          <w:rStyle w:val="30"/>
          <w:rFonts w:hint="eastAsia" w:ascii="宋体" w:hAnsi="宋体" w:eastAsia="宋体"/>
          <w:b/>
          <w:bCs/>
          <w:szCs w:val="21"/>
        </w:rPr>
        <w:t>https://edu.zcygov.cn/luban/e-biding</w:t>
      </w:r>
      <w:r>
        <w:rPr>
          <w:rStyle w:val="30"/>
          <w:rFonts w:hint="eastAsia" w:ascii="宋体" w:hAnsi="宋体" w:eastAsia="宋体"/>
          <w:b/>
          <w:bCs/>
          <w:szCs w:val="21"/>
        </w:rPr>
        <w:fldChar w:fldCharType="end"/>
      </w:r>
      <w:r>
        <w:rPr>
          <w:rFonts w:hint="eastAsia" w:ascii="宋体" w:hAnsi="宋体" w:eastAsia="宋体"/>
          <w:b/>
          <w:bCs/>
          <w:szCs w:val="21"/>
        </w:rPr>
        <w:t>）。</w:t>
      </w:r>
    </w:p>
    <w:p w14:paraId="77B1D0B0">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（四）投标文件的语言及计量</w:t>
      </w:r>
    </w:p>
    <w:p w14:paraId="7B9FDAA2">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3E936BDE">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（五）投标报价</w:t>
      </w:r>
    </w:p>
    <w:p w14:paraId="389DF698">
      <w:pPr>
        <w:adjustRightInd w:val="0"/>
        <w:snapToGrid w:val="0"/>
        <w:spacing w:line="288" w:lineRule="auto"/>
        <w:ind w:firstLine="420" w:firstLineChars="200"/>
        <w:rPr>
          <w:rFonts w:hint="eastAsia" w:ascii="宋体" w:hAnsi="宋体" w:eastAsia="宋体"/>
          <w:szCs w:val="21"/>
        </w:rPr>
      </w:pPr>
      <w:bookmarkStart w:id="52" w:name="_Hlk94018664"/>
      <w:r>
        <w:rPr>
          <w:rFonts w:hint="eastAsia" w:ascii="宋体" w:hAnsi="宋体" w:eastAsia="宋体"/>
          <w:szCs w:val="21"/>
        </w:rPr>
        <w:t>1.报价应按招标文件要求的格式编制、填写报价内容（可自行增行），未按招标文件要求编制、填写的投标文件可能被拒绝；</w:t>
      </w:r>
    </w:p>
    <w:p w14:paraId="1F0A01FB">
      <w:pPr>
        <w:adjustRightInd w:val="0"/>
        <w:snapToGrid w:val="0"/>
        <w:spacing w:line="288" w:lineRule="auto"/>
        <w:ind w:firstLine="420" w:firstLineChars="200"/>
        <w:rPr>
          <w:rFonts w:hint="eastAsia" w:ascii="宋体" w:hAnsi="宋体" w:eastAsia="宋体"/>
          <w:szCs w:val="21"/>
        </w:rPr>
      </w:pPr>
      <w:r>
        <w:rPr>
          <w:rFonts w:hint="eastAsia" w:ascii="宋体" w:hAnsi="宋体" w:eastAsia="宋体"/>
          <w:szCs w:val="21"/>
        </w:rPr>
        <w:t>2.以人民币报价；</w:t>
      </w:r>
    </w:p>
    <w:p w14:paraId="5DFACF13">
      <w:pPr>
        <w:adjustRightInd w:val="0"/>
        <w:snapToGrid w:val="0"/>
        <w:spacing w:line="288"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szCs w:val="21"/>
        </w:rPr>
        <w:t>3.投标报价是履行合同的最终价格，有关本项目实施</w:t>
      </w:r>
      <w:r>
        <w:rPr>
          <w:rFonts w:hint="eastAsia" w:ascii="宋体" w:hAnsi="宋体" w:eastAsia="宋体"/>
          <w:color w:val="000000" w:themeColor="text1"/>
          <w:szCs w:val="21"/>
          <w14:textFill>
            <w14:solidFill>
              <w14:schemeClr w14:val="tx1"/>
            </w14:solidFill>
          </w14:textFill>
        </w:rPr>
        <w:t>所涉及的一切费用均计入报价；总价不为零，分项报价中部分产品、服务单价为零的，视作已包含在总价中。</w:t>
      </w:r>
    </w:p>
    <w:p w14:paraId="79E70462">
      <w:pPr>
        <w:adjustRightInd w:val="0"/>
        <w:snapToGrid w:val="0"/>
        <w:spacing w:line="288"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4.投标文件只允许有一个报价，有选择的报价将不予接受。</w:t>
      </w:r>
    </w:p>
    <w:p w14:paraId="2EA026CD">
      <w:pPr>
        <w:pStyle w:val="13"/>
        <w:adjustRightInd w:val="0"/>
        <w:snapToGrid w:val="0"/>
        <w:spacing w:before="0" w:beforeLines="0" w:after="0" w:afterLines="0" w:line="288" w:lineRule="auto"/>
        <w:ind w:firstLine="420" w:firstLineChars="200"/>
        <w:jc w:val="left"/>
        <w:rPr>
          <w:rFonts w:hint="eastAsia"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▲5</w:t>
      </w:r>
      <w:r>
        <w:rPr>
          <w:rFonts w:hAnsi="宋体" w:eastAsia="宋体" w:cs="宋体"/>
          <w:color w:val="000000" w:themeColor="text1"/>
          <w:sz w:val="21"/>
          <w:szCs w:val="21"/>
          <w14:textFill>
            <w14:solidFill>
              <w14:schemeClr w14:val="tx1"/>
            </w14:solidFill>
          </w14:textFill>
        </w:rPr>
        <w:t>.</w:t>
      </w:r>
      <w:r>
        <w:rPr>
          <w:rFonts w:hint="eastAsia" w:hAnsi="宋体" w:eastAsia="宋体" w:cs="宋体"/>
          <w:color w:val="000000" w:themeColor="text1"/>
          <w:sz w:val="21"/>
          <w:szCs w:val="21"/>
          <w14:textFill>
            <w14:solidFill>
              <w14:schemeClr w14:val="tx1"/>
            </w14:solidFill>
          </w14:textFill>
        </w:rPr>
        <w:t>采购人将以合同形式有偿取得货物或服务，不接受投标人给予的赠品、回扣或者与采购无关的其他商品、服务</w:t>
      </w:r>
      <w:r>
        <w:rPr>
          <w:rFonts w:hAnsi="宋体" w:eastAsia="宋体" w:cs="宋体"/>
          <w:color w:val="000000" w:themeColor="text1"/>
          <w:sz w:val="21"/>
          <w:szCs w:val="21"/>
          <w14:textFill>
            <w14:solidFill>
              <w14:schemeClr w14:val="tx1"/>
            </w14:solidFill>
          </w14:textFill>
        </w:rPr>
        <w:t>。</w:t>
      </w:r>
    </w:p>
    <w:p w14:paraId="50FD6269">
      <w:pPr>
        <w:pStyle w:val="13"/>
        <w:adjustRightInd w:val="0"/>
        <w:snapToGrid w:val="0"/>
        <w:spacing w:before="0" w:beforeLines="0" w:after="0" w:afterLines="0" w:line="288" w:lineRule="auto"/>
        <w:ind w:firstLine="420" w:firstLineChars="200"/>
        <w:jc w:val="left"/>
        <w:rPr>
          <w:rFonts w:hint="eastAsia" w:hAnsi="宋体" w:eastAsia="宋体" w:cs="宋体"/>
          <w:color w:val="000000" w:themeColor="text1"/>
          <w:sz w:val="21"/>
          <w:szCs w:val="21"/>
          <w14:textFill>
            <w14:solidFill>
              <w14:schemeClr w14:val="tx1"/>
            </w14:solidFill>
          </w14:textFill>
        </w:rPr>
      </w:pPr>
      <w:r>
        <w:rPr>
          <w:rFonts w:hint="eastAsia" w:hAnsi="宋体" w:eastAsia="宋体" w:cs="宋体"/>
          <w:color w:val="000000" w:themeColor="text1"/>
          <w:sz w:val="21"/>
          <w:szCs w:val="21"/>
          <w14:textFill>
            <w14:solidFill>
              <w14:schemeClr w14:val="tx1"/>
            </w14:solidFill>
          </w14:textFill>
        </w:rPr>
        <w:t>6.供应商不得进行影响产品质量或者诚信履约的恶意报价。供应商报价低于项目预算50%的，应当在报价文件中提供说明，详细阐述不影响产品质量或者诚信履约的具体原因。</w:t>
      </w:r>
    </w:p>
    <w:bookmarkEnd w:id="52"/>
    <w:p w14:paraId="23B52B1E">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（六）投标有效期</w:t>
      </w:r>
    </w:p>
    <w:p w14:paraId="7843D09F">
      <w:pPr>
        <w:pStyle w:val="13"/>
        <w:adjustRightInd w:val="0"/>
        <w:snapToGrid w:val="0"/>
        <w:spacing w:before="0" w:beforeLines="0" w:after="0" w:afterLines="0" w:line="288" w:lineRule="auto"/>
        <w:ind w:firstLine="396" w:firstLineChars="200"/>
        <w:jc w:val="left"/>
        <w:rPr>
          <w:rFonts w:hint="eastAsia" w:hAnsi="宋体" w:eastAsia="宋体"/>
          <w:sz w:val="21"/>
          <w:szCs w:val="21"/>
        </w:rPr>
      </w:pPr>
      <w:r>
        <w:rPr>
          <w:rFonts w:hint="eastAsia" w:hAnsi="宋体" w:eastAsia="宋体"/>
          <w:spacing w:val="-6"/>
          <w:sz w:val="21"/>
          <w:szCs w:val="21"/>
        </w:rPr>
        <w:t>▲从提交投标文件的截止之日起</w:t>
      </w:r>
      <w:r>
        <w:rPr>
          <w:rFonts w:hAnsi="宋体" w:eastAsia="宋体"/>
          <w:spacing w:val="-6"/>
          <w:sz w:val="21"/>
          <w:szCs w:val="21"/>
        </w:rPr>
        <w:t>90天，在原投标有效期满之前，如果出现特殊情况，采购人或采购代理机构以书面形式通知投标人延长投标有效期。</w:t>
      </w:r>
    </w:p>
    <w:p w14:paraId="5CA762D7">
      <w:pPr>
        <w:widowControl/>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1C87AE58">
      <w:pPr>
        <w:adjustRightInd w:val="0"/>
        <w:snapToGrid w:val="0"/>
        <w:spacing w:line="288" w:lineRule="auto"/>
        <w:jc w:val="center"/>
        <w:outlineLvl w:val="1"/>
        <w:rPr>
          <w:rFonts w:hint="eastAsia" w:ascii="宋体" w:hAnsi="宋体" w:eastAsia="宋体" w:cs="Times New Roman"/>
          <w:b/>
          <w:spacing w:val="-6"/>
          <w:szCs w:val="21"/>
        </w:rPr>
      </w:pPr>
      <w:r>
        <w:rPr>
          <w:rFonts w:hint="eastAsia" w:ascii="宋体" w:hAnsi="宋体" w:eastAsia="宋体" w:cs="Times New Roman"/>
          <w:b/>
          <w:spacing w:val="-6"/>
          <w:szCs w:val="21"/>
        </w:rPr>
        <w:t>四、资格审查不通过、投标无效的情形</w:t>
      </w:r>
    </w:p>
    <w:p w14:paraId="1C383073">
      <w:pPr>
        <w:adjustRightInd w:val="0"/>
        <w:snapToGrid w:val="0"/>
        <w:spacing w:line="288" w:lineRule="auto"/>
        <w:ind w:firstLine="420" w:firstLineChars="200"/>
        <w:rPr>
          <w:rFonts w:hint="eastAsia" w:ascii="宋体" w:hAnsi="宋体" w:eastAsia="宋体" w:cs="宋体"/>
          <w:szCs w:val="21"/>
        </w:rPr>
      </w:pPr>
      <w:bookmarkStart w:id="53" w:name="_Hlk94018682"/>
      <w:r>
        <w:rPr>
          <w:rFonts w:hint="eastAsia" w:ascii="宋体" w:hAnsi="宋体" w:eastAsia="宋体" w:cs="宋体"/>
          <w:szCs w:val="21"/>
        </w:rPr>
        <w:t>未响应招标文件“▲”标记条款要求的，投标无效。</w:t>
      </w:r>
    </w:p>
    <w:bookmarkEnd w:id="53"/>
    <w:p w14:paraId="32A77462">
      <w:pPr>
        <w:widowControl/>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在资格审查时，如发现下列情形之一的，投标人将被视为资格审查不通过：</w:t>
      </w:r>
    </w:p>
    <w:p w14:paraId="5D28ADD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资格证明</w:t>
      </w:r>
      <w:r>
        <w:rPr>
          <w:rFonts w:hint="eastAsia" w:ascii="宋体" w:hAnsi="宋体" w:eastAsia="宋体" w:cs="Times New Roman"/>
          <w:spacing w:val="-6"/>
          <w:szCs w:val="21"/>
        </w:rPr>
        <w:t>材料</w:t>
      </w:r>
      <w:r>
        <w:rPr>
          <w:rFonts w:ascii="宋体" w:hAnsi="宋体" w:eastAsia="宋体" w:cs="Times New Roman"/>
          <w:spacing w:val="-6"/>
          <w:szCs w:val="21"/>
        </w:rPr>
        <w:t>不全的，或者不符合</w:t>
      </w:r>
      <w:r>
        <w:rPr>
          <w:rFonts w:hint="eastAsia" w:ascii="宋体" w:hAnsi="宋体" w:eastAsia="宋体" w:cs="Times New Roman"/>
          <w:spacing w:val="-6"/>
          <w:szCs w:val="21"/>
        </w:rPr>
        <w:t>招标</w:t>
      </w:r>
      <w:r>
        <w:rPr>
          <w:rFonts w:ascii="宋体" w:hAnsi="宋体" w:eastAsia="宋体" w:cs="Times New Roman"/>
          <w:spacing w:val="-6"/>
          <w:szCs w:val="21"/>
        </w:rPr>
        <w:t>文件要求</w:t>
      </w:r>
      <w:r>
        <w:rPr>
          <w:rFonts w:hint="eastAsia" w:ascii="宋体" w:hAnsi="宋体" w:eastAsia="宋体" w:cs="Times New Roman"/>
          <w:spacing w:val="-6"/>
          <w:szCs w:val="21"/>
        </w:rPr>
        <w:t>；</w:t>
      </w:r>
    </w:p>
    <w:p w14:paraId="7CA0F913">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w:t>
      </w:r>
      <w:r>
        <w:rPr>
          <w:rFonts w:hint="eastAsia" w:ascii="宋体" w:hAnsi="宋体" w:eastAsia="宋体" w:cs="Times New Roman"/>
          <w:spacing w:val="-6"/>
          <w:szCs w:val="21"/>
        </w:rPr>
        <w:t>）投标人不具备招标文件中规定的资格要求；</w:t>
      </w:r>
    </w:p>
    <w:p w14:paraId="4680390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）资格</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w:t>
      </w:r>
    </w:p>
    <w:p w14:paraId="401977F9">
      <w:pPr>
        <w:adjustRightInd w:val="0"/>
        <w:snapToGrid w:val="0"/>
        <w:spacing w:line="288" w:lineRule="auto"/>
        <w:ind w:firstLine="398" w:firstLineChars="200"/>
        <w:rPr>
          <w:rFonts w:hint="eastAsia"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在符合</w:t>
      </w:r>
      <w:r>
        <w:rPr>
          <w:rFonts w:ascii="宋体" w:hAnsi="宋体" w:eastAsia="宋体" w:cs="Times New Roman"/>
          <w:b/>
          <w:spacing w:val="-6"/>
          <w:szCs w:val="21"/>
        </w:rPr>
        <w:t>性审查、</w:t>
      </w:r>
      <w:r>
        <w:rPr>
          <w:rFonts w:hint="eastAsia" w:ascii="宋体" w:hAnsi="宋体" w:eastAsia="宋体" w:cs="Times New Roman"/>
          <w:b/>
          <w:spacing w:val="-6"/>
          <w:szCs w:val="21"/>
        </w:rPr>
        <w:t>商务</w:t>
      </w:r>
      <w:r>
        <w:rPr>
          <w:rFonts w:ascii="宋体" w:hAnsi="宋体" w:eastAsia="宋体" w:cs="Times New Roman"/>
          <w:b/>
          <w:spacing w:val="-6"/>
          <w:szCs w:val="21"/>
        </w:rPr>
        <w:t>和技术评审</w:t>
      </w:r>
      <w:r>
        <w:rPr>
          <w:rFonts w:hint="eastAsia" w:ascii="宋体" w:hAnsi="宋体" w:eastAsia="宋体" w:cs="Times New Roman"/>
          <w:b/>
          <w:spacing w:val="-6"/>
          <w:szCs w:val="21"/>
        </w:rPr>
        <w:t>时，如发现下列情形之一的，投标文件将被视为无效：</w:t>
      </w:r>
    </w:p>
    <w:p w14:paraId="2C1C538A">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（1）商务和技术文件未按要求签署、盖章；</w:t>
      </w:r>
    </w:p>
    <w:p w14:paraId="55BDA4EE">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2）未提供或未按要求提供投标函、授权委托书；</w:t>
      </w:r>
    </w:p>
    <w:p w14:paraId="676D297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3）委托授权代表参加投标但未提供符合要求的授权代表社保缴纳证明；</w:t>
      </w:r>
    </w:p>
    <w:p w14:paraId="61DC560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（4）未提供或未如实提供采购需求</w:t>
      </w:r>
      <w:r>
        <w:rPr>
          <w:rFonts w:ascii="宋体" w:hAnsi="宋体" w:eastAsia="宋体" w:cs="Times New Roman"/>
          <w:spacing w:val="-6"/>
          <w:szCs w:val="21"/>
        </w:rPr>
        <w:t>偏离表；</w:t>
      </w:r>
    </w:p>
    <w:p w14:paraId="5CDD334B">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（5）明显不符合招标文件要求，或负偏离达到规定数目的，视为采购人不能接受的附加条件；</w:t>
      </w:r>
    </w:p>
    <w:p w14:paraId="2D059B8A">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6</w:t>
      </w:r>
      <w:r>
        <w:rPr>
          <w:rFonts w:hint="eastAsia" w:ascii="宋体" w:hAnsi="宋体" w:eastAsia="宋体" w:cs="Times New Roman"/>
          <w:spacing w:val="-6"/>
          <w:szCs w:val="21"/>
        </w:rPr>
        <w:t>）</w:t>
      </w:r>
      <w:r>
        <w:rPr>
          <w:rFonts w:ascii="宋体" w:hAnsi="宋体" w:eastAsia="宋体" w:cs="Times New Roman"/>
          <w:spacing w:val="-6"/>
          <w:szCs w:val="21"/>
        </w:rPr>
        <w:t>投标技术方案不明确，存在一个或一个以上备选（替代）投标方案；</w:t>
      </w:r>
    </w:p>
    <w:p w14:paraId="4B2CC81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7</w:t>
      </w:r>
      <w:r>
        <w:rPr>
          <w:rFonts w:hint="eastAsia" w:ascii="宋体" w:hAnsi="宋体" w:eastAsia="宋体" w:cs="Times New Roman"/>
          <w:spacing w:val="-6"/>
          <w:szCs w:val="21"/>
        </w:rPr>
        <w:t>）投标文件含有采购人不能接受的附加条件；</w:t>
      </w:r>
    </w:p>
    <w:p w14:paraId="1003D9DE">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8</w:t>
      </w:r>
      <w:r>
        <w:rPr>
          <w:rFonts w:hint="eastAsia" w:ascii="宋体" w:hAnsi="宋体" w:eastAsia="宋体" w:cs="Times New Roman"/>
          <w:spacing w:val="-6"/>
          <w:szCs w:val="21"/>
        </w:rPr>
        <w:t>）法律、法规和招标文件规定的其他无效情形。</w:t>
      </w:r>
    </w:p>
    <w:p w14:paraId="7EC9DB22">
      <w:pPr>
        <w:widowControl/>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.在报价评审时，如发现下列情形之一的，投标文件将被视为无效：</w:t>
      </w:r>
    </w:p>
    <w:p w14:paraId="20E89E1D">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（1）报价</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w:t>
      </w:r>
    </w:p>
    <w:p w14:paraId="170694A1">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）未按照招标文件标明的币种报价</w:t>
      </w:r>
      <w:r>
        <w:rPr>
          <w:rFonts w:hint="eastAsia" w:ascii="宋体" w:hAnsi="宋体" w:eastAsia="宋体" w:cs="Times New Roman"/>
          <w:spacing w:val="-6"/>
          <w:szCs w:val="21"/>
        </w:rPr>
        <w:t>；</w:t>
      </w:r>
    </w:p>
    <w:p w14:paraId="7280B303">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报价</w:t>
      </w:r>
      <w:r>
        <w:rPr>
          <w:rFonts w:hint="eastAsia" w:ascii="宋体" w:hAnsi="宋体" w:eastAsia="宋体" w:cs="Times New Roman"/>
          <w:spacing w:val="-6"/>
          <w:szCs w:val="21"/>
        </w:rPr>
        <w:t>内容有</w:t>
      </w:r>
      <w:r>
        <w:rPr>
          <w:rFonts w:ascii="宋体" w:hAnsi="宋体" w:eastAsia="宋体" w:cs="Times New Roman"/>
          <w:spacing w:val="-6"/>
          <w:szCs w:val="21"/>
        </w:rPr>
        <w:t>缺漏项</w:t>
      </w:r>
      <w:r>
        <w:rPr>
          <w:rFonts w:hint="eastAsia" w:ascii="宋体" w:hAnsi="宋体" w:eastAsia="宋体" w:cs="Times New Roman"/>
          <w:spacing w:val="-6"/>
          <w:szCs w:val="21"/>
        </w:rPr>
        <w:t>，或者</w:t>
      </w:r>
      <w:r>
        <w:rPr>
          <w:rFonts w:ascii="宋体" w:hAnsi="宋体" w:eastAsia="宋体" w:cs="Times New Roman"/>
          <w:spacing w:val="-6"/>
          <w:szCs w:val="21"/>
        </w:rPr>
        <w:t>与招标文件要求不一致</w:t>
      </w:r>
      <w:r>
        <w:rPr>
          <w:rFonts w:hint="eastAsia" w:ascii="宋体" w:hAnsi="宋体" w:eastAsia="宋体" w:cs="Times New Roman"/>
          <w:spacing w:val="-6"/>
          <w:szCs w:val="21"/>
        </w:rPr>
        <w:t>；</w:t>
      </w:r>
    </w:p>
    <w:p w14:paraId="4E6061B7">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（4）报价超过招标文件中规定的预算金额或者最高限价；</w:t>
      </w:r>
    </w:p>
    <w:p w14:paraId="62918B69">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（5）报价具有选择性；</w:t>
      </w:r>
    </w:p>
    <w:p w14:paraId="049E247F">
      <w:pPr>
        <w:widowControl/>
        <w:adjustRightInd w:val="0"/>
        <w:snapToGrid w:val="0"/>
        <w:spacing w:line="288" w:lineRule="auto"/>
        <w:ind w:firstLine="396" w:firstLineChars="200"/>
        <w:jc w:val="left"/>
        <w:rPr>
          <w:rFonts w:hint="eastAsia" w:ascii="宋体" w:hAnsi="宋体" w:eastAsia="宋体" w:cs="Times New Roman"/>
          <w:spacing w:val="-6"/>
          <w:szCs w:val="21"/>
        </w:rPr>
      </w:pPr>
      <w:bookmarkStart w:id="54" w:name="_Hlk94018736"/>
      <w:r>
        <w:rPr>
          <w:rFonts w:hint="eastAsia" w:ascii="宋体" w:hAnsi="宋体" w:eastAsia="宋体" w:cs="Times New Roman"/>
          <w:spacing w:val="-6"/>
          <w:szCs w:val="21"/>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4"/>
    <w:p w14:paraId="41EADE73">
      <w:pPr>
        <w:widowControl/>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4</w:t>
      </w:r>
      <w:r>
        <w:rPr>
          <w:rFonts w:ascii="宋体" w:hAnsi="宋体" w:eastAsia="宋体" w:cs="Times New Roman"/>
          <w:b/>
          <w:spacing w:val="-6"/>
          <w:szCs w:val="21"/>
        </w:rPr>
        <w:t>.</w:t>
      </w:r>
      <w:r>
        <w:rPr>
          <w:rFonts w:hint="eastAsia" w:ascii="宋体" w:hAnsi="宋体" w:eastAsia="宋体" w:cs="Times New Roman"/>
          <w:b/>
          <w:spacing w:val="-6"/>
          <w:szCs w:val="21"/>
        </w:rPr>
        <w:t>有下列情形之一的，视为投标人串通投标，其投标无效：</w:t>
      </w:r>
    </w:p>
    <w:p w14:paraId="6A64B219">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（1）不同投标人的投标文件由同一单位或者个人编制；</w:t>
      </w:r>
    </w:p>
    <w:p w14:paraId="34115E7F">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（2）不同投标人委托同一单位或者个人办理投标事宜；</w:t>
      </w:r>
    </w:p>
    <w:p w14:paraId="1962F9D1">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（3）不同投标人的投标文件载明的项目管理成员或者联系人员为同一人；</w:t>
      </w:r>
    </w:p>
    <w:p w14:paraId="05168BF0">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（4）不同投标人的投标文件异常一致或者投标报价呈规律性差异；</w:t>
      </w:r>
    </w:p>
    <w:p w14:paraId="4D0334D4">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（5）不同投标人的投标文件相互混装。</w:t>
      </w:r>
    </w:p>
    <w:p w14:paraId="0F0E7D2A">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br w:type="page"/>
      </w:r>
      <w:r>
        <w:rPr>
          <w:rFonts w:hint="eastAsia" w:ascii="宋体" w:hAnsi="宋体" w:eastAsia="宋体" w:cs="Times New Roman"/>
          <w:b/>
          <w:spacing w:val="-6"/>
          <w:szCs w:val="21"/>
        </w:rPr>
        <w:t>五、开  标</w:t>
      </w:r>
    </w:p>
    <w:p w14:paraId="39E4670F">
      <w:pPr>
        <w:pStyle w:val="99"/>
        <w:snapToGrid w:val="0"/>
        <w:spacing w:before="0" w:line="288" w:lineRule="auto"/>
        <w:ind w:left="0" w:firstLine="424" w:firstLineChars="201"/>
        <w:rPr>
          <w:rFonts w:hint="eastAsia" w:ascii="宋体" w:hAnsi="宋体"/>
          <w:szCs w:val="21"/>
        </w:rPr>
      </w:pPr>
      <w:bookmarkStart w:id="55" w:name="_Hlk94018775"/>
      <w:r>
        <w:rPr>
          <w:rFonts w:hint="eastAsia" w:ascii="宋体" w:hAnsi="宋体" w:cs="仿宋_GB2312"/>
          <w:b/>
          <w:szCs w:val="21"/>
        </w:rPr>
        <w:t>（一）</w:t>
      </w:r>
      <w:r>
        <w:rPr>
          <w:rFonts w:ascii="宋体" w:hAnsi="宋体" w:cs="仿宋_GB2312"/>
          <w:b/>
          <w:szCs w:val="21"/>
        </w:rPr>
        <w:t>开标</w:t>
      </w:r>
    </w:p>
    <w:p w14:paraId="0A528A23">
      <w:pPr>
        <w:pStyle w:val="99"/>
        <w:snapToGrid w:val="0"/>
        <w:spacing w:before="0" w:line="288" w:lineRule="auto"/>
        <w:ind w:left="0" w:firstLine="422" w:firstLineChars="201"/>
        <w:rPr>
          <w:rFonts w:hint="eastAsia" w:ascii="宋体" w:hAnsi="宋体" w:cs="仿宋_GB2312"/>
          <w:szCs w:val="21"/>
        </w:rPr>
      </w:pPr>
      <w:r>
        <w:rPr>
          <w:rFonts w:hint="eastAsia" w:ascii="宋体" w:hAnsi="宋体" w:cs="仿宋_GB2312"/>
          <w:szCs w:val="21"/>
        </w:rPr>
        <w:t>采购代理机构</w:t>
      </w:r>
      <w:r>
        <w:rPr>
          <w:rFonts w:ascii="宋体" w:hAnsi="宋体" w:cs="仿宋_GB2312"/>
          <w:szCs w:val="21"/>
        </w:rPr>
        <w:t>按照招标文件规定的时间通过电子交易平台组织开标，所有投标人均应当准时在线参加。投标人不足3家的，不得开标。</w:t>
      </w:r>
    </w:p>
    <w:p w14:paraId="1B8A1278">
      <w:pPr>
        <w:pStyle w:val="99"/>
        <w:snapToGrid w:val="0"/>
        <w:spacing w:before="0" w:line="288" w:lineRule="auto"/>
        <w:ind w:left="0" w:firstLine="422" w:firstLineChars="201"/>
        <w:rPr>
          <w:rFonts w:hint="eastAsia" w:ascii="宋体" w:hAnsi="宋体" w:cs="仿宋_GB2312"/>
          <w:szCs w:val="21"/>
        </w:rPr>
      </w:pPr>
      <w:r>
        <w:rPr>
          <w:rFonts w:ascii="宋体" w:hAnsi="宋体" w:cs="仿宋_GB2312"/>
          <w:szCs w:val="21"/>
        </w:rPr>
        <w:t>开标时，电子交易平台按开标时间自动提取所有投标文件。</w:t>
      </w:r>
      <w:r>
        <w:rPr>
          <w:rFonts w:hint="eastAsia" w:ascii="宋体" w:hAnsi="宋体" w:cs="仿宋_GB2312"/>
          <w:szCs w:val="21"/>
        </w:rPr>
        <w:t>采购人或代理</w:t>
      </w:r>
      <w:r>
        <w:rPr>
          <w:rFonts w:ascii="宋体" w:hAnsi="宋体" w:cs="仿宋_GB2312"/>
          <w:szCs w:val="21"/>
        </w:rPr>
        <w:t>机构依托电子交易平台发起开始解密指令，投标人按照平台提示和招标文件的规定在半小时内完成在线解密。</w:t>
      </w:r>
    </w:p>
    <w:p w14:paraId="1AF35073">
      <w:pPr>
        <w:adjustRightInd w:val="0"/>
        <w:snapToGrid w:val="0"/>
        <w:spacing w:line="288" w:lineRule="auto"/>
        <w:ind w:firstLine="422" w:firstLineChars="200"/>
        <w:rPr>
          <w:rFonts w:hint="eastAsia" w:ascii="宋体" w:hAnsi="宋体" w:eastAsia="宋体" w:cs="仿宋_GB2312"/>
          <w:b/>
          <w:szCs w:val="21"/>
        </w:rPr>
      </w:pPr>
      <w:r>
        <w:rPr>
          <w:rFonts w:hint="eastAsia" w:ascii="宋体" w:hAnsi="宋体" w:eastAsia="宋体" w:cs="仿宋_GB2312"/>
          <w:b/>
          <w:szCs w:val="21"/>
        </w:rPr>
        <w:t>投标文件未按时解密，投标人提供了备份投标文件的，以备份投标文件作为依据，否则视为投标文件撤回。投标文件已按时解密的，备份投标文件自动失效。</w:t>
      </w:r>
    </w:p>
    <w:p w14:paraId="036210DE">
      <w:pPr>
        <w:widowControl/>
        <w:adjustRightInd w:val="0"/>
        <w:snapToGrid w:val="0"/>
        <w:spacing w:line="288" w:lineRule="auto"/>
        <w:ind w:firstLine="424" w:firstLineChars="201"/>
        <w:jc w:val="left"/>
        <w:rPr>
          <w:rFonts w:hint="eastAsia" w:ascii="宋体" w:hAnsi="宋体" w:eastAsia="宋体" w:cs="仿宋_GB2312"/>
          <w:b/>
          <w:szCs w:val="21"/>
        </w:rPr>
      </w:pPr>
      <w:r>
        <w:rPr>
          <w:rFonts w:hint="eastAsia" w:ascii="宋体" w:hAnsi="宋体" w:eastAsia="宋体" w:cs="仿宋_GB2312"/>
          <w:b/>
          <w:szCs w:val="21"/>
        </w:rPr>
        <w:t>（二）</w:t>
      </w:r>
      <w:r>
        <w:rPr>
          <w:rFonts w:ascii="宋体" w:hAnsi="宋体" w:eastAsia="宋体" w:cs="仿宋_GB2312"/>
          <w:b/>
          <w:szCs w:val="21"/>
        </w:rPr>
        <w:t>资格审查</w:t>
      </w:r>
    </w:p>
    <w:p w14:paraId="642DB3E4">
      <w:pPr>
        <w:adjustRightInd w:val="0"/>
        <w:snapToGrid w:val="0"/>
        <w:spacing w:line="288" w:lineRule="auto"/>
        <w:ind w:firstLine="422" w:firstLineChars="201"/>
        <w:rPr>
          <w:rFonts w:hint="eastAsia" w:ascii="宋体" w:hAnsi="宋体" w:eastAsia="宋体" w:cs="仿宋_GB2312"/>
          <w:szCs w:val="21"/>
        </w:rPr>
      </w:pPr>
      <w:r>
        <w:rPr>
          <w:rFonts w:ascii="宋体" w:hAnsi="宋体" w:eastAsia="宋体" w:cs="Arial"/>
          <w:kern w:val="0"/>
          <w:szCs w:val="21"/>
        </w:rPr>
        <w:t>开标后，</w:t>
      </w:r>
      <w:r>
        <w:rPr>
          <w:rFonts w:hint="eastAsia" w:ascii="宋体" w:hAnsi="宋体" w:eastAsia="宋体" w:cs="仿宋_GB2312"/>
          <w:szCs w:val="21"/>
        </w:rPr>
        <w:t>采购人或采购代理机构依据法律法规和招标文件的规定，对投标人的资格条件进行审查。</w:t>
      </w:r>
    </w:p>
    <w:p w14:paraId="485B2837">
      <w:pPr>
        <w:pStyle w:val="98"/>
        <w:adjustRightInd w:val="0"/>
        <w:snapToGrid w:val="0"/>
        <w:spacing w:before="0" w:line="288" w:lineRule="auto"/>
        <w:ind w:firstLine="422" w:firstLineChars="201"/>
        <w:rPr>
          <w:rFonts w:hint="eastAsia" w:ascii="宋体" w:hAnsi="宋体" w:cs="仿宋_GB2312"/>
          <w:sz w:val="21"/>
          <w:szCs w:val="21"/>
        </w:rPr>
      </w:pPr>
      <w:r>
        <w:rPr>
          <w:rFonts w:ascii="宋体" w:hAnsi="宋体" w:cs="仿宋_GB2312"/>
          <w:sz w:val="21"/>
          <w:szCs w:val="21"/>
        </w:rPr>
        <w:t>对未通过资格审查的投标人，采购人或</w:t>
      </w:r>
      <w:r>
        <w:rPr>
          <w:rFonts w:hint="eastAsia" w:ascii="宋体" w:hAnsi="宋体" w:cs="仿宋_GB2312"/>
          <w:sz w:val="21"/>
          <w:szCs w:val="21"/>
        </w:rPr>
        <w:t>采购代理机构</w:t>
      </w:r>
      <w:r>
        <w:rPr>
          <w:rFonts w:ascii="宋体" w:hAnsi="宋体" w:cs="仿宋_GB2312"/>
          <w:sz w:val="21"/>
          <w:szCs w:val="21"/>
        </w:rPr>
        <w:t>告知其未通过的原因。</w:t>
      </w:r>
    </w:p>
    <w:p w14:paraId="6C229F84">
      <w:pPr>
        <w:pStyle w:val="98"/>
        <w:adjustRightInd w:val="0"/>
        <w:snapToGrid w:val="0"/>
        <w:spacing w:before="0" w:line="288" w:lineRule="auto"/>
        <w:ind w:firstLine="422" w:firstLineChars="201"/>
        <w:rPr>
          <w:rFonts w:hint="eastAsia" w:ascii="宋体" w:hAnsi="宋体" w:cs="仿宋_GB2312"/>
          <w:sz w:val="21"/>
          <w:szCs w:val="21"/>
        </w:rPr>
      </w:pPr>
      <w:r>
        <w:rPr>
          <w:rFonts w:ascii="宋体" w:hAnsi="宋体" w:cs="仿宋_GB2312"/>
          <w:sz w:val="21"/>
          <w:szCs w:val="21"/>
        </w:rPr>
        <w:t>通过资格审查的投标人不足3家的，不再评标。</w:t>
      </w:r>
    </w:p>
    <w:p w14:paraId="074E8D7B">
      <w:pPr>
        <w:pStyle w:val="98"/>
        <w:adjustRightInd w:val="0"/>
        <w:snapToGrid w:val="0"/>
        <w:spacing w:before="0" w:line="288" w:lineRule="auto"/>
        <w:ind w:firstLine="424" w:firstLineChars="201"/>
        <w:rPr>
          <w:rFonts w:hint="eastAsia" w:ascii="宋体" w:hAnsi="宋体" w:cs="仿宋_GB2312"/>
          <w:b/>
          <w:sz w:val="21"/>
          <w:szCs w:val="21"/>
        </w:rPr>
      </w:pPr>
      <w:r>
        <w:rPr>
          <w:rFonts w:hint="eastAsia" w:ascii="宋体" w:hAnsi="宋体" w:cs="仿宋_GB2312"/>
          <w:b/>
          <w:sz w:val="21"/>
          <w:szCs w:val="21"/>
        </w:rPr>
        <w:t>（三）</w:t>
      </w:r>
      <w:r>
        <w:rPr>
          <w:rFonts w:ascii="宋体" w:hAnsi="宋体" w:cs="仿宋_GB2312"/>
          <w:b/>
          <w:sz w:val="21"/>
          <w:szCs w:val="21"/>
        </w:rPr>
        <w:t>信用信息查询</w:t>
      </w:r>
    </w:p>
    <w:p w14:paraId="6B966B57">
      <w:pPr>
        <w:pStyle w:val="98"/>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根据财库</w:t>
      </w:r>
      <w:r>
        <w:rPr>
          <w:rFonts w:ascii="宋体" w:hAnsi="宋体" w:cs="Arial"/>
          <w:kern w:val="0"/>
          <w:sz w:val="21"/>
          <w:szCs w:val="21"/>
        </w:rPr>
        <w:t>[2016]125号《关于在政府采购活动中查询及使用信用记录有关问题的通知》要求，采购代理机构会对投标人信用记录进行查询并甄别。信用信息查询的截止时点：投标截止时间；</w:t>
      </w:r>
    </w:p>
    <w:p w14:paraId="04A0E9A3">
      <w:pPr>
        <w:pStyle w:val="98"/>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1）查询渠道：“信用中国”（www.creditchina.gov.cn）、“中国政府采购网”（www.ccgp.gov.cn）；</w:t>
      </w:r>
    </w:p>
    <w:p w14:paraId="2C2FBD9A">
      <w:pPr>
        <w:pStyle w:val="98"/>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2）信用信息查询记录和证据留存具体方式：采购代理机构经办人和监督人员将查询网页打印、签名与其他采购文件一并保存；</w:t>
      </w:r>
    </w:p>
    <w:p w14:paraId="3E8976F1">
      <w:pPr>
        <w:pStyle w:val="98"/>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3）信用信息的使用规则：投标人被列入失信被执行人、重大税收违法案件当事人名单、政府采购严重违法失信行为记录名单的，拒绝其参与政府采购活动。</w:t>
      </w:r>
    </w:p>
    <w:p w14:paraId="3AA4C5A8">
      <w:pPr>
        <w:pStyle w:val="98"/>
        <w:adjustRightInd w:val="0"/>
        <w:snapToGrid w:val="0"/>
        <w:spacing w:before="0" w:line="288" w:lineRule="auto"/>
        <w:ind w:firstLine="422" w:firstLineChars="201"/>
        <w:rPr>
          <w:rFonts w:hint="eastAsia" w:ascii="宋体" w:hAnsi="宋体" w:cs="仿宋_GB2312"/>
          <w:sz w:val="21"/>
          <w:szCs w:val="21"/>
        </w:rPr>
      </w:pPr>
      <w:r>
        <w:rPr>
          <w:rFonts w:ascii="宋体" w:hAnsi="宋体"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仿宋_GB2312"/>
          <w:sz w:val="21"/>
          <w:szCs w:val="21"/>
        </w:rPr>
        <w:t>。</w:t>
      </w:r>
    </w:p>
    <w:p w14:paraId="5E3F8A28">
      <w:pPr>
        <w:adjustRightInd w:val="0"/>
        <w:snapToGrid w:val="0"/>
        <w:spacing w:line="288" w:lineRule="auto"/>
        <w:ind w:firstLine="398" w:firstLineChars="200"/>
        <w:rPr>
          <w:rFonts w:hint="eastAsia" w:ascii="宋体" w:hAnsi="宋体" w:eastAsia="宋体" w:cs="Times New Roman"/>
          <w:b/>
          <w:bCs/>
          <w:color w:val="FF0000"/>
          <w:spacing w:val="-6"/>
          <w:szCs w:val="21"/>
        </w:rPr>
      </w:pPr>
    </w:p>
    <w:p w14:paraId="46A40F5A">
      <w:pPr>
        <w:adjustRightInd w:val="0"/>
        <w:snapToGrid w:val="0"/>
        <w:spacing w:line="288" w:lineRule="auto"/>
        <w:ind w:firstLine="398" w:firstLineChars="200"/>
        <w:rPr>
          <w:rFonts w:hint="eastAsia" w:ascii="宋体" w:hAnsi="宋体" w:eastAsia="宋体" w:cs="Times New Roman"/>
          <w:b/>
          <w:bCs/>
          <w:spacing w:val="-6"/>
          <w:szCs w:val="21"/>
        </w:rPr>
      </w:pPr>
      <w:r>
        <w:rPr>
          <w:rFonts w:hint="eastAsia" w:ascii="宋体" w:hAnsi="宋体" w:eastAsia="宋体" w:cs="Times New Roman"/>
          <w:b/>
          <w:bCs/>
          <w:spacing w:val="-6"/>
          <w:szCs w:val="21"/>
        </w:rPr>
        <w:t>特别说明：如遇政府采购云平台电子化开标或评审程序调整的，按调整后程序执行。</w:t>
      </w:r>
    </w:p>
    <w:bookmarkEnd w:id="55"/>
    <w:p w14:paraId="1EEDBBFA">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br w:type="page"/>
      </w:r>
      <w:r>
        <w:rPr>
          <w:rFonts w:hint="eastAsia" w:ascii="宋体" w:hAnsi="宋体" w:eastAsia="宋体" w:cs="Times New Roman"/>
          <w:b/>
          <w:spacing w:val="-6"/>
          <w:szCs w:val="21"/>
        </w:rPr>
        <w:t>六、评  标</w:t>
      </w:r>
    </w:p>
    <w:p w14:paraId="215115DA">
      <w:pPr>
        <w:adjustRightInd w:val="0"/>
        <w:snapToGrid w:val="0"/>
        <w:spacing w:line="288" w:lineRule="auto"/>
        <w:ind w:firstLine="420" w:firstLineChars="200"/>
        <w:rPr>
          <w:rFonts w:hint="eastAsia" w:ascii="宋体" w:hAnsi="宋体" w:eastAsia="宋体" w:cs="宋体"/>
          <w:kern w:val="0"/>
          <w:szCs w:val="21"/>
        </w:rPr>
      </w:pPr>
      <w:bookmarkStart w:id="56" w:name="_Hlk94018958"/>
      <w:r>
        <w:rPr>
          <w:rFonts w:ascii="宋体" w:hAnsi="宋体" w:eastAsia="宋体" w:cs="宋体"/>
          <w:kern w:val="0"/>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3EC0103B">
      <w:pPr>
        <w:adjustRightInd w:val="0"/>
        <w:snapToGrid w:val="0"/>
        <w:spacing w:line="288" w:lineRule="auto"/>
        <w:ind w:firstLine="420" w:firstLineChars="200"/>
        <w:rPr>
          <w:rFonts w:hint="eastAsia" w:ascii="宋体" w:hAnsi="宋体" w:eastAsia="宋体" w:cs="宋体"/>
          <w:kern w:val="0"/>
          <w:szCs w:val="21"/>
        </w:rPr>
      </w:pPr>
      <w:r>
        <w:rPr>
          <w:rFonts w:ascii="宋体" w:hAnsi="宋体" w:eastAsia="宋体" w:cs="宋体"/>
          <w:kern w:val="0"/>
          <w:szCs w:val="21"/>
        </w:rPr>
        <w:t>评标中因评标委员会成员缺席、回避或者健康等特殊原因导致评标委员会组成不符合规定的，依法补足后继续评标。被更换的评标委员会成员所作出的评标意见无效。</w:t>
      </w:r>
    </w:p>
    <w:bookmarkEnd w:id="56"/>
    <w:p w14:paraId="693B7E93">
      <w:pPr>
        <w:adjustRightInd w:val="0"/>
        <w:snapToGrid w:val="0"/>
        <w:spacing w:line="288" w:lineRule="auto"/>
        <w:ind w:firstLine="426" w:firstLineChars="202"/>
        <w:rPr>
          <w:rFonts w:hint="eastAsia" w:ascii="宋体" w:hAnsi="宋体" w:eastAsia="宋体" w:cs="Arial"/>
          <w:b/>
          <w:kern w:val="0"/>
          <w:szCs w:val="21"/>
        </w:rPr>
      </w:pPr>
      <w:bookmarkStart w:id="57" w:name="_Hlk94019000"/>
      <w:r>
        <w:rPr>
          <w:rFonts w:hint="eastAsia" w:ascii="宋体" w:hAnsi="宋体" w:eastAsia="宋体" w:cs="Arial"/>
          <w:b/>
          <w:kern w:val="0"/>
          <w:szCs w:val="21"/>
        </w:rPr>
        <w:t>（一）</w:t>
      </w:r>
      <w:r>
        <w:rPr>
          <w:rFonts w:ascii="宋体" w:hAnsi="宋体" w:eastAsia="宋体" w:cs="Arial"/>
          <w:b/>
          <w:kern w:val="0"/>
          <w:szCs w:val="21"/>
        </w:rPr>
        <w:t>符合性审查</w:t>
      </w:r>
    </w:p>
    <w:p w14:paraId="2A73B0C2">
      <w:pPr>
        <w:adjustRightInd w:val="0"/>
        <w:snapToGrid w:val="0"/>
        <w:spacing w:line="288" w:lineRule="auto"/>
        <w:ind w:firstLine="424" w:firstLineChars="202"/>
        <w:rPr>
          <w:rFonts w:hint="eastAsia" w:ascii="宋体" w:hAnsi="宋体" w:eastAsia="宋体" w:cs="Arial"/>
          <w:kern w:val="0"/>
          <w:szCs w:val="21"/>
        </w:rPr>
      </w:pPr>
      <w:r>
        <w:rPr>
          <w:rFonts w:ascii="宋体" w:hAnsi="宋体" w:eastAsia="宋体" w:cs="Arial"/>
          <w:kern w:val="0"/>
          <w:szCs w:val="21"/>
        </w:rPr>
        <w:t>评标委员会对符合资格的投标人的投标文件进行符合性审查，以确定其是否满足招标文件的实质性要求。</w:t>
      </w:r>
      <w:r>
        <w:rPr>
          <w:rFonts w:hint="eastAsia" w:ascii="宋体" w:hAnsi="宋体" w:eastAsia="宋体" w:cs="Arial"/>
          <w:kern w:val="0"/>
          <w:szCs w:val="21"/>
        </w:rPr>
        <w:t>不</w:t>
      </w:r>
      <w:r>
        <w:rPr>
          <w:rFonts w:ascii="宋体" w:hAnsi="宋体" w:eastAsia="宋体" w:cs="Arial"/>
          <w:kern w:val="0"/>
          <w:szCs w:val="21"/>
        </w:rPr>
        <w:t>满足招标文件的实质性要求</w:t>
      </w:r>
      <w:r>
        <w:rPr>
          <w:rFonts w:hint="eastAsia" w:ascii="宋体" w:hAnsi="宋体" w:eastAsia="宋体" w:cs="Arial"/>
          <w:kern w:val="0"/>
          <w:szCs w:val="21"/>
        </w:rPr>
        <w:t>的，投标无效。</w:t>
      </w:r>
    </w:p>
    <w:p w14:paraId="3350D6C6">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（二）比较与评价</w:t>
      </w:r>
    </w:p>
    <w:p w14:paraId="3F4C2AAB">
      <w:pPr>
        <w:adjustRightInd w:val="0"/>
        <w:snapToGrid w:val="0"/>
        <w:spacing w:line="288" w:lineRule="auto"/>
        <w:ind w:firstLine="424" w:firstLineChars="202"/>
        <w:rPr>
          <w:rFonts w:hint="eastAsia" w:ascii="宋体" w:hAnsi="宋体" w:eastAsia="宋体" w:cs="Arial"/>
          <w:kern w:val="0"/>
          <w:szCs w:val="21"/>
        </w:rPr>
      </w:pPr>
      <w:r>
        <w:rPr>
          <w:rFonts w:ascii="宋体" w:hAnsi="宋体" w:eastAsia="宋体" w:cs="Arial"/>
          <w:kern w:val="0"/>
          <w:szCs w:val="21"/>
        </w:rPr>
        <w:t>评标委员会按照招标文件中规定的评标方法和标准，对符合性审查合格的投标文件进行商务和技术评估，综合比较与评价。</w:t>
      </w:r>
    </w:p>
    <w:p w14:paraId="680DB98F">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7194A22D">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（三）</w:t>
      </w:r>
      <w:r>
        <w:rPr>
          <w:rFonts w:ascii="宋体" w:hAnsi="宋体" w:eastAsia="宋体" w:cs="Arial"/>
          <w:b/>
          <w:kern w:val="0"/>
          <w:szCs w:val="21"/>
        </w:rPr>
        <w:t>汇总商务技术得分</w:t>
      </w:r>
    </w:p>
    <w:p w14:paraId="6E1E8285">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评标委员会各成员独立对每个投标人的商务和技术文件进行评价，并汇总商务技术得分情况。</w:t>
      </w:r>
    </w:p>
    <w:p w14:paraId="238210FE">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（四）</w:t>
      </w:r>
      <w:r>
        <w:rPr>
          <w:rFonts w:ascii="宋体" w:hAnsi="宋体" w:eastAsia="宋体" w:cs="Arial"/>
          <w:b/>
          <w:kern w:val="0"/>
          <w:szCs w:val="21"/>
        </w:rPr>
        <w:t>报价评审</w:t>
      </w:r>
    </w:p>
    <w:p w14:paraId="4FD2B0AC">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政府采购云平台上传的电子投标（响应）文件报价与政府采购云平台录入报价不一致的，以上传的电子投标（响应）文件报价为准。</w:t>
      </w:r>
    </w:p>
    <w:p w14:paraId="60D08C80">
      <w:pPr>
        <w:adjustRightInd w:val="0"/>
        <w:snapToGrid w:val="0"/>
        <w:spacing w:line="288" w:lineRule="auto"/>
        <w:ind w:firstLine="426" w:firstLineChars="202"/>
        <w:rPr>
          <w:rFonts w:hint="eastAsia" w:ascii="宋体" w:hAnsi="宋体" w:eastAsia="宋体" w:cs="Arial"/>
          <w:b/>
          <w:kern w:val="0"/>
          <w:szCs w:val="21"/>
        </w:rPr>
      </w:pPr>
      <w:r>
        <w:rPr>
          <w:rFonts w:ascii="宋体" w:hAnsi="宋体" w:eastAsia="宋体" w:cs="Arial"/>
          <w:b/>
          <w:kern w:val="0"/>
          <w:szCs w:val="21"/>
        </w:rPr>
        <w:t>投标文件报价出现前后不一致的，按照下列规定修正：</w:t>
      </w:r>
    </w:p>
    <w:p w14:paraId="3BAAF86C">
      <w:pPr>
        <w:pStyle w:val="98"/>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投标文件中开标一览表(报价表)内容与投标文件中相应内容不一致的，以开标一览表(报价表)为准；</w:t>
      </w:r>
    </w:p>
    <w:p w14:paraId="29090C9F">
      <w:pPr>
        <w:pStyle w:val="98"/>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大写金额和小写金额不一致的，以大写金额为准；</w:t>
      </w:r>
    </w:p>
    <w:p w14:paraId="5B35EAE1">
      <w:pPr>
        <w:pStyle w:val="98"/>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单价金额小数点或者百分比有明显错位的，以开标一览表的总价为准，并修改单价；</w:t>
      </w:r>
    </w:p>
    <w:p w14:paraId="3E809FA4">
      <w:pPr>
        <w:pStyle w:val="98"/>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总价金额与按单价汇总金额不一致的，以单价金额计算结果为准。</w:t>
      </w:r>
    </w:p>
    <w:p w14:paraId="6779319D">
      <w:pPr>
        <w:pStyle w:val="98"/>
        <w:adjustRightInd w:val="0"/>
        <w:snapToGrid w:val="0"/>
        <w:spacing w:before="0" w:line="288" w:lineRule="auto"/>
        <w:ind w:firstLine="424" w:firstLineChars="202"/>
        <w:rPr>
          <w:rFonts w:hint="eastAsia" w:ascii="宋体" w:hAnsi="宋体" w:cs="仿宋"/>
          <w:kern w:val="0"/>
          <w:sz w:val="21"/>
          <w:szCs w:val="21"/>
        </w:rPr>
      </w:pPr>
      <w:r>
        <w:rPr>
          <w:rFonts w:hint="eastAsia" w:ascii="宋体" w:hAnsi="宋体" w:cs="仿宋"/>
          <w:kern w:val="0"/>
          <w:sz w:val="21"/>
          <w:szCs w:val="21"/>
        </w:rPr>
        <w:t>同时出现两种以上不一致的，按照前款规定的顺序修正。修正后的报价按照财政部第</w:t>
      </w:r>
      <w:r>
        <w:rPr>
          <w:rFonts w:ascii="宋体" w:hAnsi="宋体" w:cs="仿宋"/>
          <w:kern w:val="0"/>
          <w:sz w:val="21"/>
          <w:szCs w:val="21"/>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2F71487A">
      <w:pPr>
        <w:pStyle w:val="98"/>
        <w:adjustRightInd w:val="0"/>
        <w:snapToGrid w:val="0"/>
        <w:spacing w:before="0" w:line="288" w:lineRule="auto"/>
        <w:ind w:firstLine="424" w:firstLineChars="202"/>
        <w:rPr>
          <w:rFonts w:hint="eastAsia" w:ascii="宋体" w:hAnsi="宋体" w:cs="仿宋"/>
          <w:kern w:val="0"/>
          <w:sz w:val="21"/>
          <w:szCs w:val="21"/>
        </w:rPr>
      </w:pPr>
      <w:r>
        <w:rPr>
          <w:rFonts w:hint="eastAsia" w:ascii="宋体" w:hAnsi="宋体" w:cs="仿宋"/>
          <w:kern w:val="0"/>
          <w:sz w:val="21"/>
          <w:szCs w:val="21"/>
        </w:rPr>
        <w:t>投标人收到修正确认文件后，在规定时间内未做出回复的，视为不确认。</w:t>
      </w:r>
    </w:p>
    <w:p w14:paraId="27F62E23">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（五）投标人澄清、说明或者补正</w:t>
      </w:r>
    </w:p>
    <w:p w14:paraId="2A54C8F0">
      <w:pPr>
        <w:pStyle w:val="98"/>
        <w:adjustRightInd w:val="0"/>
        <w:snapToGrid w:val="0"/>
        <w:spacing w:before="0" w:line="288" w:lineRule="auto"/>
        <w:ind w:firstLine="424" w:firstLineChars="202"/>
        <w:rPr>
          <w:rFonts w:hint="eastAsia" w:ascii="宋体" w:hAnsi="宋体" w:cs="Arial"/>
          <w:kern w:val="0"/>
          <w:sz w:val="21"/>
          <w:szCs w:val="21"/>
        </w:rPr>
      </w:pPr>
      <w:r>
        <w:rPr>
          <w:rFonts w:hint="eastAsia" w:ascii="宋体" w:hAnsi="宋体" w:cs="Arial"/>
          <w:kern w:val="0"/>
          <w:sz w:val="21"/>
          <w:szCs w:val="21"/>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1AD58F6">
      <w:pPr>
        <w:adjustRightInd w:val="0"/>
        <w:snapToGrid w:val="0"/>
        <w:spacing w:line="288"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投标人的书面澄清、说明或者补正无法通过政府采购云平台上传的，可在规定时间内（不少于半小时）通过指定的电子邮箱（zb03@qszb.net</w:t>
      </w:r>
      <w:r>
        <w:rPr>
          <w:rFonts w:ascii="宋体" w:hAnsi="宋体" w:eastAsia="宋体" w:cs="宋体"/>
          <w:kern w:val="0"/>
          <w:szCs w:val="21"/>
        </w:rPr>
        <w:t>）或传真号码（0571-87666116）提交。</w:t>
      </w:r>
    </w:p>
    <w:p w14:paraId="423A8A91">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（六）排序与推荐</w:t>
      </w:r>
    </w:p>
    <w:p w14:paraId="5AE2B52A">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评标方法：本项目评标方法是综合评分法，具体评标方法和评标标准详见“第四章：评标方法和评标标准”。</w:t>
      </w:r>
    </w:p>
    <w:p w14:paraId="464CF9F4">
      <w:pPr>
        <w:adjustRightInd w:val="0"/>
        <w:snapToGrid w:val="0"/>
        <w:spacing w:line="288" w:lineRule="auto"/>
        <w:ind w:firstLine="424" w:firstLineChars="202"/>
        <w:rPr>
          <w:rFonts w:hint="eastAsia" w:ascii="宋体" w:hAnsi="宋体" w:eastAsia="宋体" w:cs="Times New Roman"/>
          <w:bCs/>
          <w:spacing w:val="-6"/>
          <w:szCs w:val="21"/>
        </w:rPr>
      </w:pPr>
      <w:r>
        <w:rPr>
          <w:rFonts w:ascii="宋体" w:hAnsi="宋体" w:eastAsia="宋体" w:cs="Arial"/>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Arial"/>
          <w:kern w:val="0"/>
          <w:szCs w:val="21"/>
        </w:rPr>
        <w:t>。本项目推荐</w:t>
      </w:r>
      <w:r>
        <w:rPr>
          <w:rFonts w:ascii="宋体" w:hAnsi="宋体" w:eastAsia="宋体" w:cs="Arial"/>
          <w:kern w:val="0"/>
          <w:szCs w:val="21"/>
        </w:rPr>
        <w:t>1</w:t>
      </w:r>
      <w:r>
        <w:rPr>
          <w:rFonts w:hint="eastAsia" w:ascii="宋体" w:hAnsi="宋体" w:eastAsia="宋体" w:cs="Arial"/>
          <w:kern w:val="0"/>
          <w:szCs w:val="21"/>
        </w:rPr>
        <w:t>名中标候选人。</w:t>
      </w:r>
    </w:p>
    <w:p w14:paraId="121DDC7C">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1EA04888">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非单一产品采购项目，采购人应当根据采购项目技术构成、产品价格比重等合理确定核心产品，并在招标文件中载明。多家投标人提供的核心产品品牌相同的，按前款规定处理。</w:t>
      </w:r>
    </w:p>
    <w:p w14:paraId="060B47D3">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（七）</w:t>
      </w:r>
      <w:r>
        <w:rPr>
          <w:rFonts w:ascii="宋体" w:hAnsi="宋体" w:eastAsia="宋体" w:cs="Arial"/>
          <w:b/>
          <w:kern w:val="0"/>
          <w:szCs w:val="21"/>
        </w:rPr>
        <w:t>编写评标报告</w:t>
      </w:r>
    </w:p>
    <w:p w14:paraId="79CF28E3">
      <w:pPr>
        <w:adjustRightInd w:val="0"/>
        <w:snapToGrid w:val="0"/>
        <w:spacing w:line="288" w:lineRule="auto"/>
        <w:ind w:firstLine="424" w:firstLineChars="202"/>
        <w:rPr>
          <w:rFonts w:hint="eastAsia" w:ascii="宋体" w:hAnsi="宋体" w:eastAsia="宋体" w:cs="Arial"/>
          <w:kern w:val="0"/>
          <w:szCs w:val="21"/>
        </w:rPr>
      </w:pPr>
      <w:r>
        <w:rPr>
          <w:rFonts w:ascii="宋体" w:hAnsi="宋体" w:eastAsia="宋体" w:cs="Arial"/>
          <w:kern w:val="0"/>
          <w:szCs w:val="21"/>
        </w:rPr>
        <w:t>评标委员会根据全体评标成员签名的原始评标记录和评标结果编写评标报告。</w:t>
      </w:r>
      <w:r>
        <w:rPr>
          <w:rFonts w:hint="eastAsia" w:ascii="宋体" w:hAnsi="宋体" w:eastAsia="宋体" w:cs="Arial"/>
          <w:kern w:val="0"/>
          <w:szCs w:val="21"/>
        </w:rPr>
        <w:t>评标委员会成员对需要共同认定的事项存在争议的，应当按照少数服从多数的原则作出结论。持不同意见的评标委员会成员应当在评标报告上签署不同意见及理由，否则视为同意评标报告。</w:t>
      </w:r>
    </w:p>
    <w:bookmarkEnd w:id="57"/>
    <w:p w14:paraId="1B60985C">
      <w:pPr>
        <w:widowControl/>
        <w:adjustRightInd w:val="0"/>
        <w:snapToGrid w:val="0"/>
        <w:spacing w:line="288" w:lineRule="auto"/>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63C1B9B1">
      <w:pPr>
        <w:adjustRightInd w:val="0"/>
        <w:snapToGrid w:val="0"/>
        <w:spacing w:line="288" w:lineRule="auto"/>
        <w:jc w:val="center"/>
        <w:outlineLvl w:val="1"/>
        <w:rPr>
          <w:rFonts w:hint="eastAsia" w:ascii="宋体" w:hAnsi="宋体" w:eastAsia="宋体" w:cs="Times New Roman"/>
          <w:b/>
          <w:spacing w:val="-6"/>
          <w:szCs w:val="21"/>
        </w:rPr>
      </w:pPr>
      <w:r>
        <w:rPr>
          <w:rFonts w:hint="eastAsia" w:ascii="宋体" w:hAnsi="宋体" w:eastAsia="宋体" w:cs="Times New Roman"/>
          <w:b/>
          <w:spacing w:val="-6"/>
          <w:szCs w:val="21"/>
        </w:rPr>
        <w:t>七、中标与合同</w:t>
      </w:r>
    </w:p>
    <w:p w14:paraId="19FDA4F4">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（一）中标</w:t>
      </w:r>
    </w:p>
    <w:p w14:paraId="32ADDC7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1.采购代理机构应当在评标结束后</w:t>
      </w:r>
      <w:r>
        <w:rPr>
          <w:rFonts w:ascii="宋体" w:hAnsi="宋体" w:eastAsia="宋体" w:cs="Times New Roman"/>
          <w:spacing w:val="-6"/>
          <w:szCs w:val="21"/>
        </w:rPr>
        <w:t>2个工作日内将评标报告送采购人。</w:t>
      </w:r>
      <w:r>
        <w:rPr>
          <w:rFonts w:hint="eastAsia" w:ascii="宋体" w:hAnsi="宋体" w:eastAsia="宋体" w:cs="Times New Roman"/>
          <w:spacing w:val="-6"/>
          <w:szCs w:val="21"/>
        </w:rPr>
        <w:t>采购人应当自收到评标报告之日起</w:t>
      </w:r>
      <w:r>
        <w:rPr>
          <w:rFonts w:ascii="宋体" w:hAnsi="宋体" w:eastAsia="宋体" w:cs="Times New Roman"/>
          <w:spacing w:val="-6"/>
          <w:szCs w:val="21"/>
        </w:rPr>
        <w:t>5个工作日内，在评标报告确定的中标候选人名单中按顺序确定中标人</w:t>
      </w:r>
      <w:r>
        <w:rPr>
          <w:rFonts w:hint="eastAsia" w:ascii="宋体" w:hAnsi="宋体" w:eastAsia="宋体" w:cs="Times New Roman"/>
          <w:spacing w:val="-6"/>
          <w:szCs w:val="21"/>
        </w:rPr>
        <w:t>，也可以书面授权评标委员会直接确定中标人。</w:t>
      </w:r>
    </w:p>
    <w:p w14:paraId="52EF8112">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2.采购代理机构自中标人确定之日起</w:t>
      </w:r>
      <w:r>
        <w:rPr>
          <w:rFonts w:ascii="宋体" w:hAnsi="宋体" w:eastAsia="宋体" w:cs="Times New Roman"/>
          <w:spacing w:val="-6"/>
          <w:szCs w:val="21"/>
        </w:rPr>
        <w:t>2</w:t>
      </w:r>
      <w:r>
        <w:rPr>
          <w:rFonts w:hint="eastAsia" w:ascii="宋体" w:hAnsi="宋体" w:eastAsia="宋体" w:cs="Times New Roman"/>
          <w:spacing w:val="-6"/>
          <w:szCs w:val="21"/>
        </w:rPr>
        <w:t>个工作日内，公告中标结果，并发出中标通知书。</w:t>
      </w:r>
    </w:p>
    <w:p w14:paraId="4937601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zCs w:val="21"/>
        </w:rPr>
        <w:t>评标结果公示媒体：浙江政府采购网（http://zfcg.czt.zj.gov.cn）。</w:t>
      </w:r>
    </w:p>
    <w:p w14:paraId="6C6E0FF2">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（二）合同</w:t>
      </w:r>
    </w:p>
    <w:p w14:paraId="55669C9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C92396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70B1EC00">
      <w:pPr>
        <w:adjustRightInd w:val="0"/>
        <w:snapToGrid w:val="0"/>
        <w:spacing w:line="288" w:lineRule="auto"/>
        <w:ind w:firstLine="396" w:firstLineChars="200"/>
        <w:rPr>
          <w:rFonts w:hint="eastAsia" w:ascii="宋体" w:hAnsi="宋体" w:eastAsia="宋体" w:cs="Times New Roman"/>
          <w:spacing w:val="-6"/>
          <w:szCs w:val="21"/>
        </w:rPr>
      </w:pPr>
    </w:p>
    <w:p w14:paraId="74B7C14B">
      <w:pPr>
        <w:adjustRightInd w:val="0"/>
        <w:snapToGrid w:val="0"/>
        <w:spacing w:line="288" w:lineRule="auto"/>
        <w:jc w:val="center"/>
        <w:outlineLvl w:val="1"/>
        <w:rPr>
          <w:rFonts w:hint="eastAsia" w:ascii="宋体" w:hAnsi="宋体" w:eastAsia="宋体" w:cs="Times New Roman"/>
          <w:b/>
          <w:spacing w:val="-6"/>
          <w:szCs w:val="21"/>
        </w:rPr>
      </w:pPr>
      <w:r>
        <w:rPr>
          <w:rFonts w:hint="eastAsia" w:ascii="宋体" w:hAnsi="宋体" w:eastAsia="宋体" w:cs="Times New Roman"/>
          <w:b/>
          <w:spacing w:val="-6"/>
          <w:szCs w:val="21"/>
        </w:rPr>
        <w:t>八、</w:t>
      </w:r>
      <w:r>
        <w:rPr>
          <w:rFonts w:ascii="宋体" w:hAnsi="宋体" w:eastAsia="宋体" w:cs="Times New Roman"/>
          <w:b/>
          <w:spacing w:val="-6"/>
          <w:szCs w:val="21"/>
        </w:rPr>
        <w:t>验</w:t>
      </w:r>
      <w:r>
        <w:rPr>
          <w:rFonts w:hint="eastAsia" w:ascii="宋体" w:hAnsi="宋体" w:eastAsia="宋体" w:cs="Times New Roman"/>
          <w:b/>
          <w:spacing w:val="-6"/>
          <w:szCs w:val="21"/>
        </w:rPr>
        <w:t xml:space="preserve"> </w:t>
      </w:r>
      <w:r>
        <w:rPr>
          <w:rFonts w:ascii="宋体" w:hAnsi="宋体" w:eastAsia="宋体" w:cs="Times New Roman"/>
          <w:b/>
          <w:spacing w:val="-6"/>
          <w:szCs w:val="21"/>
        </w:rPr>
        <w:t xml:space="preserve"> 收</w:t>
      </w:r>
    </w:p>
    <w:p w14:paraId="487F5FD8">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598CB636">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采购人可以邀请参加本项目的其他投标人或者第三方机构参与验收。参与验收的投标人或者第三方机构的意见作为</w:t>
      </w:r>
      <w:r>
        <w:rPr>
          <w:rFonts w:hint="eastAsia" w:ascii="宋体" w:hAnsi="宋体" w:eastAsia="宋体" w:cs="Helvetica"/>
          <w:kern w:val="0"/>
          <w:szCs w:val="21"/>
        </w:rPr>
        <w:t>验收书的参考资料一并存档。</w:t>
      </w:r>
    </w:p>
    <w:p w14:paraId="0637202B">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D9D057">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E1A4E5B">
      <w:pPr>
        <w:tabs>
          <w:tab w:val="left" w:pos="0"/>
        </w:tabs>
        <w:adjustRightInd w:val="0"/>
        <w:snapToGrid w:val="0"/>
        <w:spacing w:line="288" w:lineRule="auto"/>
        <w:ind w:firstLine="400" w:firstLineChars="201"/>
        <w:rPr>
          <w:rFonts w:hint="eastAsia" w:ascii="宋体" w:hAnsi="宋体" w:eastAsia="宋体" w:cs="Times New Roman"/>
          <w:b/>
          <w:spacing w:val="-6"/>
          <w:szCs w:val="21"/>
        </w:rPr>
      </w:pPr>
    </w:p>
    <w:p w14:paraId="123CCE1B">
      <w:pPr>
        <w:adjustRightInd w:val="0"/>
        <w:snapToGrid w:val="0"/>
        <w:spacing w:line="288" w:lineRule="auto"/>
        <w:ind w:firstLine="398" w:firstLineChars="200"/>
        <w:jc w:val="center"/>
        <w:outlineLvl w:val="1"/>
        <w:rPr>
          <w:rFonts w:hint="eastAsia" w:ascii="宋体" w:hAnsi="宋体" w:eastAsia="宋体" w:cs="Times New Roman"/>
          <w:szCs w:val="21"/>
        </w:rPr>
      </w:pPr>
      <w:r>
        <w:rPr>
          <w:rFonts w:hint="eastAsia" w:ascii="宋体" w:hAnsi="宋体" w:eastAsia="宋体" w:cs="Times New Roman"/>
          <w:b/>
          <w:spacing w:val="-6"/>
          <w:szCs w:val="21"/>
        </w:rPr>
        <w:t>九、可中止电子交易活动的情形</w:t>
      </w:r>
    </w:p>
    <w:p w14:paraId="41BB9B8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采购过程中出现以下情形，导致电子交易平台无法正常运行，或者无法保证电子交易的公平、公正和安全时，采购代理机构可中止电子交易活动：</w:t>
      </w:r>
    </w:p>
    <w:p w14:paraId="5549787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1.电子交易平台发生故障而无法登录访问的；</w:t>
      </w:r>
    </w:p>
    <w:p w14:paraId="7E9EFD1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2.电子交易平台应用或数据库出现错误，不能进行正常操作的；</w:t>
      </w:r>
    </w:p>
    <w:p w14:paraId="34612EDB">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3.电子交易平台发现严重安全漏洞，有潜在泄密危险的；</w:t>
      </w:r>
    </w:p>
    <w:p w14:paraId="0F4F620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4.病毒发作导致不能进行正常操作的；</w:t>
      </w:r>
    </w:p>
    <w:p w14:paraId="736F56B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5.其他无法保证电子交易的公平、公正和安全的情况。</w:t>
      </w:r>
    </w:p>
    <w:p w14:paraId="115DA317">
      <w:pPr>
        <w:adjustRightInd w:val="0"/>
        <w:snapToGrid w:val="0"/>
        <w:spacing w:line="288" w:lineRule="auto"/>
        <w:ind w:firstLine="396" w:firstLineChars="200"/>
        <w:rPr>
          <w:rFonts w:hint="eastAsia" w:ascii="宋体" w:hAnsi="宋体" w:eastAsia="宋体"/>
          <w:szCs w:val="21"/>
        </w:rPr>
      </w:pPr>
      <w:r>
        <w:rPr>
          <w:rFonts w:hint="eastAsia" w:ascii="宋体" w:hAnsi="宋体" w:eastAsia="宋体" w:cs="Times New Roman"/>
          <w:spacing w:val="-6"/>
          <w:szCs w:val="21"/>
        </w:rPr>
        <w:t>出现前款规定情形，不影响采购公平、公正性的，采购代理机构可以待上述情形消除后继续组织电子交易活动；影响或可能影响采购公平、公正性的，应当重新采购。</w:t>
      </w:r>
    </w:p>
    <w:p w14:paraId="5046544A">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br w:type="page"/>
      </w:r>
    </w:p>
    <w:p w14:paraId="351C77CB">
      <w:pPr>
        <w:adjustRightInd w:val="0"/>
        <w:snapToGrid w:val="0"/>
        <w:spacing w:line="288" w:lineRule="auto"/>
        <w:jc w:val="center"/>
        <w:outlineLvl w:val="0"/>
        <w:rPr>
          <w:rFonts w:hint="eastAsia" w:ascii="宋体" w:hAnsi="宋体" w:eastAsia="宋体" w:cs="Times New Roman"/>
          <w:b/>
          <w:spacing w:val="-6"/>
          <w:sz w:val="32"/>
          <w:szCs w:val="32"/>
        </w:rPr>
      </w:pPr>
      <w:r>
        <w:rPr>
          <w:rFonts w:hint="eastAsia" w:ascii="宋体" w:hAnsi="宋体" w:eastAsia="宋体" w:cs="Times New Roman"/>
          <w:b/>
          <w:sz w:val="32"/>
          <w:szCs w:val="32"/>
        </w:rPr>
        <w:t>第四章  评标方法和评标标准</w:t>
      </w:r>
    </w:p>
    <w:p w14:paraId="202C8994">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一、评标方法</w:t>
      </w:r>
    </w:p>
    <w:p w14:paraId="67A6BCA5">
      <w:pPr>
        <w:adjustRightInd w:val="0"/>
        <w:snapToGrid w:val="0"/>
        <w:spacing w:line="288" w:lineRule="auto"/>
        <w:ind w:firstLine="396" w:firstLineChars="200"/>
        <w:rPr>
          <w:rFonts w:hint="eastAsia" w:ascii="宋体" w:hAnsi="宋体" w:eastAsia="宋体" w:cs="Times New Roman"/>
          <w:bCs/>
          <w:spacing w:val="-6"/>
          <w:szCs w:val="21"/>
        </w:rPr>
      </w:pPr>
      <w:r>
        <w:rPr>
          <w:rFonts w:hint="eastAsia" w:ascii="宋体" w:hAnsi="宋体" w:eastAsia="宋体" w:cs="Times New Roman"/>
          <w:bCs/>
          <w:spacing w:val="-6"/>
          <w:szCs w:val="21"/>
        </w:rPr>
        <w:t>本次评标采用综合评分法，总分为100分。评分过程中采用四舍五入法，并保留小数2位。</w:t>
      </w:r>
    </w:p>
    <w:p w14:paraId="029FE388">
      <w:pPr>
        <w:adjustRightInd w:val="0"/>
        <w:snapToGrid w:val="0"/>
        <w:spacing w:line="288" w:lineRule="auto"/>
        <w:ind w:firstLine="396" w:firstLineChars="200"/>
        <w:rPr>
          <w:rFonts w:hint="eastAsia" w:ascii="宋体" w:hAnsi="宋体" w:eastAsia="宋体" w:cs="Times New Roman"/>
          <w:bCs/>
          <w:spacing w:val="-6"/>
          <w:szCs w:val="21"/>
        </w:rPr>
      </w:pPr>
      <w:r>
        <w:rPr>
          <w:rFonts w:hint="eastAsia" w:ascii="宋体" w:hAnsi="宋体" w:eastAsia="宋体" w:cs="Times New Roman"/>
          <w:spacing w:val="-6"/>
          <w:szCs w:val="21"/>
        </w:rPr>
        <w:t>投标人评标</w:t>
      </w:r>
      <w:r>
        <w:rPr>
          <w:rFonts w:hint="eastAsia" w:ascii="宋体" w:hAnsi="宋体" w:eastAsia="宋体" w:cs="Times New Roman"/>
          <w:bCs/>
          <w:spacing w:val="-6"/>
          <w:szCs w:val="21"/>
        </w:rPr>
        <w:t>综合得分=商务分+技术分+价格分</w:t>
      </w:r>
    </w:p>
    <w:p w14:paraId="4AE886D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bCs/>
          <w:spacing w:val="-6"/>
          <w:szCs w:val="21"/>
        </w:rPr>
        <w:t>商务和技术分按照评标委员会成员的独立评分结果的算术平均分计算，计算公式为：商务分</w:t>
      </w:r>
      <w:r>
        <w:rPr>
          <w:rFonts w:ascii="宋体" w:hAnsi="宋体" w:eastAsia="宋体" w:cs="Times New Roman"/>
          <w:bCs/>
          <w:spacing w:val="-6"/>
          <w:szCs w:val="21"/>
        </w:rPr>
        <w:t>、</w:t>
      </w:r>
      <w:r>
        <w:rPr>
          <w:rFonts w:hint="eastAsia" w:ascii="宋体" w:hAnsi="宋体" w:eastAsia="宋体" w:cs="Times New Roman"/>
          <w:bCs/>
          <w:spacing w:val="-6"/>
          <w:szCs w:val="21"/>
        </w:rPr>
        <w:t>技术分=评标委员会所有成员评分合计数</w:t>
      </w:r>
      <w:r>
        <w:rPr>
          <w:rFonts w:ascii="宋体" w:hAnsi="宋体" w:eastAsia="宋体" w:cs="Times New Roman"/>
          <w:bCs/>
          <w:spacing w:val="-6"/>
          <w:szCs w:val="21"/>
        </w:rPr>
        <w:t>/</w:t>
      </w:r>
      <w:r>
        <w:rPr>
          <w:rFonts w:hint="eastAsia" w:ascii="宋体" w:hAnsi="宋体" w:eastAsia="宋体" w:cs="Times New Roman"/>
          <w:bCs/>
          <w:spacing w:val="-6"/>
          <w:szCs w:val="21"/>
        </w:rPr>
        <w:t>评标委员会组成人员数</w:t>
      </w:r>
    </w:p>
    <w:p w14:paraId="558A9771">
      <w:pPr>
        <w:numPr>
          <w:ilvl w:val="0"/>
          <w:numId w:val="7"/>
        </w:num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评标标准</w:t>
      </w:r>
    </w:p>
    <w:p w14:paraId="40E09BA6">
      <w:pPr>
        <w:adjustRightInd w:val="0"/>
        <w:snapToGrid w:val="0"/>
        <w:spacing w:line="288" w:lineRule="auto"/>
        <w:outlineLvl w:val="2"/>
        <w:rPr>
          <w:rFonts w:hint="eastAsia" w:ascii="宋体" w:hAnsi="宋体" w:eastAsia="宋体" w:cs="Times New Roman"/>
          <w:b/>
          <w:spacing w:val="-6"/>
          <w:szCs w:val="21"/>
        </w:rPr>
      </w:pPr>
      <w:r>
        <w:rPr>
          <w:rFonts w:hint="eastAsia" w:ascii="宋体" w:hAnsi="宋体" w:eastAsia="宋体" w:cs="Times New Roman"/>
          <w:b/>
          <w:spacing w:val="-6"/>
          <w:szCs w:val="21"/>
        </w:rPr>
        <w:t>标项一：</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6F0E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03C001BB">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评审因素</w:t>
            </w:r>
          </w:p>
        </w:tc>
        <w:tc>
          <w:tcPr>
            <w:tcW w:w="654" w:type="dxa"/>
            <w:vAlign w:val="center"/>
          </w:tcPr>
          <w:p w14:paraId="780F0EE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分值</w:t>
            </w:r>
          </w:p>
        </w:tc>
        <w:tc>
          <w:tcPr>
            <w:tcW w:w="7072" w:type="dxa"/>
            <w:vAlign w:val="center"/>
          </w:tcPr>
          <w:p w14:paraId="74BC18B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评分标准</w:t>
            </w:r>
          </w:p>
        </w:tc>
      </w:tr>
      <w:tr w14:paraId="5605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12BC1F32">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b/>
                <w:bCs/>
                <w:szCs w:val="21"/>
              </w:rPr>
              <w:t>价格分</w:t>
            </w:r>
          </w:p>
        </w:tc>
      </w:tr>
      <w:tr w14:paraId="40CC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291697B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62C7E1E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30</w:t>
            </w:r>
          </w:p>
        </w:tc>
        <w:tc>
          <w:tcPr>
            <w:tcW w:w="7072" w:type="dxa"/>
            <w:tcBorders>
              <w:top w:val="single" w:color="auto" w:sz="4" w:space="0"/>
              <w:left w:val="single" w:color="auto" w:sz="4" w:space="0"/>
              <w:bottom w:val="single" w:color="auto" w:sz="4" w:space="0"/>
              <w:right w:val="single" w:color="auto" w:sz="4" w:space="0"/>
            </w:tcBorders>
            <w:vAlign w:val="center"/>
          </w:tcPr>
          <w:p w14:paraId="29318C18">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14:paraId="6CD84B4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价格分=（评标基准价/投标报价）×30%×100</w:t>
            </w:r>
          </w:p>
        </w:tc>
      </w:tr>
      <w:tr w14:paraId="568B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71409B1C">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b/>
                <w:bCs/>
                <w:szCs w:val="21"/>
              </w:rPr>
              <w:t>商务分</w:t>
            </w:r>
          </w:p>
        </w:tc>
      </w:tr>
      <w:tr w14:paraId="5887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3ECFCA2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质保期</w:t>
            </w:r>
          </w:p>
        </w:tc>
        <w:tc>
          <w:tcPr>
            <w:tcW w:w="654" w:type="dxa"/>
            <w:vAlign w:val="center"/>
          </w:tcPr>
          <w:p w14:paraId="448A93A8">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134F5FF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67202DBC">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满足招标文件最低要求基础上每延长1年得0.5分（最高1分），延长时间不足1年不计入得分。</w:t>
            </w:r>
          </w:p>
        </w:tc>
      </w:tr>
      <w:tr w14:paraId="0F78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61EB533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业绩</w:t>
            </w:r>
          </w:p>
        </w:tc>
        <w:tc>
          <w:tcPr>
            <w:tcW w:w="654" w:type="dxa"/>
            <w:vAlign w:val="center"/>
          </w:tcPr>
          <w:p w14:paraId="1BE5402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w:t>
            </w:r>
          </w:p>
        </w:tc>
        <w:tc>
          <w:tcPr>
            <w:tcW w:w="7072" w:type="dxa"/>
            <w:vAlign w:val="center"/>
          </w:tcPr>
          <w:p w14:paraId="44D9D3D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73A1564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投标人自2021年1月1日以来（以合同签订时间为准）同类合同业绩（以提供的合同扫描件为准）：每提供1份合同业绩得1分，最高得3分。</w:t>
            </w:r>
          </w:p>
        </w:tc>
      </w:tr>
      <w:tr w14:paraId="2FD0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7BB0F6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政策功能</w:t>
            </w:r>
          </w:p>
        </w:tc>
        <w:tc>
          <w:tcPr>
            <w:tcW w:w="654" w:type="dxa"/>
            <w:vAlign w:val="center"/>
          </w:tcPr>
          <w:p w14:paraId="7E4B91E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342830F1">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04EA5D0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投标产品属于品目清单范围且提供国家确定的认证机构出具的有效的节能产品认证证书（扫描件）的得0.5分；</w:t>
            </w:r>
          </w:p>
          <w:p w14:paraId="2E008AD9">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投标产品属于品目清单范围且提供国家确定的认证机构出具的有效的环境标志产品认证证书（扫描件）的得0.5分；</w:t>
            </w:r>
          </w:p>
          <w:p w14:paraId="65DB797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注：政府强制采购的节能产品的除外。</w:t>
            </w:r>
          </w:p>
        </w:tc>
      </w:tr>
      <w:tr w14:paraId="3123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5F17DA6A">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b/>
                <w:bCs/>
                <w:szCs w:val="21"/>
              </w:rPr>
              <w:t>技术分</w:t>
            </w:r>
          </w:p>
        </w:tc>
      </w:tr>
      <w:tr w14:paraId="7737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287CCBB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技术响应程度</w:t>
            </w:r>
          </w:p>
        </w:tc>
        <w:tc>
          <w:tcPr>
            <w:tcW w:w="654" w:type="dxa"/>
            <w:vAlign w:val="center"/>
          </w:tcPr>
          <w:p w14:paraId="569F4D38">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12</w:t>
            </w:r>
          </w:p>
        </w:tc>
        <w:tc>
          <w:tcPr>
            <w:tcW w:w="7072" w:type="dxa"/>
            <w:vAlign w:val="center"/>
          </w:tcPr>
          <w:p w14:paraId="38624A37">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2DC5F6E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投标产品对采购需求中“</w:t>
            </w:r>
            <w:r>
              <w:rPr>
                <w:rFonts w:hint="eastAsia" w:ascii="宋体" w:hAnsi="宋体" w:eastAsia="宋体" w:cs="宋体"/>
                <w:b/>
                <w:bCs/>
                <w:spacing w:val="-4"/>
                <w:szCs w:val="21"/>
              </w:rPr>
              <w:t>需满足的质量、安全、技术规格、物理特性等要求</w:t>
            </w:r>
            <w:r>
              <w:rPr>
                <w:rFonts w:hint="eastAsia" w:ascii="宋体" w:hAnsi="宋体" w:eastAsia="宋体" w:cs="宋体"/>
                <w:szCs w:val="21"/>
              </w:rPr>
              <w:t>”的响应程度：不符合（负偏离）技术要求中标注“▲”条款（不可偏离）的投标无效；</w:t>
            </w:r>
          </w:p>
          <w:p w14:paraId="1E9DA40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满足招标文件明确的全部技术条款要求的该项得满分；</w:t>
            </w:r>
          </w:p>
          <w:p w14:paraId="20A99B0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技术条款低于技术要求（负偏离）的每项扣2分；</w:t>
            </w:r>
          </w:p>
          <w:p w14:paraId="25ACF4C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负偏离7项及以上的，视为采购人不能接受的附加条件。</w:t>
            </w:r>
          </w:p>
        </w:tc>
      </w:tr>
      <w:tr w14:paraId="71AE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7" w:type="dxa"/>
            <w:vMerge w:val="restart"/>
            <w:vAlign w:val="center"/>
          </w:tcPr>
          <w:p w14:paraId="3842431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技术方案</w:t>
            </w:r>
          </w:p>
        </w:tc>
        <w:tc>
          <w:tcPr>
            <w:tcW w:w="654" w:type="dxa"/>
            <w:shd w:val="clear" w:color="auto" w:fill="auto"/>
            <w:vAlign w:val="center"/>
          </w:tcPr>
          <w:p w14:paraId="6113C7CE">
            <w:pPr>
              <w:snapToGrid w:val="0"/>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shd w:val="clear" w:color="auto" w:fill="auto"/>
            <w:vAlign w:val="center"/>
          </w:tcPr>
          <w:p w14:paraId="4EE5018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42777945">
            <w:pPr>
              <w:snapToGrid w:val="0"/>
              <w:rPr>
                <w:rFonts w:hint="eastAsia" w:ascii="宋体" w:hAnsi="宋体" w:eastAsia="宋体" w:cs="宋体"/>
                <w:b/>
                <w:bCs/>
                <w:szCs w:val="21"/>
              </w:rPr>
            </w:pPr>
            <w:r>
              <w:rPr>
                <w:rFonts w:hint="eastAsia" w:ascii="宋体" w:hAnsi="宋体" w:eastAsia="宋体" w:cs="宋体"/>
                <w:b/>
                <w:bCs/>
                <w:szCs w:val="21"/>
              </w:rPr>
              <w:t>投标产品超模态行为洞察平台：</w:t>
            </w:r>
          </w:p>
          <w:p w14:paraId="7C7429E0">
            <w:pPr>
              <w:snapToGrid w:val="0"/>
              <w:rPr>
                <w:rFonts w:hint="eastAsia" w:ascii="宋体" w:hAnsi="宋体" w:eastAsia="宋体" w:cs="宋体"/>
                <w:szCs w:val="21"/>
              </w:rPr>
            </w:pPr>
            <w:r>
              <w:rPr>
                <w:rFonts w:hint="eastAsia" w:ascii="宋体" w:hAnsi="宋体" w:eastAsia="宋体" w:cs="宋体"/>
                <w:szCs w:val="21"/>
              </w:rPr>
              <w:t>产品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0F77601A">
            <w:pPr>
              <w:snapToGrid w:val="0"/>
              <w:rPr>
                <w:rFonts w:hint="eastAsia" w:ascii="宋体" w:hAnsi="宋体" w:eastAsia="宋体" w:cs="宋体"/>
                <w:szCs w:val="21"/>
              </w:rPr>
            </w:pPr>
            <w:r>
              <w:rPr>
                <w:rFonts w:hint="eastAsia" w:ascii="宋体" w:hAnsi="宋体" w:eastAsia="宋体" w:cs="宋体"/>
                <w:b/>
                <w:bCs/>
                <w:szCs w:val="21"/>
              </w:rPr>
              <w:t>（评分范围:4,3,2,1,0）</w:t>
            </w:r>
          </w:p>
        </w:tc>
      </w:tr>
      <w:tr w14:paraId="68AC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4F16B3C0">
            <w:pPr>
              <w:adjustRightInd w:val="0"/>
              <w:snapToGrid w:val="0"/>
              <w:spacing w:line="288" w:lineRule="auto"/>
              <w:jc w:val="center"/>
              <w:rPr>
                <w:rFonts w:hint="eastAsia" w:ascii="宋体" w:hAnsi="宋体" w:eastAsia="宋体" w:cs="宋体"/>
                <w:b/>
                <w:bCs/>
                <w:szCs w:val="21"/>
              </w:rPr>
            </w:pPr>
          </w:p>
        </w:tc>
        <w:tc>
          <w:tcPr>
            <w:tcW w:w="654" w:type="dxa"/>
            <w:shd w:val="clear" w:color="auto" w:fill="auto"/>
            <w:vAlign w:val="center"/>
          </w:tcPr>
          <w:p w14:paraId="34FA99B4">
            <w:pPr>
              <w:snapToGrid w:val="0"/>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shd w:val="clear" w:color="auto" w:fill="auto"/>
            <w:vAlign w:val="center"/>
          </w:tcPr>
          <w:p w14:paraId="0CE756C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21F8AF3E">
            <w:pPr>
              <w:snapToGrid w:val="0"/>
              <w:rPr>
                <w:rFonts w:hint="eastAsia" w:ascii="宋体" w:hAnsi="宋体" w:eastAsia="宋体" w:cs="宋体"/>
                <w:b/>
                <w:bCs/>
                <w:szCs w:val="21"/>
              </w:rPr>
            </w:pPr>
            <w:r>
              <w:rPr>
                <w:rFonts w:hint="eastAsia" w:ascii="宋体" w:hAnsi="宋体" w:eastAsia="宋体" w:cs="宋体"/>
                <w:b/>
                <w:bCs/>
                <w:szCs w:val="21"/>
              </w:rPr>
              <w:t>投标产品便携式行为观察记录分析系统：</w:t>
            </w:r>
          </w:p>
          <w:p w14:paraId="5C6791AC">
            <w:pPr>
              <w:snapToGrid w:val="0"/>
              <w:rPr>
                <w:rFonts w:hint="eastAsia" w:ascii="宋体" w:hAnsi="宋体" w:eastAsia="宋体" w:cs="宋体"/>
                <w:szCs w:val="21"/>
              </w:rPr>
            </w:pPr>
            <w:r>
              <w:rPr>
                <w:rFonts w:hint="eastAsia" w:ascii="宋体" w:hAnsi="宋体" w:eastAsia="宋体" w:cs="宋体"/>
                <w:szCs w:val="21"/>
              </w:rPr>
              <w:t>产品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0C4C5D83">
            <w:pPr>
              <w:snapToGrid w:val="0"/>
              <w:rPr>
                <w:rFonts w:hint="eastAsia" w:ascii="宋体" w:hAnsi="宋体" w:eastAsia="宋体" w:cs="宋体"/>
                <w:szCs w:val="21"/>
              </w:rPr>
            </w:pPr>
            <w:r>
              <w:rPr>
                <w:rFonts w:hint="eastAsia" w:ascii="宋体" w:hAnsi="宋体" w:eastAsia="宋体" w:cs="宋体"/>
                <w:b/>
                <w:bCs/>
                <w:szCs w:val="21"/>
              </w:rPr>
              <w:t>（评分范围:4,3,2,1,0）</w:t>
            </w:r>
          </w:p>
        </w:tc>
      </w:tr>
      <w:tr w14:paraId="0882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2E29E26D">
            <w:pPr>
              <w:adjustRightInd w:val="0"/>
              <w:snapToGrid w:val="0"/>
              <w:spacing w:line="288" w:lineRule="auto"/>
              <w:jc w:val="center"/>
              <w:rPr>
                <w:rFonts w:hint="eastAsia" w:ascii="宋体" w:hAnsi="宋体" w:eastAsia="宋体" w:cs="宋体"/>
                <w:b/>
                <w:bCs/>
                <w:szCs w:val="21"/>
              </w:rPr>
            </w:pPr>
          </w:p>
        </w:tc>
        <w:tc>
          <w:tcPr>
            <w:tcW w:w="654" w:type="dxa"/>
            <w:shd w:val="clear" w:color="auto" w:fill="auto"/>
            <w:vAlign w:val="center"/>
          </w:tcPr>
          <w:p w14:paraId="17E04206">
            <w:pPr>
              <w:snapToGrid w:val="0"/>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shd w:val="clear" w:color="auto" w:fill="auto"/>
            <w:vAlign w:val="center"/>
          </w:tcPr>
          <w:p w14:paraId="11518C2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007AF2A4">
            <w:pPr>
              <w:snapToGrid w:val="0"/>
              <w:rPr>
                <w:rFonts w:hint="eastAsia" w:ascii="宋体" w:hAnsi="宋体" w:eastAsia="宋体" w:cs="宋体"/>
                <w:b/>
                <w:bCs/>
                <w:szCs w:val="21"/>
              </w:rPr>
            </w:pPr>
            <w:r>
              <w:rPr>
                <w:rFonts w:hint="eastAsia" w:ascii="宋体" w:hAnsi="宋体" w:eastAsia="宋体" w:cs="宋体"/>
                <w:b/>
                <w:bCs/>
                <w:szCs w:val="21"/>
              </w:rPr>
              <w:t>投标产品视觉动态追踪系统：</w:t>
            </w:r>
          </w:p>
          <w:p w14:paraId="07BB26B8">
            <w:pPr>
              <w:snapToGrid w:val="0"/>
              <w:rPr>
                <w:rFonts w:hint="eastAsia" w:ascii="宋体" w:hAnsi="宋体" w:eastAsia="宋体" w:cs="宋体"/>
                <w:szCs w:val="21"/>
              </w:rPr>
            </w:pPr>
            <w:r>
              <w:rPr>
                <w:rFonts w:hint="eastAsia" w:ascii="宋体" w:hAnsi="宋体" w:eastAsia="宋体" w:cs="宋体"/>
                <w:szCs w:val="21"/>
              </w:rPr>
              <w:t>产品结构（内部、外部等）、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31C9099B">
            <w:pPr>
              <w:snapToGrid w:val="0"/>
              <w:rPr>
                <w:rFonts w:hint="eastAsia" w:ascii="宋体" w:hAnsi="宋体" w:eastAsia="宋体" w:cs="宋体"/>
                <w:szCs w:val="21"/>
              </w:rPr>
            </w:pPr>
            <w:r>
              <w:rPr>
                <w:rFonts w:hint="eastAsia" w:ascii="宋体" w:hAnsi="宋体" w:eastAsia="宋体" w:cs="宋体"/>
                <w:b/>
                <w:bCs/>
                <w:szCs w:val="21"/>
              </w:rPr>
              <w:t>（评分范围:4,3,2,1,0）</w:t>
            </w:r>
          </w:p>
        </w:tc>
      </w:tr>
      <w:tr w14:paraId="4983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0C48210B">
            <w:pPr>
              <w:adjustRightInd w:val="0"/>
              <w:snapToGrid w:val="0"/>
              <w:spacing w:line="288" w:lineRule="auto"/>
              <w:jc w:val="center"/>
              <w:rPr>
                <w:rFonts w:hint="eastAsia" w:ascii="宋体" w:hAnsi="宋体" w:eastAsia="宋体" w:cs="宋体"/>
                <w:b/>
                <w:bCs/>
                <w:szCs w:val="21"/>
              </w:rPr>
            </w:pPr>
          </w:p>
        </w:tc>
        <w:tc>
          <w:tcPr>
            <w:tcW w:w="654" w:type="dxa"/>
            <w:shd w:val="clear" w:color="auto" w:fill="auto"/>
            <w:vAlign w:val="center"/>
          </w:tcPr>
          <w:p w14:paraId="4628626C">
            <w:pPr>
              <w:snapToGrid w:val="0"/>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shd w:val="clear" w:color="auto" w:fill="auto"/>
            <w:vAlign w:val="center"/>
          </w:tcPr>
          <w:p w14:paraId="1654AD01">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497DC067">
            <w:pPr>
              <w:snapToGrid w:val="0"/>
              <w:rPr>
                <w:rFonts w:hint="eastAsia" w:ascii="宋体" w:hAnsi="宋体" w:eastAsia="宋体" w:cs="宋体"/>
                <w:b/>
                <w:bCs/>
                <w:szCs w:val="21"/>
              </w:rPr>
            </w:pPr>
            <w:r>
              <w:rPr>
                <w:rFonts w:hint="eastAsia" w:ascii="宋体" w:hAnsi="宋体" w:eastAsia="宋体" w:cs="宋体"/>
                <w:b/>
                <w:bCs/>
                <w:szCs w:val="21"/>
              </w:rPr>
              <w:t>投标产品遥测式生理信号采集分析系统：</w:t>
            </w:r>
          </w:p>
          <w:p w14:paraId="784AFC5E">
            <w:pPr>
              <w:snapToGrid w:val="0"/>
              <w:rPr>
                <w:rFonts w:hint="eastAsia" w:ascii="宋体" w:hAnsi="宋体" w:eastAsia="宋体" w:cs="宋体"/>
                <w:szCs w:val="21"/>
              </w:rPr>
            </w:pPr>
            <w:r>
              <w:rPr>
                <w:rFonts w:hint="eastAsia" w:ascii="宋体" w:hAnsi="宋体" w:eastAsia="宋体" w:cs="宋体"/>
                <w:szCs w:val="21"/>
              </w:rPr>
              <w:t>产品结构（内部、外部等）、配置、产品功能（基础、扩展升级、软件等）[根据产品制造商公开发布的印刷资料（官网材料、彩页、Datasheet）或由有关政府部门或检测机构合法出具的文件或报告、配置清单等评审]：专业、全面、详尽、针对采购需求及实际特点、对教学或科研有实质性辅助提升。</w:t>
            </w:r>
          </w:p>
          <w:p w14:paraId="6FC090E4">
            <w:pPr>
              <w:snapToGrid w:val="0"/>
              <w:rPr>
                <w:rFonts w:hint="eastAsia" w:ascii="宋体" w:hAnsi="宋体" w:eastAsia="宋体" w:cs="宋体"/>
                <w:szCs w:val="21"/>
              </w:rPr>
            </w:pPr>
            <w:r>
              <w:rPr>
                <w:rFonts w:hint="eastAsia" w:ascii="宋体" w:hAnsi="宋体" w:eastAsia="宋体" w:cs="宋体"/>
                <w:b/>
                <w:bCs/>
                <w:szCs w:val="21"/>
              </w:rPr>
              <w:t>（评分范围:4,3,2,1,0）</w:t>
            </w:r>
          </w:p>
        </w:tc>
      </w:tr>
      <w:tr w14:paraId="7B22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5105D6D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实施方案</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80F6BC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32A6157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28937411">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实施（进度控制计划、技术文档移交）方案，方案全面可行、针对采购需求及实际特点、有利于采购标的实现及合同履约。</w:t>
            </w:r>
          </w:p>
          <w:p w14:paraId="3BD87C3B">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51F3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7B1DC221">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FAD687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A8CAC0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01AFDDB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日常运行及维护保养方案，方案全面可行、针对采购需求及实际特点、有利于采购标的实现及合同履约。</w:t>
            </w:r>
          </w:p>
          <w:p w14:paraId="52D8604F">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2B05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0952F76C">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EEA9C8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198322D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56DD2085">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安装、调试方法或方案，方案全面可行、针对采购需求及实际特点、有利于采购标的实现及合同履约。</w:t>
            </w:r>
          </w:p>
          <w:p w14:paraId="7C357CE8">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01D2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9B1701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技术培训</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7252C6B">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825E27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606D775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培训计划（包括培训流程、培训方式、培训对象、培训内容、培训日程等），计划方案全面可行、针对采购需求及实际特点、有利于采购标的实现及合同履约。</w:t>
            </w:r>
          </w:p>
          <w:p w14:paraId="6287764E">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4E83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1046BB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售后服务</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1A5DCD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31546B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1247A149">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售后服务方案（包括服务机构、服务内容、服务承诺、响应时间、服务方式、人员配备、应急服务等），方案全面可行、针对采购需求及实际特点、有利于采购标的实现及合同履约。</w:t>
            </w:r>
          </w:p>
          <w:p w14:paraId="61031681">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43D6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vAlign w:val="center"/>
          </w:tcPr>
          <w:p w14:paraId="1B64CF66">
            <w:pPr>
              <w:adjustRightInd w:val="0"/>
              <w:snapToGrid w:val="0"/>
              <w:spacing w:line="288" w:lineRule="auto"/>
              <w:jc w:val="center"/>
              <w:rPr>
                <w:rFonts w:hint="eastAsia" w:ascii="宋体" w:hAnsi="宋体" w:eastAsia="宋体" w:cs="宋体"/>
                <w:b/>
                <w:bCs/>
                <w:szCs w:val="21"/>
                <w:lang w:bidi="ar"/>
              </w:rPr>
            </w:pPr>
            <w:r>
              <w:rPr>
                <w:rFonts w:hint="eastAsia" w:ascii="宋体" w:hAnsi="宋体" w:eastAsia="宋体" w:cs="宋体"/>
                <w:b/>
                <w:bCs/>
                <w:szCs w:val="21"/>
                <w:lang w:bidi="ar"/>
              </w:rPr>
              <w:t>演示-超模态行为洞察平台</w:t>
            </w:r>
          </w:p>
          <w:p w14:paraId="05753C3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演示</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D931038">
            <w:pPr>
              <w:jc w:val="center"/>
              <w:rPr>
                <w:rFonts w:hint="eastAsia" w:ascii="宋体" w:hAnsi="宋体" w:eastAsia="宋体" w:cs="宋体"/>
                <w:b/>
                <w:bCs/>
                <w:szCs w:val="21"/>
              </w:rPr>
            </w:pPr>
            <w:r>
              <w:rPr>
                <w:rFonts w:hint="eastAsia" w:ascii="宋体" w:hAnsi="宋体" w:eastAsia="宋体" w:cs="宋体"/>
                <w:b/>
                <w:bCs/>
                <w:szCs w:val="21"/>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0DE22E2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【主观分】演示内容完整，操作顺滑，响应速度快。</w:t>
            </w:r>
            <w:r>
              <w:rPr>
                <w:rFonts w:hint="eastAsia" w:ascii="宋体" w:hAnsi="宋体" w:eastAsia="宋体" w:cs="宋体"/>
                <w:b/>
                <w:bCs/>
                <w:szCs w:val="21"/>
              </w:rPr>
              <w:t>（评分范围：2,1,0）</w:t>
            </w:r>
          </w:p>
          <w:p w14:paraId="39125BAD">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（1）行为编码模块</w:t>
            </w:r>
          </w:p>
          <w:p w14:paraId="1053C1D5">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第三，系统应配备可视化界面</w:t>
            </w:r>
            <w:r>
              <w:rPr>
                <w:rFonts w:hint="eastAsia" w:ascii="宋体" w:hAnsi="宋体" w:eastAsia="宋体" w:cs="宋体"/>
                <w:szCs w:val="21"/>
                <w:lang w:eastAsia="zh"/>
              </w:rPr>
              <w:t>，</w:t>
            </w:r>
            <w:r>
              <w:rPr>
                <w:rFonts w:hint="eastAsia" w:ascii="宋体" w:hAnsi="宋体" w:eastAsia="宋体" w:cs="宋体"/>
                <w:szCs w:val="21"/>
              </w:rPr>
              <w:t>通过</w:t>
            </w:r>
            <w:r>
              <w:rPr>
                <w:rFonts w:hint="eastAsia" w:ascii="宋体" w:hAnsi="宋体" w:eastAsia="宋体" w:cs="宋体"/>
                <w:szCs w:val="21"/>
                <w:lang w:eastAsia="zh"/>
              </w:rPr>
              <w:t>如</w:t>
            </w:r>
            <w:r>
              <w:rPr>
                <w:rFonts w:hint="eastAsia" w:ascii="宋体" w:hAnsi="宋体" w:eastAsia="宋体" w:cs="宋体"/>
                <w:szCs w:val="21"/>
              </w:rPr>
              <w:t>事件日志、图形时间轴联动展示等展现形式。（需要演示</w:t>
            </w:r>
            <w:r>
              <w:rPr>
                <w:rFonts w:hint="eastAsia" w:ascii="宋体" w:hAnsi="宋体" w:eastAsia="宋体" w:cs="宋体"/>
                <w:szCs w:val="21"/>
                <w:lang w:eastAsia="zh"/>
              </w:rPr>
              <w:t>1</w:t>
            </w:r>
            <w:r>
              <w:rPr>
                <w:rFonts w:hint="eastAsia" w:ascii="宋体" w:hAnsi="宋体" w:eastAsia="宋体" w:cs="宋体"/>
                <w:szCs w:val="21"/>
              </w:rPr>
              <w:t>）</w:t>
            </w:r>
          </w:p>
          <w:p w14:paraId="783FD4E1">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第五，系统应具备导入/导出编码结果的能力（例如支持导出CSV或ODX等其他格式数据），可将数据发送到其他行为编码软件或第三方分析软件分析，便于后续的数据管理和分析。（需要演示</w:t>
            </w:r>
            <w:r>
              <w:rPr>
                <w:rFonts w:hint="eastAsia" w:ascii="宋体" w:hAnsi="宋体" w:eastAsia="宋体" w:cs="宋体"/>
                <w:szCs w:val="21"/>
                <w:lang w:eastAsia="zh"/>
              </w:rPr>
              <w:t>2</w:t>
            </w:r>
            <w:r>
              <w:rPr>
                <w:rFonts w:hint="eastAsia" w:ascii="宋体" w:hAnsi="宋体" w:eastAsia="宋体" w:cs="宋体"/>
                <w:szCs w:val="21"/>
              </w:rPr>
              <w:t>）</w:t>
            </w:r>
          </w:p>
        </w:tc>
      </w:tr>
      <w:tr w14:paraId="71F7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1CD2E24F">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140A29A">
            <w:pPr>
              <w:jc w:val="center"/>
              <w:rPr>
                <w:rFonts w:hint="eastAsia" w:ascii="宋体" w:hAnsi="宋体" w:eastAsia="宋体" w:cs="宋体"/>
                <w:b/>
                <w:bCs/>
                <w:szCs w:val="21"/>
              </w:rPr>
            </w:pPr>
            <w:r>
              <w:rPr>
                <w:rFonts w:hint="eastAsia" w:ascii="宋体" w:hAnsi="宋体" w:eastAsia="宋体" w:cs="宋体"/>
                <w:b/>
                <w:bCs/>
                <w:szCs w:val="21"/>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07AAC6BD">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【主观分】演示内容完整，操作顺滑，响应速度快。</w:t>
            </w:r>
            <w:r>
              <w:rPr>
                <w:rFonts w:hint="eastAsia" w:ascii="宋体" w:hAnsi="宋体" w:eastAsia="宋体" w:cs="宋体"/>
                <w:b/>
                <w:bCs/>
                <w:szCs w:val="21"/>
              </w:rPr>
              <w:t>（评分范围：2,1,0）</w:t>
            </w:r>
          </w:p>
          <w:p w14:paraId="3D96FD81">
            <w:pPr>
              <w:numPr>
                <w:ilvl w:val="255"/>
                <w:numId w:val="0"/>
              </w:numPr>
              <w:adjustRightIn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（2）生理电导反应模块</w:t>
            </w:r>
          </w:p>
          <w:p w14:paraId="64880438">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第三，系统应提供可视化工具，如趋势图，以直观展示生理反应的变化。（需要演示3）</w:t>
            </w:r>
          </w:p>
          <w:p w14:paraId="5116C7B0">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第四，系统需要支持与行为编码模块的数据联动，标识出特定行为发生时的生理反应变化。（需要演示4）</w:t>
            </w:r>
          </w:p>
        </w:tc>
      </w:tr>
      <w:tr w14:paraId="0725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shd w:val="clear" w:color="auto" w:fill="auto"/>
            <w:vAlign w:val="center"/>
          </w:tcPr>
          <w:p w14:paraId="3F34DD66">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A1E58B6">
            <w:pPr>
              <w:jc w:val="center"/>
              <w:rPr>
                <w:rFonts w:hint="eastAsia" w:ascii="宋体" w:hAnsi="宋体" w:eastAsia="宋体" w:cs="宋体"/>
                <w:b/>
                <w:bCs/>
                <w:szCs w:val="21"/>
              </w:rPr>
            </w:pPr>
            <w:r>
              <w:rPr>
                <w:rFonts w:hint="eastAsia" w:ascii="宋体" w:hAnsi="宋体" w:eastAsia="宋体" w:cs="宋体"/>
                <w:b/>
                <w:bCs/>
                <w:szCs w:val="21"/>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293E22F9">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【主观分】演示内容完整，操作顺滑，响应速度快。</w:t>
            </w:r>
            <w:r>
              <w:rPr>
                <w:rFonts w:hint="eastAsia" w:ascii="宋体" w:hAnsi="宋体" w:eastAsia="宋体" w:cs="宋体"/>
                <w:b/>
                <w:bCs/>
                <w:szCs w:val="21"/>
              </w:rPr>
              <w:t>（评分范围：2,1,0）</w:t>
            </w:r>
          </w:p>
          <w:p w14:paraId="4FD070AA">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（3）视动采集模块</w:t>
            </w:r>
          </w:p>
          <w:p w14:paraId="0A7F0B2B">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第二，系统提供眼动注视点位、瞳孔直径、眼跳。以帮助分析受试者的注意力分布及认知负荷。（需要演示5）</w:t>
            </w:r>
          </w:p>
          <w:p w14:paraId="46DC2931">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第三，系统应提供可视化工具，如趋势图，以直观展示生理反应的变化。（需要演示6）</w:t>
            </w:r>
          </w:p>
        </w:tc>
      </w:tr>
      <w:tr w14:paraId="2CDC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shd w:val="clear" w:color="auto" w:fill="auto"/>
            <w:vAlign w:val="center"/>
          </w:tcPr>
          <w:p w14:paraId="35AE7A12">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18DC5E1">
            <w:pPr>
              <w:jc w:val="center"/>
              <w:rPr>
                <w:rFonts w:hint="eastAsia" w:ascii="宋体" w:hAnsi="宋体" w:eastAsia="宋体" w:cs="宋体"/>
                <w:b/>
                <w:bCs/>
                <w:szCs w:val="21"/>
              </w:rPr>
            </w:pPr>
            <w:r>
              <w:rPr>
                <w:rFonts w:hint="eastAsia" w:ascii="宋体" w:hAnsi="宋体" w:eastAsia="宋体" w:cs="宋体"/>
                <w:b/>
                <w:bCs/>
                <w:szCs w:val="21"/>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36ED0B3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【主观分】演示内容完整，操作顺滑，响应速度快。</w:t>
            </w:r>
            <w:r>
              <w:rPr>
                <w:rFonts w:hint="eastAsia" w:ascii="宋体" w:hAnsi="宋体" w:eastAsia="宋体" w:cs="宋体"/>
                <w:b/>
                <w:bCs/>
                <w:szCs w:val="21"/>
              </w:rPr>
              <w:t>（评分范围：2,1,0）</w:t>
            </w:r>
          </w:p>
          <w:p w14:paraId="3ED381CA">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（4）心理情绪分析模块（需要演示7）</w:t>
            </w:r>
          </w:p>
          <w:p w14:paraId="5326F4A7">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第一，系统应自动进行情绪识别，通过摄像机捕捉被试面部，软件识别建模后分析面部表情（喜、怒、哀、乐、惊、惧、中性）基本表情及困惑、无趣、感兴趣等情绪，采集后所得数据支持实时可视化呈现。</w:t>
            </w:r>
          </w:p>
          <w:p w14:paraId="18849572">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第二，系统应提供情绪强度的量化指标，以客观评估情绪变化的程度。</w:t>
            </w:r>
          </w:p>
          <w:p w14:paraId="3165E3AC">
            <w:p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第三，系统应具备同时获取不少于2人的表情数据，并支持将分析结果与行为数据和眼动、生理数据进行关联分析的功能，以满足模拟提案实验中的多人实时数据采集。</w:t>
            </w:r>
          </w:p>
        </w:tc>
      </w:tr>
      <w:tr w14:paraId="02A0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0CE2FF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演示-</w:t>
            </w:r>
            <w:r>
              <w:rPr>
                <w:rFonts w:hint="eastAsia" w:ascii="宋体" w:hAnsi="宋体" w:eastAsia="宋体" w:cs="宋体"/>
                <w:b/>
                <w:bCs/>
                <w:szCs w:val="21"/>
                <w:lang w:bidi="ar"/>
              </w:rPr>
              <w:t>便携式行为观察记录分析系统</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112EC39">
            <w:pPr>
              <w:jc w:val="center"/>
              <w:rPr>
                <w:rFonts w:hint="eastAsia" w:ascii="宋体" w:hAnsi="宋体" w:eastAsia="宋体" w:cs="宋体"/>
                <w:b/>
                <w:bCs/>
                <w:szCs w:val="21"/>
              </w:rPr>
            </w:pPr>
            <w:r>
              <w:rPr>
                <w:rFonts w:hint="eastAsia" w:ascii="宋体" w:hAnsi="宋体" w:eastAsia="宋体" w:cs="宋体"/>
                <w:b/>
                <w:bCs/>
                <w:szCs w:val="21"/>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5DFD2A3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【主观分】演示内容完整，操作顺滑，响应速度快。</w:t>
            </w:r>
            <w:r>
              <w:rPr>
                <w:rFonts w:hint="eastAsia" w:ascii="宋体" w:hAnsi="宋体" w:eastAsia="宋体" w:cs="宋体"/>
                <w:b/>
                <w:bCs/>
                <w:szCs w:val="21"/>
              </w:rPr>
              <w:t>（评分范围：2,1,0）</w:t>
            </w:r>
          </w:p>
          <w:p w14:paraId="54493BD9">
            <w:pPr>
              <w:numPr>
                <w:ilvl w:val="0"/>
                <w:numId w:val="8"/>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行为分析系统软件</w:t>
            </w:r>
          </w:p>
          <w:p w14:paraId="1889D2B2">
            <w:pPr>
              <w:pStyle w:val="101"/>
              <w:adjustRightInd w:val="0"/>
              <w:spacing w:line="288" w:lineRule="auto"/>
              <w:ind w:left="0" w:firstLine="420" w:firstLineChars="200"/>
              <w:rPr>
                <w:rFonts w:hint="eastAsia" w:ascii="宋体" w:hAnsi="宋体" w:cs="宋体"/>
                <w:sz w:val="21"/>
                <w:szCs w:val="21"/>
              </w:rPr>
            </w:pPr>
            <w:r>
              <w:rPr>
                <w:rFonts w:hint="eastAsia" w:ascii="宋体" w:hAnsi="宋体" w:cs="宋体"/>
                <w:sz w:val="21"/>
                <w:szCs w:val="21"/>
              </w:rPr>
              <w:t>①视频处理模块（需要演示8）</w:t>
            </w:r>
          </w:p>
          <w:p w14:paraId="7A64A87D">
            <w:pPr>
              <w:numPr>
                <w:ilvl w:val="255"/>
                <w:numId w:val="0"/>
              </w:numPr>
              <w:adjustRightIn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数据采样机制需灵活多样，囊括连续采样、瞬时采样及两者混合模式</w:t>
            </w:r>
            <w:r>
              <w:rPr>
                <w:rFonts w:hint="eastAsia" w:ascii="宋体" w:hAnsi="宋体" w:eastAsia="宋体" w:cs="宋体"/>
                <w:szCs w:val="21"/>
                <w:lang w:eastAsia="zh"/>
              </w:rPr>
              <w:t>，</w:t>
            </w:r>
            <w:r>
              <w:rPr>
                <w:rFonts w:hint="eastAsia" w:ascii="宋体" w:hAnsi="宋体" w:eastAsia="宋体" w:cs="宋体"/>
                <w:szCs w:val="21"/>
              </w:rPr>
              <w:t>并借助可视化界面</w:t>
            </w:r>
            <w:r>
              <w:rPr>
                <w:rFonts w:hint="eastAsia" w:ascii="宋体" w:hAnsi="宋体" w:eastAsia="宋体" w:cs="宋体"/>
                <w:szCs w:val="21"/>
                <w:lang w:eastAsia="zh"/>
              </w:rPr>
              <w:t>，如</w:t>
            </w:r>
            <w:r>
              <w:rPr>
                <w:rFonts w:hint="eastAsia" w:ascii="宋体" w:hAnsi="宋体" w:eastAsia="宋体" w:cs="宋体"/>
                <w:szCs w:val="21"/>
              </w:rPr>
              <w:t>事件日志</w:t>
            </w:r>
            <w:r>
              <w:rPr>
                <w:rFonts w:hint="eastAsia" w:ascii="宋体" w:hAnsi="宋体" w:eastAsia="宋体" w:cs="宋体"/>
                <w:szCs w:val="21"/>
                <w:lang w:eastAsia="zh"/>
              </w:rPr>
              <w:t>和</w:t>
            </w:r>
            <w:r>
              <w:rPr>
                <w:rFonts w:hint="eastAsia" w:ascii="宋体" w:hAnsi="宋体" w:eastAsia="宋体" w:cs="宋体"/>
                <w:szCs w:val="21"/>
              </w:rPr>
              <w:t>图形时间轴联动展示，方便对已标记事件进行查阅和分析，并具备uASQ实时调查问卷功能、uLog记录鼠标键盘操作功能。</w:t>
            </w:r>
          </w:p>
        </w:tc>
      </w:tr>
      <w:tr w14:paraId="7964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B499D8B">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演示-</w:t>
            </w:r>
            <w:r>
              <w:rPr>
                <w:rFonts w:hint="eastAsia" w:ascii="宋体" w:hAnsi="宋体" w:eastAsia="宋体" w:cs="宋体"/>
                <w:b/>
                <w:bCs/>
                <w:szCs w:val="21"/>
                <w:lang w:bidi="ar"/>
              </w:rPr>
              <w:t>视觉动态追踪系统</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22DC9D9">
            <w:pPr>
              <w:jc w:val="center"/>
              <w:rPr>
                <w:rFonts w:hint="eastAsia" w:ascii="宋体" w:hAnsi="宋体" w:eastAsia="宋体" w:cs="宋体"/>
                <w:b/>
                <w:bCs/>
                <w:szCs w:val="21"/>
              </w:rPr>
            </w:pPr>
            <w:r>
              <w:rPr>
                <w:rFonts w:hint="eastAsia" w:ascii="宋体" w:hAnsi="宋体" w:eastAsia="宋体" w:cs="宋体"/>
                <w:b/>
                <w:bCs/>
                <w:szCs w:val="21"/>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31A5470D">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【主观分】演示内容完整，操作顺滑，响应速度快。</w:t>
            </w:r>
            <w:r>
              <w:rPr>
                <w:rFonts w:hint="eastAsia" w:ascii="宋体" w:hAnsi="宋体" w:eastAsia="宋体" w:cs="宋体"/>
                <w:b/>
                <w:bCs/>
                <w:szCs w:val="21"/>
              </w:rPr>
              <w:t>（评分范围：2,1,0）</w:t>
            </w:r>
          </w:p>
          <w:p w14:paraId="2CA38090">
            <w:pPr>
              <w:spacing w:line="288" w:lineRule="auto"/>
              <w:ind w:firstLine="420" w:firstLineChars="200"/>
              <w:rPr>
                <w:rFonts w:hint="eastAsia" w:ascii="宋体" w:hAnsi="宋体" w:eastAsia="宋体" w:cs="宋体"/>
                <w:szCs w:val="21"/>
              </w:rPr>
            </w:pPr>
            <w:r>
              <w:rPr>
                <w:rFonts w:hint="eastAsia" w:ascii="宋体" w:hAnsi="宋体" w:eastAsia="宋体" w:cs="宋体"/>
                <w:szCs w:val="21"/>
              </w:rPr>
              <w:t>（2）视觉动态数据分析软件</w:t>
            </w:r>
          </w:p>
          <w:p w14:paraId="1787DFB1">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rPr>
              <w:t>第三，采集软件支持被试信息管理，可添加字数不限的描述和注释信息，并在记录结束后立即回放叠加了视线位置的视频，便于快速分析。</w:t>
            </w:r>
            <w:r>
              <w:rPr>
                <w:rFonts w:hint="eastAsia" w:ascii="宋体" w:hAnsi="宋体" w:cs="宋体"/>
                <w:sz w:val="21"/>
                <w:szCs w:val="21"/>
                <w:lang w:eastAsia="zh"/>
              </w:rPr>
              <w:t>（需要演示</w:t>
            </w:r>
            <w:r>
              <w:rPr>
                <w:rFonts w:hint="eastAsia" w:ascii="宋体" w:hAnsi="宋体" w:cs="宋体"/>
                <w:sz w:val="21"/>
                <w:szCs w:val="21"/>
              </w:rPr>
              <w:t>9</w:t>
            </w:r>
            <w:r>
              <w:rPr>
                <w:rFonts w:hint="eastAsia" w:ascii="宋体" w:hAnsi="宋体" w:cs="宋体"/>
                <w:sz w:val="21"/>
                <w:szCs w:val="21"/>
                <w:lang w:eastAsia="zh"/>
              </w:rPr>
              <w:t>）</w:t>
            </w:r>
          </w:p>
          <w:p w14:paraId="529D58CD">
            <w:pPr>
              <w:pStyle w:val="101"/>
              <w:spacing w:line="288" w:lineRule="auto"/>
              <w:ind w:left="0" w:firstLine="420" w:firstLineChars="200"/>
              <w:rPr>
                <w:rFonts w:hint="eastAsia" w:ascii="宋体" w:hAnsi="宋体" w:cs="宋体"/>
                <w:sz w:val="21"/>
                <w:szCs w:val="21"/>
              </w:rPr>
            </w:pPr>
            <w:r>
              <w:rPr>
                <w:rFonts w:hint="eastAsia" w:ascii="宋体" w:hAnsi="宋体" w:cs="宋体"/>
                <w:sz w:val="21"/>
                <w:szCs w:val="21"/>
                <w:lang w:eastAsia="zh"/>
              </w:rPr>
              <w:t>第四，</w:t>
            </w:r>
            <w:r>
              <w:rPr>
                <w:rFonts w:hint="eastAsia" w:ascii="宋体" w:hAnsi="宋体" w:cs="宋体"/>
                <w:sz w:val="21"/>
                <w:szCs w:val="21"/>
              </w:rPr>
              <w:t>系统应提供热点图、注视轨迹图、注视轨迹回放视频等可视化结果呈现与导出功能，方便后续分析。</w:t>
            </w:r>
            <w:r>
              <w:rPr>
                <w:rFonts w:hint="eastAsia" w:ascii="宋体" w:hAnsi="宋体" w:cs="宋体"/>
                <w:sz w:val="21"/>
                <w:szCs w:val="21"/>
                <w:lang w:eastAsia="zh"/>
              </w:rPr>
              <w:t>（需要演示</w:t>
            </w:r>
            <w:r>
              <w:rPr>
                <w:rFonts w:hint="eastAsia" w:ascii="宋体" w:hAnsi="宋体" w:cs="宋体"/>
                <w:sz w:val="21"/>
                <w:szCs w:val="21"/>
              </w:rPr>
              <w:t>10</w:t>
            </w:r>
            <w:r>
              <w:rPr>
                <w:rFonts w:hint="eastAsia" w:ascii="宋体" w:hAnsi="宋体" w:cs="宋体"/>
                <w:sz w:val="21"/>
                <w:szCs w:val="21"/>
                <w:lang w:eastAsia="zh"/>
              </w:rPr>
              <w:t>）</w:t>
            </w:r>
          </w:p>
        </w:tc>
      </w:tr>
    </w:tbl>
    <w:p w14:paraId="1F7FE33B">
      <w:pPr>
        <w:rPr>
          <w:rFonts w:hint="eastAsia" w:ascii="宋体" w:hAnsi="宋体" w:eastAsia="宋体" w:cs="Times New Roman"/>
          <w:b/>
          <w:szCs w:val="21"/>
        </w:rPr>
      </w:pPr>
      <w:r>
        <w:rPr>
          <w:rFonts w:ascii="宋体" w:hAnsi="宋体" w:eastAsia="宋体" w:cs="Times New Roman"/>
          <w:b/>
          <w:szCs w:val="21"/>
        </w:rPr>
        <w:br w:type="page"/>
      </w:r>
    </w:p>
    <w:p w14:paraId="083D0F66">
      <w:pPr>
        <w:adjustRightInd w:val="0"/>
        <w:snapToGrid w:val="0"/>
        <w:spacing w:line="288" w:lineRule="auto"/>
        <w:outlineLvl w:val="2"/>
        <w:rPr>
          <w:rFonts w:hint="eastAsia" w:ascii="宋体" w:hAnsi="宋体" w:eastAsia="宋体" w:cs="Times New Roman"/>
          <w:b/>
          <w:spacing w:val="-6"/>
          <w:szCs w:val="21"/>
        </w:rPr>
      </w:pPr>
      <w:r>
        <w:rPr>
          <w:rFonts w:hint="eastAsia" w:ascii="宋体" w:hAnsi="宋体" w:eastAsia="宋体" w:cs="Times New Roman"/>
          <w:b/>
          <w:spacing w:val="-6"/>
          <w:szCs w:val="21"/>
        </w:rPr>
        <w:t>标项二：</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189F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2984820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评审因素</w:t>
            </w:r>
          </w:p>
        </w:tc>
        <w:tc>
          <w:tcPr>
            <w:tcW w:w="654" w:type="dxa"/>
            <w:vAlign w:val="center"/>
          </w:tcPr>
          <w:p w14:paraId="5B7D862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分值</w:t>
            </w:r>
          </w:p>
        </w:tc>
        <w:tc>
          <w:tcPr>
            <w:tcW w:w="7072" w:type="dxa"/>
            <w:vAlign w:val="center"/>
          </w:tcPr>
          <w:p w14:paraId="798FB1A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评分标准</w:t>
            </w:r>
          </w:p>
        </w:tc>
      </w:tr>
      <w:tr w14:paraId="3FFC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2882E0F3">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b/>
                <w:bCs/>
                <w:szCs w:val="21"/>
              </w:rPr>
              <w:t>价格分</w:t>
            </w:r>
          </w:p>
        </w:tc>
      </w:tr>
      <w:tr w14:paraId="5832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55543C9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1BA473C6">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30</w:t>
            </w:r>
          </w:p>
        </w:tc>
        <w:tc>
          <w:tcPr>
            <w:tcW w:w="7072" w:type="dxa"/>
            <w:tcBorders>
              <w:top w:val="single" w:color="auto" w:sz="4" w:space="0"/>
              <w:left w:val="single" w:color="auto" w:sz="4" w:space="0"/>
              <w:bottom w:val="single" w:color="auto" w:sz="4" w:space="0"/>
              <w:right w:val="single" w:color="auto" w:sz="4" w:space="0"/>
            </w:tcBorders>
            <w:vAlign w:val="center"/>
          </w:tcPr>
          <w:p w14:paraId="0EFA386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14:paraId="3052166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价格分=（评标基准价/投标报价）×30%×100</w:t>
            </w:r>
          </w:p>
        </w:tc>
      </w:tr>
      <w:tr w14:paraId="77CB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2E546C4C">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b/>
                <w:bCs/>
                <w:szCs w:val="21"/>
              </w:rPr>
              <w:t>商务分</w:t>
            </w:r>
          </w:p>
        </w:tc>
      </w:tr>
      <w:tr w14:paraId="4631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1B49CD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质保期</w:t>
            </w:r>
          </w:p>
        </w:tc>
        <w:tc>
          <w:tcPr>
            <w:tcW w:w="654" w:type="dxa"/>
            <w:vAlign w:val="center"/>
          </w:tcPr>
          <w:p w14:paraId="18F16DA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0107493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0F90EF18">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满足招标文件最低要求基础上每延长1年得0.5分（最高1分），延长时间不足1年不计入得分。</w:t>
            </w:r>
          </w:p>
        </w:tc>
      </w:tr>
      <w:tr w14:paraId="238E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66D6EF3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业绩</w:t>
            </w:r>
          </w:p>
        </w:tc>
        <w:tc>
          <w:tcPr>
            <w:tcW w:w="654" w:type="dxa"/>
            <w:vAlign w:val="center"/>
          </w:tcPr>
          <w:p w14:paraId="5EA39686">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w:t>
            </w:r>
          </w:p>
        </w:tc>
        <w:tc>
          <w:tcPr>
            <w:tcW w:w="7072" w:type="dxa"/>
            <w:vAlign w:val="center"/>
          </w:tcPr>
          <w:p w14:paraId="44D27D7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5A239EC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投标人自2021年1月1日以来（以合同签订时间为准）同类合同业绩（以提供的合同扫描件为准）：每提供1份合同业绩得1分，最高得3分。</w:t>
            </w:r>
          </w:p>
        </w:tc>
      </w:tr>
      <w:tr w14:paraId="0BCD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2A0F1006">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政策功能</w:t>
            </w:r>
          </w:p>
        </w:tc>
        <w:tc>
          <w:tcPr>
            <w:tcW w:w="654" w:type="dxa"/>
            <w:vAlign w:val="center"/>
          </w:tcPr>
          <w:p w14:paraId="1EE68BA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0D8928F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61F6542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投标产品属于品目清单范围且提供国家确定的认证机构出具的有效的节能产品认证证书（扫描件）的得0.5分；</w:t>
            </w:r>
          </w:p>
          <w:p w14:paraId="4206C7F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投标产品属于品目清单范围且提供国家确定的认证机构出具的有效的环境标志产品认证证书（扫描件）的得0.5分；</w:t>
            </w:r>
          </w:p>
          <w:p w14:paraId="19311A61">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注：政府强制采购的节能产品的除外。</w:t>
            </w:r>
          </w:p>
        </w:tc>
      </w:tr>
      <w:tr w14:paraId="573E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71409FC6">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b/>
                <w:bCs/>
                <w:szCs w:val="21"/>
              </w:rPr>
              <w:t>技术分</w:t>
            </w:r>
          </w:p>
        </w:tc>
      </w:tr>
      <w:tr w14:paraId="18DA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0E407F7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技术响应程度</w:t>
            </w:r>
          </w:p>
        </w:tc>
        <w:tc>
          <w:tcPr>
            <w:tcW w:w="654" w:type="dxa"/>
            <w:vAlign w:val="center"/>
          </w:tcPr>
          <w:p w14:paraId="5B660B49">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10</w:t>
            </w:r>
          </w:p>
        </w:tc>
        <w:tc>
          <w:tcPr>
            <w:tcW w:w="7072" w:type="dxa"/>
            <w:vAlign w:val="center"/>
          </w:tcPr>
          <w:p w14:paraId="74CBC54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485D671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投标产品对采购需求中“</w:t>
            </w:r>
            <w:r>
              <w:rPr>
                <w:rFonts w:hint="eastAsia" w:ascii="宋体" w:hAnsi="宋体" w:eastAsia="宋体" w:cs="宋体"/>
                <w:b/>
                <w:bCs/>
                <w:spacing w:val="-4"/>
                <w:szCs w:val="21"/>
              </w:rPr>
              <w:t>需满足的质量、安全、技术规格、物理特性等要求</w:t>
            </w:r>
            <w:r>
              <w:rPr>
                <w:rFonts w:hint="eastAsia" w:ascii="宋体" w:hAnsi="宋体" w:eastAsia="宋体" w:cs="宋体"/>
                <w:szCs w:val="21"/>
              </w:rPr>
              <w:t>”的响应程度：不符合（负偏离）技术要求中标注“▲”条款（不可偏离）的投标无效；</w:t>
            </w:r>
          </w:p>
          <w:p w14:paraId="42483C0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满足招标文件明确的全部技术条款要求的该项得满分；</w:t>
            </w:r>
          </w:p>
          <w:p w14:paraId="68331F7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技术条款低于技术要求（负偏离）的每项扣1分；</w:t>
            </w:r>
          </w:p>
          <w:p w14:paraId="0C4A48E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负偏离10项及以上的，视为采购人不能接受的附加条件。</w:t>
            </w:r>
          </w:p>
        </w:tc>
      </w:tr>
      <w:tr w14:paraId="60F0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7" w:type="dxa"/>
            <w:vMerge w:val="restart"/>
            <w:vAlign w:val="center"/>
          </w:tcPr>
          <w:p w14:paraId="1DBFE9E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技术方案</w:t>
            </w:r>
          </w:p>
        </w:tc>
        <w:tc>
          <w:tcPr>
            <w:tcW w:w="654" w:type="dxa"/>
            <w:shd w:val="clear" w:color="auto" w:fill="auto"/>
            <w:vAlign w:val="center"/>
          </w:tcPr>
          <w:p w14:paraId="667C9C1A">
            <w:pPr>
              <w:snapToGrid w:val="0"/>
              <w:jc w:val="center"/>
              <w:rPr>
                <w:rFonts w:hint="eastAsia" w:ascii="宋体" w:hAnsi="宋体" w:eastAsia="宋体" w:cs="宋体"/>
                <w:b/>
                <w:bCs/>
                <w:szCs w:val="21"/>
              </w:rPr>
            </w:pPr>
            <w:r>
              <w:rPr>
                <w:rFonts w:hint="eastAsia" w:ascii="宋体" w:hAnsi="宋体" w:eastAsia="宋体" w:cs="宋体"/>
                <w:b/>
                <w:bCs/>
                <w:szCs w:val="21"/>
              </w:rPr>
              <w:t>12</w:t>
            </w:r>
          </w:p>
        </w:tc>
        <w:tc>
          <w:tcPr>
            <w:tcW w:w="7072" w:type="dxa"/>
            <w:shd w:val="clear" w:color="auto" w:fill="auto"/>
            <w:vAlign w:val="center"/>
          </w:tcPr>
          <w:p w14:paraId="557D8E3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4CC524ED">
            <w:pPr>
              <w:snapToGrid w:val="0"/>
              <w:rPr>
                <w:rFonts w:hint="eastAsia" w:ascii="宋体" w:hAnsi="宋体" w:eastAsia="宋体" w:cs="宋体"/>
                <w:b/>
                <w:bCs/>
                <w:szCs w:val="21"/>
              </w:rPr>
            </w:pPr>
            <w:r>
              <w:rPr>
                <w:rFonts w:hint="eastAsia" w:ascii="宋体" w:hAnsi="宋体" w:eastAsia="宋体" w:cs="宋体"/>
                <w:b/>
                <w:bCs/>
                <w:szCs w:val="21"/>
              </w:rPr>
              <w:t>投标产品共同富裕数据采集系统技术解决方案：</w:t>
            </w:r>
            <w:r>
              <w:rPr>
                <w:rFonts w:hint="eastAsia" w:ascii="宋体" w:hAnsi="宋体" w:eastAsia="宋体" w:cs="宋体"/>
                <w:szCs w:val="21"/>
              </w:rPr>
              <w:t>方案专业可行、针对采购需求及实际特点、有利于采购标的实现及合同履约。</w:t>
            </w:r>
          </w:p>
          <w:p w14:paraId="42266F3D">
            <w:pPr>
              <w:snapToGrid w:val="0"/>
              <w:rPr>
                <w:rFonts w:hint="eastAsia" w:ascii="宋体" w:hAnsi="宋体" w:eastAsia="宋体" w:cs="宋体"/>
                <w:szCs w:val="21"/>
              </w:rPr>
            </w:pPr>
            <w:r>
              <w:rPr>
                <w:rFonts w:hint="eastAsia" w:ascii="宋体" w:hAnsi="宋体" w:eastAsia="宋体" w:cs="宋体"/>
                <w:szCs w:val="21"/>
              </w:rPr>
              <w:t>1.数据资源目录管理、数据归集服务</w:t>
            </w:r>
            <w:r>
              <w:rPr>
                <w:rFonts w:hint="eastAsia" w:ascii="宋体" w:hAnsi="宋体" w:eastAsia="宋体" w:cs="宋体"/>
                <w:b/>
                <w:bCs/>
                <w:szCs w:val="21"/>
              </w:rPr>
              <w:t>（评分范围:3,2,1,0）</w:t>
            </w:r>
          </w:p>
          <w:p w14:paraId="57865A84">
            <w:pPr>
              <w:snapToGrid w:val="0"/>
              <w:rPr>
                <w:rFonts w:hint="eastAsia" w:ascii="宋体" w:hAnsi="宋体" w:eastAsia="宋体" w:cs="宋体"/>
                <w:szCs w:val="21"/>
              </w:rPr>
            </w:pPr>
            <w:r>
              <w:rPr>
                <w:rFonts w:hint="eastAsia" w:ascii="宋体" w:hAnsi="宋体" w:eastAsia="宋体" w:cs="宋体"/>
                <w:szCs w:val="21"/>
              </w:rPr>
              <w:t>2.数据治理服务</w:t>
            </w:r>
            <w:r>
              <w:rPr>
                <w:rFonts w:hint="eastAsia" w:ascii="宋体" w:hAnsi="宋体" w:eastAsia="宋体" w:cs="宋体"/>
                <w:b/>
                <w:bCs/>
                <w:szCs w:val="21"/>
              </w:rPr>
              <w:t>（评分范围:3,2,1,0）</w:t>
            </w:r>
          </w:p>
          <w:p w14:paraId="584B4E3F">
            <w:pPr>
              <w:snapToGrid w:val="0"/>
              <w:rPr>
                <w:rFonts w:hint="eastAsia" w:ascii="宋体" w:hAnsi="宋体" w:eastAsia="宋体" w:cs="宋体"/>
                <w:szCs w:val="21"/>
              </w:rPr>
            </w:pPr>
            <w:r>
              <w:rPr>
                <w:rFonts w:hint="eastAsia" w:ascii="宋体" w:hAnsi="宋体" w:eastAsia="宋体" w:cs="宋体"/>
                <w:szCs w:val="21"/>
              </w:rPr>
              <w:t>3.数据仓分层建设、数据仓建设标准</w:t>
            </w:r>
            <w:r>
              <w:rPr>
                <w:rFonts w:hint="eastAsia" w:ascii="宋体" w:hAnsi="宋体" w:eastAsia="宋体" w:cs="宋体"/>
                <w:b/>
                <w:bCs/>
                <w:szCs w:val="21"/>
              </w:rPr>
              <w:t>（评分范围:3,2,1,0）</w:t>
            </w:r>
          </w:p>
          <w:p w14:paraId="5C05ADFD">
            <w:pPr>
              <w:snapToGrid w:val="0"/>
              <w:rPr>
                <w:rFonts w:hint="eastAsia" w:ascii="宋体" w:hAnsi="宋体" w:eastAsia="宋体" w:cs="宋体"/>
                <w:szCs w:val="21"/>
              </w:rPr>
            </w:pPr>
            <w:r>
              <w:rPr>
                <w:rFonts w:hint="eastAsia" w:ascii="宋体" w:hAnsi="宋体" w:eastAsia="宋体" w:cs="宋体"/>
                <w:szCs w:val="21"/>
              </w:rPr>
              <w:t>4.数据挖掘分析、数据共享服务与数据安全</w:t>
            </w:r>
            <w:r>
              <w:rPr>
                <w:rFonts w:hint="eastAsia" w:ascii="宋体" w:hAnsi="宋体" w:eastAsia="宋体" w:cs="宋体"/>
                <w:b/>
                <w:bCs/>
                <w:szCs w:val="21"/>
              </w:rPr>
              <w:t>（评分范围:3,2,1,0）</w:t>
            </w:r>
          </w:p>
        </w:tc>
      </w:tr>
      <w:tr w14:paraId="10B8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095E4790">
            <w:pPr>
              <w:adjustRightInd w:val="0"/>
              <w:snapToGrid w:val="0"/>
              <w:spacing w:line="288" w:lineRule="auto"/>
              <w:jc w:val="center"/>
              <w:rPr>
                <w:rFonts w:hint="eastAsia" w:ascii="宋体" w:hAnsi="宋体" w:eastAsia="宋体" w:cs="宋体"/>
                <w:b/>
                <w:bCs/>
                <w:szCs w:val="21"/>
              </w:rPr>
            </w:pPr>
          </w:p>
        </w:tc>
        <w:tc>
          <w:tcPr>
            <w:tcW w:w="654" w:type="dxa"/>
            <w:shd w:val="clear" w:color="auto" w:fill="auto"/>
            <w:vAlign w:val="center"/>
          </w:tcPr>
          <w:p w14:paraId="00EC2320">
            <w:pPr>
              <w:snapToGrid w:val="0"/>
              <w:jc w:val="center"/>
              <w:rPr>
                <w:rFonts w:hint="eastAsia" w:ascii="宋体" w:hAnsi="宋体" w:eastAsia="宋体" w:cs="宋体"/>
                <w:b/>
                <w:bCs/>
                <w:szCs w:val="21"/>
              </w:rPr>
            </w:pPr>
            <w:r>
              <w:rPr>
                <w:rFonts w:hint="eastAsia" w:ascii="宋体" w:hAnsi="宋体" w:eastAsia="宋体" w:cs="宋体"/>
                <w:b/>
                <w:bCs/>
                <w:szCs w:val="21"/>
              </w:rPr>
              <w:t>8</w:t>
            </w:r>
          </w:p>
        </w:tc>
        <w:tc>
          <w:tcPr>
            <w:tcW w:w="7072" w:type="dxa"/>
            <w:shd w:val="clear" w:color="auto" w:fill="auto"/>
            <w:vAlign w:val="center"/>
          </w:tcPr>
          <w:p w14:paraId="7E0C44D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37BA9BA4">
            <w:pPr>
              <w:snapToGrid w:val="0"/>
              <w:rPr>
                <w:rFonts w:hint="eastAsia" w:ascii="宋体" w:hAnsi="宋体" w:eastAsia="宋体" w:cs="宋体"/>
                <w:b/>
                <w:bCs/>
                <w:szCs w:val="21"/>
              </w:rPr>
            </w:pPr>
            <w:r>
              <w:rPr>
                <w:rFonts w:hint="eastAsia" w:ascii="宋体" w:hAnsi="宋体" w:eastAsia="宋体" w:cs="宋体"/>
                <w:b/>
                <w:bCs/>
                <w:szCs w:val="21"/>
              </w:rPr>
              <w:t>投标产品“数字+”驾驶舱平台技术解决方案：</w:t>
            </w:r>
            <w:r>
              <w:rPr>
                <w:rFonts w:hint="eastAsia" w:ascii="宋体" w:hAnsi="宋体" w:eastAsia="宋体" w:cs="宋体"/>
                <w:szCs w:val="21"/>
              </w:rPr>
              <w:t>方案专业可行、针对采购需求及实际特点、有利于采购标的实现及合同履约。</w:t>
            </w:r>
          </w:p>
          <w:p w14:paraId="0CF1C15E">
            <w:pPr>
              <w:snapToGrid w:val="0"/>
              <w:rPr>
                <w:rFonts w:hint="eastAsia" w:ascii="宋体" w:hAnsi="宋体" w:eastAsia="宋体" w:cs="宋体"/>
                <w:szCs w:val="21"/>
              </w:rPr>
            </w:pPr>
            <w:r>
              <w:rPr>
                <w:rFonts w:hint="eastAsia" w:ascii="宋体" w:hAnsi="宋体" w:eastAsia="宋体" w:cs="宋体"/>
                <w:szCs w:val="21"/>
              </w:rPr>
              <w:t>1.前端页面开发模块、指标建设模块、数字驾驶舱底座能力</w:t>
            </w:r>
            <w:r>
              <w:rPr>
                <w:rFonts w:hint="eastAsia" w:ascii="宋体" w:hAnsi="宋体" w:eastAsia="宋体" w:cs="宋体"/>
                <w:szCs w:val="21"/>
                <w:lang w:eastAsia="zh"/>
              </w:rPr>
              <w:t>模块</w:t>
            </w:r>
            <w:r>
              <w:rPr>
                <w:rFonts w:hint="eastAsia" w:ascii="宋体" w:hAnsi="宋体" w:eastAsia="宋体" w:cs="宋体"/>
                <w:szCs w:val="21"/>
              </w:rPr>
              <w:t>、数字驾驶舱AI问答</w:t>
            </w:r>
            <w:r>
              <w:rPr>
                <w:rFonts w:hint="eastAsia" w:ascii="宋体" w:hAnsi="宋体" w:eastAsia="宋体" w:cs="宋体"/>
                <w:szCs w:val="21"/>
                <w:lang w:eastAsia="zh"/>
              </w:rPr>
              <w:t>模块</w:t>
            </w:r>
            <w:r>
              <w:rPr>
                <w:rFonts w:hint="eastAsia" w:ascii="宋体" w:hAnsi="宋体" w:eastAsia="宋体" w:cs="宋体"/>
                <w:szCs w:val="21"/>
              </w:rPr>
              <w:t>、政策地图</w:t>
            </w:r>
            <w:r>
              <w:rPr>
                <w:rFonts w:hint="eastAsia" w:ascii="宋体" w:hAnsi="宋体" w:eastAsia="宋体" w:cs="宋体"/>
                <w:b/>
                <w:bCs/>
                <w:szCs w:val="21"/>
              </w:rPr>
              <w:t>（评分范围:4,3,2,1,0）</w:t>
            </w:r>
          </w:p>
          <w:p w14:paraId="3193DE02">
            <w:pPr>
              <w:snapToGrid w:val="0"/>
              <w:rPr>
                <w:rFonts w:hint="eastAsia" w:ascii="宋体" w:hAnsi="宋体" w:eastAsia="宋体" w:cs="宋体"/>
                <w:szCs w:val="21"/>
              </w:rPr>
            </w:pPr>
            <w:r>
              <w:rPr>
                <w:rFonts w:hint="eastAsia" w:ascii="宋体" w:hAnsi="宋体" w:eastAsia="宋体" w:cs="宋体"/>
                <w:szCs w:val="21"/>
              </w:rPr>
              <w:t>2.数据采集终端配置</w:t>
            </w:r>
            <w:r>
              <w:rPr>
                <w:rFonts w:hint="eastAsia" w:ascii="宋体" w:hAnsi="宋体" w:eastAsia="宋体" w:cs="宋体"/>
                <w:b/>
                <w:bCs/>
                <w:szCs w:val="21"/>
              </w:rPr>
              <w:t>（评分范围:4,3,2,1,0）</w:t>
            </w:r>
          </w:p>
        </w:tc>
      </w:tr>
      <w:tr w14:paraId="4732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1BF72F1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实施方案</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4D5B56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459D37E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3B75E8E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实施（进度控制计划、技术文档移交）方案，方案全面可行、针对采购需求及实际特点、有利于采购标的实现及合同履约。</w:t>
            </w:r>
          </w:p>
          <w:p w14:paraId="35743C1C">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4A8B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028A944E">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968162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4925C6C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4946D7F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日常运行及维护保养方案，方案全面可行、针对采购需求及实际特点、有利于采购标的实现及合同履约。</w:t>
            </w:r>
          </w:p>
          <w:p w14:paraId="3DD90B1B">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0DBD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75A410E5">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2290D6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6BF373E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75B1E55D">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安装、调试方法或方案，方案全面可行、针对采购需求及实际特点、有利于采购标的实现及合同履约。</w:t>
            </w:r>
          </w:p>
          <w:p w14:paraId="44B92496">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2FD3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383F72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技术培训</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8ACFC2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4F52BA2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33BCAE1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培训计划（包括培训流程、培训方式、培训对象、培训内容、培训日程等），计划方案全面可行、针对采购需求及实际特点、有利于采购标的实现及合同履约。</w:t>
            </w:r>
          </w:p>
          <w:p w14:paraId="68701B45">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51E9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51BDBEC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售后服务</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74BE4D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35967661">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6848274D">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售后服务方案（包括服务承诺、响应时间、服务方式、应急服务等），方案全面可行、针对采购需求及实际特点、有利于采购标的实现及合同履约。</w:t>
            </w:r>
          </w:p>
          <w:p w14:paraId="33189A6D">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57C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775E5B3C">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79DF1517">
            <w:pPr>
              <w:snapToGrid w:val="0"/>
              <w:jc w:val="center"/>
              <w:rPr>
                <w:rFonts w:hint="eastAsia" w:ascii="宋体" w:hAnsi="宋体" w:eastAsia="宋体" w:cs="宋体"/>
                <w:b/>
                <w:bCs/>
                <w:szCs w:val="21"/>
              </w:rPr>
            </w:pPr>
            <w:r>
              <w:rPr>
                <w:rFonts w:hint="eastAsia" w:ascii="宋体" w:hAnsi="宋体" w:eastAsia="宋体" w:cs="宋体"/>
                <w:b/>
                <w:bCs/>
                <w:szCs w:val="21"/>
              </w:rPr>
              <w:t>6</w:t>
            </w:r>
          </w:p>
        </w:tc>
        <w:tc>
          <w:tcPr>
            <w:tcW w:w="7072" w:type="dxa"/>
            <w:tcBorders>
              <w:top w:val="single" w:color="auto" w:sz="4" w:space="0"/>
              <w:left w:val="single" w:color="auto" w:sz="4" w:space="0"/>
              <w:bottom w:val="single" w:color="auto" w:sz="4" w:space="0"/>
              <w:right w:val="single" w:color="auto" w:sz="4" w:space="0"/>
            </w:tcBorders>
            <w:vAlign w:val="center"/>
          </w:tcPr>
          <w:p w14:paraId="7E38FCC7">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6B464E0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技术支持与服务团队：</w:t>
            </w:r>
          </w:p>
          <w:p w14:paraId="032B9C57">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1.人员数量充足、职责分工明确、针对采购需求及实际特点、有利于采购标的实现及合同履约。</w:t>
            </w:r>
            <w:r>
              <w:rPr>
                <w:rFonts w:hint="eastAsia" w:ascii="宋体" w:hAnsi="宋体" w:eastAsia="宋体" w:cs="宋体"/>
                <w:b/>
                <w:bCs/>
                <w:szCs w:val="21"/>
              </w:rPr>
              <w:t>（评分范围：3,2,1,0）</w:t>
            </w:r>
          </w:p>
          <w:p w14:paraId="3B196197">
            <w:pPr>
              <w:adjustRightInd w:val="0"/>
              <w:snapToGrid w:val="0"/>
              <w:spacing w:line="288" w:lineRule="auto"/>
              <w:rPr>
                <w:rFonts w:hint="eastAsia" w:ascii="宋体" w:hAnsi="宋体" w:eastAsia="宋体" w:cs="宋体"/>
              </w:rPr>
            </w:pPr>
            <w:r>
              <w:rPr>
                <w:rFonts w:hint="eastAsia" w:ascii="宋体" w:hAnsi="宋体" w:eastAsia="宋体" w:cs="宋体"/>
                <w:szCs w:val="21"/>
              </w:rPr>
              <w:t>2.专业技术能力强、有同类项目实施经验。</w:t>
            </w:r>
            <w:r>
              <w:rPr>
                <w:rFonts w:hint="eastAsia" w:ascii="宋体" w:hAnsi="宋体" w:eastAsia="宋体" w:cs="宋体"/>
                <w:b/>
                <w:bCs/>
                <w:szCs w:val="21"/>
              </w:rPr>
              <w:t>（评分范围：3,2,1,0）</w:t>
            </w:r>
          </w:p>
        </w:tc>
      </w:tr>
      <w:tr w14:paraId="7275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3B86494D">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29B6D508">
            <w:pPr>
              <w:snapToGrid w:val="0"/>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vAlign w:val="center"/>
          </w:tcPr>
          <w:p w14:paraId="6617676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2AE5B50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技术支持与服务内容包含但不限于驻场实施服务、试运行的技术支持与服务、平台使用答疑及其他技术协助内容，服务方案专业、可行、针对采购需求及实际特点、有利于采购标的实现及合同履约。</w:t>
            </w:r>
          </w:p>
          <w:p w14:paraId="495F9222">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（评分范围：4,3,2,1,0）</w:t>
            </w:r>
          </w:p>
        </w:tc>
      </w:tr>
    </w:tbl>
    <w:p w14:paraId="32953E45">
      <w:pPr>
        <w:adjustRightInd w:val="0"/>
        <w:snapToGrid w:val="0"/>
        <w:spacing w:line="288" w:lineRule="auto"/>
        <w:jc w:val="left"/>
        <w:rPr>
          <w:rFonts w:hint="eastAsia" w:ascii="宋体" w:hAnsi="宋体" w:eastAsia="宋体" w:cs="Times New Roman"/>
          <w:b/>
          <w:szCs w:val="21"/>
        </w:rPr>
      </w:pPr>
    </w:p>
    <w:p w14:paraId="22829BEF">
      <w:pPr>
        <w:rPr>
          <w:rFonts w:hint="eastAsia" w:ascii="宋体" w:hAnsi="宋体" w:eastAsia="宋体" w:cs="Times New Roman"/>
          <w:b/>
          <w:szCs w:val="21"/>
        </w:rPr>
      </w:pPr>
      <w:r>
        <w:rPr>
          <w:rFonts w:ascii="宋体" w:hAnsi="宋体" w:eastAsia="宋体" w:cs="Times New Roman"/>
          <w:b/>
          <w:szCs w:val="21"/>
        </w:rPr>
        <w:br w:type="page"/>
      </w:r>
    </w:p>
    <w:p w14:paraId="07A4E284">
      <w:pPr>
        <w:adjustRightInd w:val="0"/>
        <w:snapToGrid w:val="0"/>
        <w:spacing w:line="288" w:lineRule="auto"/>
        <w:outlineLvl w:val="2"/>
        <w:rPr>
          <w:rFonts w:hint="eastAsia" w:ascii="宋体" w:hAnsi="宋体" w:eastAsia="宋体" w:cs="Times New Roman"/>
          <w:b/>
          <w:spacing w:val="-6"/>
          <w:szCs w:val="21"/>
        </w:rPr>
      </w:pPr>
      <w:r>
        <w:rPr>
          <w:rFonts w:hint="eastAsia" w:ascii="宋体" w:hAnsi="宋体" w:eastAsia="宋体" w:cs="Times New Roman"/>
          <w:b/>
          <w:spacing w:val="-6"/>
          <w:szCs w:val="21"/>
        </w:rPr>
        <w:t>标项三：</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3893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B928864">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评审因素</w:t>
            </w:r>
          </w:p>
        </w:tc>
        <w:tc>
          <w:tcPr>
            <w:tcW w:w="654" w:type="dxa"/>
            <w:vAlign w:val="center"/>
          </w:tcPr>
          <w:p w14:paraId="1F874523">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分值</w:t>
            </w:r>
          </w:p>
        </w:tc>
        <w:tc>
          <w:tcPr>
            <w:tcW w:w="7072" w:type="dxa"/>
            <w:vAlign w:val="center"/>
          </w:tcPr>
          <w:p w14:paraId="23741D45">
            <w:pPr>
              <w:adjustRightInd w:val="0"/>
              <w:snapToGrid w:val="0"/>
              <w:spacing w:line="288" w:lineRule="auto"/>
              <w:jc w:val="center"/>
              <w:rPr>
                <w:rFonts w:hint="eastAsia" w:ascii="宋体" w:hAnsi="宋体" w:eastAsia="宋体" w:cs="Times New Roman"/>
                <w:b/>
                <w:bCs/>
                <w:szCs w:val="21"/>
              </w:rPr>
            </w:pPr>
            <w:r>
              <w:rPr>
                <w:rFonts w:ascii="宋体" w:hAnsi="宋体" w:eastAsia="宋体" w:cs="Times New Roman"/>
                <w:b/>
                <w:bCs/>
                <w:szCs w:val="21"/>
              </w:rPr>
              <w:t>评分标准</w:t>
            </w:r>
          </w:p>
        </w:tc>
      </w:tr>
      <w:tr w14:paraId="130F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108D2D4D">
            <w:pPr>
              <w:adjustRightInd w:val="0"/>
              <w:snapToGrid w:val="0"/>
              <w:spacing w:line="288" w:lineRule="auto"/>
              <w:jc w:val="left"/>
              <w:rPr>
                <w:rFonts w:hint="eastAsia" w:ascii="宋体" w:hAnsi="宋体" w:eastAsia="宋体" w:cs="Times New Roman"/>
                <w:b/>
                <w:bCs/>
                <w:szCs w:val="21"/>
              </w:rPr>
            </w:pPr>
            <w:r>
              <w:rPr>
                <w:rFonts w:ascii="宋体" w:hAnsi="宋体" w:eastAsia="宋体" w:cs="Times New Roman"/>
                <w:b/>
                <w:bCs/>
                <w:szCs w:val="21"/>
              </w:rPr>
              <w:t>价格</w:t>
            </w:r>
            <w:r>
              <w:rPr>
                <w:rFonts w:hint="eastAsia" w:ascii="宋体" w:hAnsi="宋体" w:eastAsia="宋体" w:cs="Times New Roman"/>
                <w:b/>
                <w:bCs/>
                <w:szCs w:val="21"/>
              </w:rPr>
              <w:t>分</w:t>
            </w:r>
          </w:p>
        </w:tc>
      </w:tr>
      <w:tr w14:paraId="4603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5898651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696BD8C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30</w:t>
            </w:r>
          </w:p>
        </w:tc>
        <w:tc>
          <w:tcPr>
            <w:tcW w:w="7072" w:type="dxa"/>
            <w:tcBorders>
              <w:top w:val="single" w:color="auto" w:sz="4" w:space="0"/>
              <w:left w:val="single" w:color="auto" w:sz="4" w:space="0"/>
              <w:bottom w:val="single" w:color="auto" w:sz="4" w:space="0"/>
              <w:right w:val="single" w:color="auto" w:sz="4" w:space="0"/>
            </w:tcBorders>
            <w:vAlign w:val="center"/>
          </w:tcPr>
          <w:p w14:paraId="69695DC8">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14:paraId="0A3FA0A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价格分=（评标基准价/投标报价）×30%×100</w:t>
            </w:r>
          </w:p>
        </w:tc>
      </w:tr>
      <w:tr w14:paraId="3C25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0F4DF10C">
            <w:pPr>
              <w:adjustRightInd w:val="0"/>
              <w:snapToGrid w:val="0"/>
              <w:spacing w:line="288" w:lineRule="auto"/>
              <w:jc w:val="left"/>
              <w:rPr>
                <w:rFonts w:hint="eastAsia" w:ascii="宋体" w:hAnsi="宋体" w:eastAsia="宋体" w:cs="Times New Roman"/>
                <w:b/>
                <w:bCs/>
                <w:szCs w:val="21"/>
              </w:rPr>
            </w:pPr>
            <w:r>
              <w:rPr>
                <w:rFonts w:ascii="宋体" w:hAnsi="宋体" w:eastAsia="宋体" w:cs="Times New Roman"/>
                <w:b/>
                <w:bCs/>
                <w:szCs w:val="21"/>
              </w:rPr>
              <w:t>商务分</w:t>
            </w:r>
          </w:p>
        </w:tc>
      </w:tr>
      <w:tr w14:paraId="7AB6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768C66D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质保期</w:t>
            </w:r>
          </w:p>
        </w:tc>
        <w:tc>
          <w:tcPr>
            <w:tcW w:w="654" w:type="dxa"/>
            <w:vAlign w:val="center"/>
          </w:tcPr>
          <w:p w14:paraId="0352362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03F3326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23E09B65">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满足招标文件最低要求基础上每延长1年得0.5分（最高1分），延长时间不足1年不计入得分。</w:t>
            </w:r>
          </w:p>
        </w:tc>
      </w:tr>
      <w:tr w14:paraId="7B50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3932330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业绩</w:t>
            </w:r>
          </w:p>
        </w:tc>
        <w:tc>
          <w:tcPr>
            <w:tcW w:w="654" w:type="dxa"/>
            <w:vAlign w:val="center"/>
          </w:tcPr>
          <w:p w14:paraId="55DBFEF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w:t>
            </w:r>
          </w:p>
        </w:tc>
        <w:tc>
          <w:tcPr>
            <w:tcW w:w="7072" w:type="dxa"/>
            <w:vAlign w:val="center"/>
          </w:tcPr>
          <w:p w14:paraId="73D018E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115815F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投标人自2021年1月1日以来（以合同签订时间为准）同类合同业绩（以提供的合同扫描件为准）：每提供1份合同业绩得</w:t>
            </w:r>
            <w:r>
              <w:rPr>
                <w:rFonts w:ascii="宋体" w:hAnsi="宋体" w:eastAsia="宋体" w:cs="宋体"/>
                <w:szCs w:val="21"/>
              </w:rPr>
              <w:t>1</w:t>
            </w:r>
            <w:r>
              <w:rPr>
                <w:rFonts w:hint="eastAsia" w:ascii="宋体" w:hAnsi="宋体" w:eastAsia="宋体" w:cs="宋体"/>
                <w:szCs w:val="21"/>
              </w:rPr>
              <w:t>分，最高得3分。</w:t>
            </w:r>
          </w:p>
        </w:tc>
      </w:tr>
      <w:tr w14:paraId="7645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4C76DBA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政策功能</w:t>
            </w:r>
          </w:p>
        </w:tc>
        <w:tc>
          <w:tcPr>
            <w:tcW w:w="654" w:type="dxa"/>
            <w:vAlign w:val="center"/>
          </w:tcPr>
          <w:p w14:paraId="06D65EA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68FB0317">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00B266F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投标产品属于品目清单范围且提供国家确定的认证机构出具的有效的节能产品认证证书（扫描件）的得0.5分；</w:t>
            </w:r>
          </w:p>
          <w:p w14:paraId="5724005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投标产品属于品目清单范围且提供国家确定的认证机构出具的有效的环境标志产品认证证书（扫描件）的得0.5分；</w:t>
            </w:r>
          </w:p>
          <w:p w14:paraId="1B2F07A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注：政府强制采购的节能产品的除外。</w:t>
            </w:r>
          </w:p>
        </w:tc>
      </w:tr>
      <w:tr w14:paraId="2D64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7442452E">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技术</w:t>
            </w:r>
            <w:r>
              <w:rPr>
                <w:rFonts w:ascii="宋体" w:hAnsi="宋体" w:eastAsia="宋体" w:cs="Times New Roman"/>
                <w:b/>
                <w:bCs/>
                <w:szCs w:val="21"/>
              </w:rPr>
              <w:t>分</w:t>
            </w:r>
          </w:p>
        </w:tc>
      </w:tr>
      <w:tr w14:paraId="30F6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1808EB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技术响应程度</w:t>
            </w:r>
          </w:p>
        </w:tc>
        <w:tc>
          <w:tcPr>
            <w:tcW w:w="654" w:type="dxa"/>
            <w:vAlign w:val="center"/>
          </w:tcPr>
          <w:p w14:paraId="0BEEEFC6">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10</w:t>
            </w:r>
          </w:p>
        </w:tc>
        <w:tc>
          <w:tcPr>
            <w:tcW w:w="7072" w:type="dxa"/>
            <w:vAlign w:val="center"/>
          </w:tcPr>
          <w:p w14:paraId="68713FB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5BA73A6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投标产品对采购需求中“</w:t>
            </w:r>
            <w:r>
              <w:rPr>
                <w:rFonts w:hint="eastAsia" w:ascii="宋体" w:hAnsi="宋体" w:eastAsia="宋体" w:cs="Times New Roman"/>
                <w:b/>
                <w:bCs/>
                <w:spacing w:val="-4"/>
                <w:szCs w:val="21"/>
              </w:rPr>
              <w:t>需满足的质量、安全、技术规格、物理特性等要求</w:t>
            </w:r>
            <w:r>
              <w:rPr>
                <w:rFonts w:hint="eastAsia" w:ascii="宋体" w:hAnsi="宋体" w:eastAsia="宋体" w:cs="宋体"/>
                <w:szCs w:val="21"/>
              </w:rPr>
              <w:t>”的响应程度：不符合（负偏离）技术要求中标注“▲”条款（不可偏离）的投标无效；</w:t>
            </w:r>
          </w:p>
          <w:p w14:paraId="3979891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满足招标文件明确的全部技术条款要求的</w:t>
            </w:r>
            <w:r>
              <w:rPr>
                <w:rFonts w:hint="eastAsia" w:ascii="宋体" w:hAnsi="宋体" w:eastAsia="宋体" w:cs="Times New Roman"/>
                <w:szCs w:val="21"/>
              </w:rPr>
              <w:t>该项得满分</w:t>
            </w:r>
            <w:r>
              <w:rPr>
                <w:rFonts w:hint="eastAsia" w:ascii="宋体" w:hAnsi="宋体" w:eastAsia="宋体" w:cs="宋体"/>
                <w:szCs w:val="21"/>
              </w:rPr>
              <w:t>；</w:t>
            </w:r>
          </w:p>
          <w:p w14:paraId="068C3BB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技术条款低于技术要求（负偏离）的每项扣1分；</w:t>
            </w:r>
          </w:p>
          <w:p w14:paraId="4CDC0D49">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负偏离10</w:t>
            </w:r>
            <w:r>
              <w:rPr>
                <w:rFonts w:ascii="宋体" w:hAnsi="宋体" w:eastAsia="宋体" w:cs="宋体"/>
                <w:szCs w:val="21"/>
              </w:rPr>
              <w:t>项及以上的，视为采购人不能接受的附加条件。</w:t>
            </w:r>
          </w:p>
        </w:tc>
      </w:tr>
      <w:tr w14:paraId="6401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7" w:type="dxa"/>
            <w:vMerge w:val="restart"/>
            <w:vAlign w:val="center"/>
          </w:tcPr>
          <w:p w14:paraId="7C4B0FE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技术方案</w:t>
            </w:r>
          </w:p>
        </w:tc>
        <w:tc>
          <w:tcPr>
            <w:tcW w:w="654" w:type="dxa"/>
            <w:shd w:val="clear" w:color="auto" w:fill="auto"/>
            <w:vAlign w:val="center"/>
          </w:tcPr>
          <w:p w14:paraId="66ADA43F">
            <w:pPr>
              <w:snapToGrid w:val="0"/>
              <w:jc w:val="center"/>
              <w:rPr>
                <w:rFonts w:hint="eastAsia" w:ascii="仿宋" w:hAnsi="仿宋" w:eastAsia="仿宋" w:cs="仿宋"/>
                <w:b/>
                <w:bCs/>
                <w:szCs w:val="21"/>
              </w:rPr>
            </w:pPr>
            <w:r>
              <w:rPr>
                <w:rFonts w:hint="eastAsia" w:ascii="仿宋" w:hAnsi="仿宋" w:eastAsia="仿宋" w:cs="仿宋"/>
                <w:b/>
                <w:bCs/>
                <w:szCs w:val="21"/>
              </w:rPr>
              <w:t>6</w:t>
            </w:r>
          </w:p>
        </w:tc>
        <w:tc>
          <w:tcPr>
            <w:tcW w:w="7072" w:type="dxa"/>
            <w:shd w:val="clear" w:color="auto" w:fill="auto"/>
            <w:vAlign w:val="center"/>
          </w:tcPr>
          <w:p w14:paraId="2E82FFF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72A39DD2">
            <w:pPr>
              <w:snapToGrid w:val="0"/>
              <w:rPr>
                <w:rFonts w:hint="eastAsia" w:ascii="宋体" w:hAnsi="宋体" w:eastAsia="宋体" w:cs="宋体"/>
                <w:b/>
                <w:bCs/>
                <w:szCs w:val="21"/>
              </w:rPr>
            </w:pPr>
            <w:r>
              <w:rPr>
                <w:rFonts w:hint="eastAsia" w:ascii="宋体" w:hAnsi="宋体" w:eastAsia="宋体" w:cs="宋体"/>
                <w:b/>
                <w:bCs/>
                <w:szCs w:val="21"/>
              </w:rPr>
              <w:t>投标产品大模型私有化实施服务系统技术解决方案：</w:t>
            </w:r>
            <w:r>
              <w:rPr>
                <w:rFonts w:hint="eastAsia" w:ascii="宋体" w:hAnsi="宋体" w:eastAsia="宋体" w:cs="宋体"/>
                <w:szCs w:val="21"/>
              </w:rPr>
              <w:t>方案专业可行、针对采购需求及实际特点、有利于采购标的实现及合同履约。</w:t>
            </w:r>
          </w:p>
          <w:p w14:paraId="09EA665F">
            <w:pPr>
              <w:snapToGrid w:val="0"/>
              <w:rPr>
                <w:rFonts w:hint="eastAsia" w:ascii="宋体" w:hAnsi="宋体" w:eastAsia="宋体" w:cs="宋体"/>
                <w:szCs w:val="21"/>
              </w:rPr>
            </w:pPr>
            <w:r>
              <w:rPr>
                <w:rFonts w:hint="eastAsia" w:ascii="宋体" w:hAnsi="宋体" w:eastAsia="宋体" w:cs="宋体"/>
                <w:szCs w:val="21"/>
              </w:rPr>
              <w:t>1.模型管理与部署模块、模型量化模块、模型库管理模块</w:t>
            </w:r>
            <w:r>
              <w:rPr>
                <w:rFonts w:hint="eastAsia" w:ascii="宋体" w:hAnsi="宋体" w:eastAsia="宋体" w:cs="宋体"/>
                <w:b/>
                <w:bCs/>
                <w:szCs w:val="21"/>
              </w:rPr>
              <w:t>（评分范围:3,2,1,0）</w:t>
            </w:r>
          </w:p>
          <w:p w14:paraId="0065FF57">
            <w:pPr>
              <w:snapToGrid w:val="0"/>
              <w:rPr>
                <w:rFonts w:hint="eastAsia" w:ascii="宋体" w:hAnsi="宋体" w:eastAsia="宋体" w:cs="宋体"/>
                <w:szCs w:val="21"/>
              </w:rPr>
            </w:pPr>
            <w:r>
              <w:rPr>
                <w:rFonts w:hint="eastAsia" w:ascii="宋体" w:hAnsi="宋体" w:eastAsia="宋体" w:cs="宋体"/>
                <w:szCs w:val="21"/>
              </w:rPr>
              <w:t>2.推理加速模块、服务功能模块、高效资源管理模块、自动化部署与管理模块</w:t>
            </w:r>
            <w:r>
              <w:rPr>
                <w:rFonts w:hint="eastAsia" w:ascii="宋体" w:hAnsi="宋体" w:eastAsia="宋体" w:cs="宋体"/>
                <w:b/>
                <w:bCs/>
                <w:szCs w:val="21"/>
              </w:rPr>
              <w:t>（评分范围:3,2,1,0）</w:t>
            </w:r>
          </w:p>
        </w:tc>
      </w:tr>
      <w:tr w14:paraId="38D8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vAlign w:val="center"/>
          </w:tcPr>
          <w:p w14:paraId="2423338E">
            <w:pPr>
              <w:adjustRightInd w:val="0"/>
              <w:snapToGrid w:val="0"/>
              <w:spacing w:line="288" w:lineRule="auto"/>
              <w:jc w:val="center"/>
              <w:rPr>
                <w:rFonts w:hint="eastAsia" w:ascii="宋体" w:hAnsi="宋体" w:eastAsia="宋体" w:cs="宋体"/>
                <w:b/>
                <w:bCs/>
                <w:szCs w:val="21"/>
              </w:rPr>
            </w:pPr>
          </w:p>
        </w:tc>
        <w:tc>
          <w:tcPr>
            <w:tcW w:w="654" w:type="dxa"/>
            <w:shd w:val="clear" w:color="auto" w:fill="auto"/>
            <w:vAlign w:val="center"/>
          </w:tcPr>
          <w:p w14:paraId="757D8B93">
            <w:pPr>
              <w:snapToGrid w:val="0"/>
              <w:jc w:val="center"/>
              <w:rPr>
                <w:rFonts w:hint="eastAsia" w:ascii="仿宋" w:hAnsi="仿宋" w:eastAsia="仿宋" w:cs="仿宋"/>
                <w:b/>
                <w:bCs/>
                <w:szCs w:val="21"/>
              </w:rPr>
            </w:pPr>
            <w:r>
              <w:rPr>
                <w:rFonts w:hint="eastAsia" w:ascii="仿宋" w:hAnsi="仿宋" w:eastAsia="仿宋" w:cs="仿宋"/>
                <w:b/>
                <w:bCs/>
                <w:szCs w:val="21"/>
              </w:rPr>
              <w:t>15</w:t>
            </w:r>
          </w:p>
        </w:tc>
        <w:tc>
          <w:tcPr>
            <w:tcW w:w="7072" w:type="dxa"/>
            <w:shd w:val="clear" w:color="auto" w:fill="auto"/>
            <w:vAlign w:val="center"/>
          </w:tcPr>
          <w:p w14:paraId="6C60810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4D4403A0">
            <w:pPr>
              <w:snapToGrid w:val="0"/>
              <w:rPr>
                <w:rFonts w:hint="eastAsia" w:ascii="宋体" w:hAnsi="宋体" w:eastAsia="宋体" w:cs="宋体"/>
                <w:b/>
                <w:bCs/>
                <w:szCs w:val="21"/>
              </w:rPr>
            </w:pPr>
            <w:r>
              <w:rPr>
                <w:rFonts w:hint="eastAsia" w:ascii="宋体" w:hAnsi="宋体" w:eastAsia="宋体" w:cs="宋体"/>
                <w:b/>
                <w:bCs/>
                <w:szCs w:val="21"/>
              </w:rPr>
              <w:t>投标产品“共同富裕智慧大脑”私有数据模型训练服务平台技术解决方案：</w:t>
            </w:r>
            <w:r>
              <w:rPr>
                <w:rFonts w:hint="eastAsia" w:ascii="宋体" w:hAnsi="宋体" w:eastAsia="宋体" w:cs="宋体"/>
                <w:szCs w:val="21"/>
              </w:rPr>
              <w:t>方案专业可行、针对采购需求及实际特点、有利于采购标的实现及合同履约。</w:t>
            </w:r>
          </w:p>
          <w:p w14:paraId="454BEF9C">
            <w:pPr>
              <w:snapToGrid w:val="0"/>
              <w:rPr>
                <w:rFonts w:hint="eastAsia" w:ascii="宋体" w:hAnsi="宋体" w:eastAsia="宋体" w:cs="宋体"/>
                <w:szCs w:val="21"/>
              </w:rPr>
            </w:pPr>
            <w:r>
              <w:rPr>
                <w:rFonts w:hint="eastAsia" w:ascii="宋体" w:hAnsi="宋体" w:eastAsia="宋体" w:cs="宋体"/>
                <w:szCs w:val="21"/>
              </w:rPr>
              <w:t>1.模型数据管理</w:t>
            </w:r>
            <w:r>
              <w:rPr>
                <w:rFonts w:hint="eastAsia" w:ascii="宋体" w:hAnsi="宋体" w:eastAsia="宋体" w:cs="宋体"/>
                <w:szCs w:val="21"/>
                <w:lang w:eastAsia="zh"/>
              </w:rPr>
              <w:t>模块</w:t>
            </w:r>
            <w:r>
              <w:rPr>
                <w:rFonts w:hint="eastAsia" w:ascii="宋体" w:hAnsi="宋体" w:eastAsia="宋体" w:cs="宋体"/>
                <w:szCs w:val="21"/>
              </w:rPr>
              <w:t>、数据</w:t>
            </w:r>
            <w:r>
              <w:rPr>
                <w:rFonts w:hint="eastAsia" w:ascii="宋体" w:hAnsi="宋体" w:eastAsia="宋体" w:cs="宋体"/>
                <w:szCs w:val="21"/>
                <w:lang w:eastAsia="zh"/>
              </w:rPr>
              <w:t>预</w:t>
            </w:r>
            <w:r>
              <w:rPr>
                <w:rFonts w:hint="eastAsia" w:ascii="宋体" w:hAnsi="宋体" w:eastAsia="宋体" w:cs="宋体"/>
                <w:szCs w:val="21"/>
              </w:rPr>
              <w:t>处理</w:t>
            </w:r>
            <w:r>
              <w:rPr>
                <w:rFonts w:hint="eastAsia" w:ascii="宋体" w:hAnsi="宋体" w:eastAsia="宋体" w:cs="宋体"/>
                <w:szCs w:val="21"/>
                <w:lang w:eastAsia="zh"/>
              </w:rPr>
              <w:t>模块</w:t>
            </w:r>
            <w:r>
              <w:rPr>
                <w:rFonts w:hint="eastAsia" w:ascii="宋体" w:hAnsi="宋体" w:eastAsia="宋体" w:cs="宋体"/>
                <w:b/>
                <w:bCs/>
                <w:szCs w:val="21"/>
              </w:rPr>
              <w:t>（评分范围:3,2,1,0）</w:t>
            </w:r>
          </w:p>
          <w:p w14:paraId="0D340F63">
            <w:pPr>
              <w:snapToGrid w:val="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
              </w:rPr>
              <w:t>共同富裕政策大模型</w:t>
            </w:r>
            <w:r>
              <w:rPr>
                <w:rFonts w:hint="eastAsia" w:ascii="宋体" w:hAnsi="宋体" w:eastAsia="宋体" w:cs="宋体"/>
                <w:szCs w:val="21"/>
              </w:rPr>
              <w:t>、共同富裕数据训练大模型</w:t>
            </w:r>
            <w:r>
              <w:rPr>
                <w:rFonts w:hint="eastAsia" w:ascii="宋体" w:hAnsi="宋体" w:eastAsia="宋体" w:cs="宋体"/>
                <w:b/>
                <w:bCs/>
                <w:szCs w:val="21"/>
              </w:rPr>
              <w:t>（评分范围:3,2,1,0）</w:t>
            </w:r>
          </w:p>
          <w:p w14:paraId="213F0908">
            <w:pPr>
              <w:snapToGrid w:val="0"/>
              <w:rPr>
                <w:rFonts w:hint="eastAsia" w:ascii="宋体" w:hAnsi="宋体" w:eastAsia="宋体" w:cs="宋体"/>
                <w:szCs w:val="21"/>
              </w:rPr>
            </w:pPr>
            <w:r>
              <w:rPr>
                <w:rFonts w:hint="eastAsia" w:ascii="宋体" w:hAnsi="宋体" w:eastAsia="宋体" w:cs="宋体"/>
                <w:szCs w:val="21"/>
              </w:rPr>
              <w:t>3.训练优化引擎模块、评估与分析模块、模型评测</w:t>
            </w:r>
            <w:r>
              <w:rPr>
                <w:rFonts w:hint="eastAsia" w:ascii="宋体" w:hAnsi="宋体" w:eastAsia="宋体" w:cs="宋体"/>
                <w:szCs w:val="21"/>
                <w:lang w:eastAsia="zh"/>
              </w:rPr>
              <w:t>模块</w:t>
            </w:r>
            <w:r>
              <w:rPr>
                <w:rFonts w:hint="eastAsia" w:ascii="宋体" w:hAnsi="宋体" w:eastAsia="宋体" w:cs="宋体"/>
                <w:b/>
                <w:bCs/>
                <w:szCs w:val="21"/>
              </w:rPr>
              <w:t>（评分范围:3,2,1,0）</w:t>
            </w:r>
          </w:p>
          <w:p w14:paraId="0A4A3700">
            <w:pPr>
              <w:snapToGrid w:val="0"/>
              <w:rPr>
                <w:rFonts w:hint="eastAsia" w:ascii="宋体" w:hAnsi="宋体" w:eastAsia="宋体" w:cs="宋体"/>
                <w:szCs w:val="21"/>
              </w:rPr>
            </w:pPr>
            <w:r>
              <w:rPr>
                <w:rFonts w:hint="eastAsia" w:ascii="宋体" w:hAnsi="宋体" w:eastAsia="宋体" w:cs="宋体"/>
                <w:szCs w:val="21"/>
              </w:rPr>
              <w:t>4.数据共享与协作</w:t>
            </w:r>
            <w:r>
              <w:rPr>
                <w:rFonts w:hint="eastAsia" w:ascii="宋体" w:hAnsi="宋体" w:eastAsia="宋体" w:cs="宋体"/>
                <w:szCs w:val="21"/>
                <w:lang w:eastAsia="zh"/>
              </w:rPr>
              <w:t>模块</w:t>
            </w:r>
            <w:r>
              <w:rPr>
                <w:rFonts w:hint="eastAsia" w:ascii="宋体" w:hAnsi="宋体" w:eastAsia="宋体" w:cs="宋体"/>
                <w:szCs w:val="21"/>
              </w:rPr>
              <w:t>、可视化与洞察生成</w:t>
            </w:r>
            <w:r>
              <w:rPr>
                <w:rFonts w:hint="eastAsia" w:ascii="宋体" w:hAnsi="宋体" w:eastAsia="宋体" w:cs="宋体"/>
                <w:szCs w:val="21"/>
                <w:lang w:eastAsia="zh"/>
              </w:rPr>
              <w:t>模块</w:t>
            </w:r>
            <w:r>
              <w:rPr>
                <w:rFonts w:hint="eastAsia" w:ascii="宋体" w:hAnsi="宋体" w:eastAsia="宋体" w:cs="宋体"/>
                <w:szCs w:val="21"/>
              </w:rPr>
              <w:t>、持续学习与动态更新</w:t>
            </w:r>
            <w:r>
              <w:rPr>
                <w:rFonts w:hint="eastAsia" w:ascii="宋体" w:hAnsi="宋体" w:eastAsia="宋体" w:cs="宋体"/>
                <w:szCs w:val="21"/>
                <w:lang w:eastAsia="zh"/>
              </w:rPr>
              <w:t>模块</w:t>
            </w:r>
            <w:r>
              <w:rPr>
                <w:rFonts w:hint="eastAsia" w:ascii="宋体" w:hAnsi="宋体" w:eastAsia="宋体" w:cs="宋体"/>
                <w:b/>
                <w:bCs/>
                <w:szCs w:val="21"/>
              </w:rPr>
              <w:t>（评分范围:3,2,1,0）</w:t>
            </w:r>
          </w:p>
          <w:p w14:paraId="5C2CAC3A">
            <w:pPr>
              <w:snapToGrid w:val="0"/>
              <w:rPr>
                <w:rFonts w:hint="eastAsia" w:ascii="宋体" w:hAnsi="宋体" w:cs="宋体"/>
                <w:szCs w:val="21"/>
              </w:rPr>
            </w:pPr>
            <w:r>
              <w:rPr>
                <w:rFonts w:hint="eastAsia" w:ascii="宋体" w:hAnsi="宋体" w:eastAsia="宋体" w:cs="宋体"/>
                <w:szCs w:val="21"/>
              </w:rPr>
              <w:t>5.政策计算器、政策与决策支持</w:t>
            </w:r>
            <w:r>
              <w:rPr>
                <w:rFonts w:hint="eastAsia" w:ascii="宋体" w:hAnsi="宋体" w:eastAsia="宋体" w:cs="宋体"/>
                <w:szCs w:val="21"/>
                <w:lang w:eastAsia="zh"/>
              </w:rPr>
              <w:t>模块</w:t>
            </w:r>
            <w:r>
              <w:rPr>
                <w:rFonts w:hint="eastAsia" w:ascii="宋体" w:hAnsi="宋体" w:eastAsia="宋体" w:cs="宋体"/>
                <w:szCs w:val="21"/>
              </w:rPr>
              <w:t>、多领域模型支持</w:t>
            </w:r>
            <w:r>
              <w:rPr>
                <w:rFonts w:hint="eastAsia" w:ascii="宋体" w:hAnsi="宋体" w:eastAsia="宋体" w:cs="宋体"/>
                <w:szCs w:val="21"/>
                <w:lang w:eastAsia="zh"/>
              </w:rPr>
              <w:t>模块</w:t>
            </w:r>
            <w:r>
              <w:rPr>
                <w:rFonts w:hint="eastAsia" w:ascii="宋体" w:hAnsi="宋体" w:eastAsia="宋体" w:cs="宋体"/>
                <w:szCs w:val="21"/>
              </w:rPr>
              <w:t>、平台扩展与集成</w:t>
            </w:r>
            <w:r>
              <w:rPr>
                <w:rFonts w:hint="eastAsia" w:ascii="宋体" w:hAnsi="宋体" w:eastAsia="宋体" w:cs="宋体"/>
                <w:szCs w:val="21"/>
                <w:lang w:eastAsia="zh"/>
              </w:rPr>
              <w:t>模块</w:t>
            </w:r>
            <w:r>
              <w:rPr>
                <w:rFonts w:hint="eastAsia" w:ascii="宋体" w:hAnsi="宋体" w:eastAsia="宋体" w:cs="宋体"/>
                <w:b/>
                <w:bCs/>
                <w:szCs w:val="21"/>
              </w:rPr>
              <w:t>（评分范围:3,2,1,0）</w:t>
            </w:r>
          </w:p>
        </w:tc>
      </w:tr>
      <w:tr w14:paraId="2E9B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547F33F1">
            <w:pPr>
              <w:adjustRightInd w:val="0"/>
              <w:snapToGrid w:val="0"/>
              <w:spacing w:line="288" w:lineRule="auto"/>
              <w:jc w:val="center"/>
              <w:rPr>
                <w:rFonts w:hint="eastAsia" w:ascii="宋体" w:hAnsi="宋体" w:eastAsia="宋体" w:cs="宋体"/>
                <w:b/>
                <w:bCs/>
                <w:szCs w:val="21"/>
              </w:rPr>
            </w:pPr>
            <w:r>
              <w:rPr>
                <w:rFonts w:hint="eastAsia" w:ascii="宋体" w:hAnsi="宋体" w:eastAsia="宋体" w:cs="Times New Roman"/>
                <w:b/>
                <w:bCs/>
                <w:szCs w:val="21"/>
              </w:rPr>
              <w:t>实施方案</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EF88DE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1068993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17CB3CC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实施（进度控制计划、技术文档移交）方案，方案全面可行、针对采购需求及实际特点、有利于采购标的实现及合同履约。</w:t>
            </w:r>
          </w:p>
          <w:p w14:paraId="6AE6AD86">
            <w:pPr>
              <w:adjustRightInd w:val="0"/>
              <w:snapToGrid w:val="0"/>
              <w:spacing w:line="288" w:lineRule="auto"/>
              <w:rPr>
                <w:rFonts w:hint="eastAsia" w:ascii="宋体" w:hAnsi="宋体" w:eastAsia="宋体" w:cs="宋体"/>
                <w:szCs w:val="21"/>
              </w:rPr>
            </w:pPr>
            <w:r>
              <w:rPr>
                <w:rFonts w:hint="eastAsia"/>
                <w:b/>
                <w:bCs/>
                <w:szCs w:val="21"/>
              </w:rPr>
              <w:t>（评分范围：5,4,3,2,1,0）</w:t>
            </w:r>
          </w:p>
        </w:tc>
      </w:tr>
      <w:tr w14:paraId="4B39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2CE2815E">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889BFBB">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278D0E79">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697111D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日常运行及维护保养方案，方案全面可行、针对采购需求及实际特点、有利于采购标的实现及合同履约。</w:t>
            </w:r>
          </w:p>
          <w:p w14:paraId="31C770A7">
            <w:pPr>
              <w:adjustRightInd w:val="0"/>
              <w:snapToGrid w:val="0"/>
              <w:spacing w:line="288" w:lineRule="auto"/>
              <w:rPr>
                <w:rFonts w:hint="eastAsia" w:ascii="宋体" w:hAnsi="宋体" w:eastAsia="宋体" w:cs="宋体"/>
                <w:szCs w:val="21"/>
              </w:rPr>
            </w:pPr>
            <w:r>
              <w:rPr>
                <w:rFonts w:hint="eastAsia"/>
                <w:b/>
                <w:bCs/>
                <w:szCs w:val="21"/>
              </w:rPr>
              <w:t>（评分范围：4,3,2,1,0）</w:t>
            </w:r>
          </w:p>
        </w:tc>
      </w:tr>
      <w:tr w14:paraId="0FBA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79BA44C9">
            <w:pPr>
              <w:adjustRightInd w:val="0"/>
              <w:snapToGrid w:val="0"/>
              <w:spacing w:line="288" w:lineRule="auto"/>
              <w:jc w:val="center"/>
              <w:rPr>
                <w:rFonts w:hint="eastAsia" w:ascii="宋体" w:hAnsi="宋体" w:eastAsia="宋体" w:cs="Times New Roman"/>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9EDC19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312981C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2064456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安装、调试方法或方案，方案全面可行、针对采购需求及实际特点、有利于采购标的实现及合同履约。</w:t>
            </w:r>
          </w:p>
          <w:p w14:paraId="41C723EF">
            <w:pPr>
              <w:adjustRightInd w:val="0"/>
              <w:snapToGrid w:val="0"/>
              <w:spacing w:line="288" w:lineRule="auto"/>
              <w:rPr>
                <w:rFonts w:hint="eastAsia" w:ascii="宋体" w:hAnsi="宋体" w:eastAsia="宋体" w:cs="宋体"/>
                <w:szCs w:val="21"/>
              </w:rPr>
            </w:pPr>
            <w:r>
              <w:rPr>
                <w:rFonts w:hint="eastAsia"/>
                <w:b/>
                <w:bCs/>
                <w:szCs w:val="21"/>
              </w:rPr>
              <w:t>（评分范围：5</w:t>
            </w:r>
            <w:r>
              <w:rPr>
                <w:b/>
                <w:bCs/>
                <w:szCs w:val="21"/>
              </w:rPr>
              <w:t>,4,3,2,1,0</w:t>
            </w:r>
            <w:r>
              <w:rPr>
                <w:rFonts w:hint="eastAsia"/>
                <w:b/>
                <w:bCs/>
                <w:szCs w:val="21"/>
              </w:rPr>
              <w:t>）</w:t>
            </w:r>
          </w:p>
        </w:tc>
      </w:tr>
      <w:tr w14:paraId="6A7F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CD141F6">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技术培训</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2DC6BE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5D239E2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3A7660C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培训计划（包括培训流程、培训方式、培训对象、培训内容、培训日程等），计划方案全面可行、针对采购需求及实际特点、有利于采购标的实现及合同履约。</w:t>
            </w:r>
          </w:p>
          <w:p w14:paraId="6A6CC99A">
            <w:pPr>
              <w:adjustRightInd w:val="0"/>
              <w:snapToGrid w:val="0"/>
              <w:spacing w:line="288" w:lineRule="auto"/>
              <w:rPr>
                <w:rFonts w:hint="eastAsia" w:ascii="宋体" w:hAnsi="宋体" w:eastAsia="宋体" w:cs="宋体"/>
                <w:szCs w:val="21"/>
              </w:rPr>
            </w:pPr>
            <w:r>
              <w:rPr>
                <w:rFonts w:hint="eastAsia"/>
                <w:b/>
                <w:bCs/>
                <w:szCs w:val="21"/>
              </w:rPr>
              <w:t>（评分范围：5</w:t>
            </w:r>
            <w:r>
              <w:rPr>
                <w:b/>
                <w:bCs/>
                <w:szCs w:val="21"/>
              </w:rPr>
              <w:t>,4,3,2,1,0</w:t>
            </w:r>
            <w:r>
              <w:rPr>
                <w:rFonts w:hint="eastAsia"/>
                <w:b/>
                <w:bCs/>
                <w:szCs w:val="21"/>
              </w:rPr>
              <w:t>）</w:t>
            </w:r>
          </w:p>
        </w:tc>
      </w:tr>
      <w:tr w14:paraId="1A72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257F4050">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售后服务</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DD2F36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40CFEAE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0373031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售后服务方案（包括服务承诺、响应时间、服务方式、应急服务等），方案全面可行、针对采购需求及实际特点、有利于采购标的实现及合同履约。</w:t>
            </w:r>
          </w:p>
          <w:p w14:paraId="6E49A600">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（评分范围：5,4,3,2,1,0）</w:t>
            </w:r>
          </w:p>
        </w:tc>
      </w:tr>
      <w:tr w14:paraId="47B5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2943EB49">
            <w:pPr>
              <w:adjustRightInd w:val="0"/>
              <w:snapToGrid w:val="0"/>
              <w:spacing w:line="288" w:lineRule="auto"/>
              <w:jc w:val="center"/>
              <w:rPr>
                <w:rFonts w:hint="eastAsia" w:ascii="宋体" w:hAnsi="宋体" w:eastAsia="宋体" w:cs="Times New Roman"/>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2DA60B77">
            <w:pPr>
              <w:snapToGrid w:val="0"/>
              <w:jc w:val="center"/>
              <w:rPr>
                <w:rFonts w:hint="eastAsia" w:ascii="宋体" w:hAnsi="宋体" w:eastAsia="宋体" w:cs="宋体"/>
                <w:b/>
                <w:bCs/>
                <w:szCs w:val="21"/>
              </w:rPr>
            </w:pPr>
            <w:r>
              <w:rPr>
                <w:rFonts w:hint="eastAsia" w:ascii="仿宋" w:hAnsi="仿宋" w:eastAsia="仿宋" w:cs="仿宋"/>
                <w:b/>
                <w:bCs/>
                <w:szCs w:val="21"/>
              </w:rPr>
              <w:t>6</w:t>
            </w:r>
          </w:p>
        </w:tc>
        <w:tc>
          <w:tcPr>
            <w:tcW w:w="7072" w:type="dxa"/>
            <w:tcBorders>
              <w:top w:val="single" w:color="auto" w:sz="4" w:space="0"/>
              <w:left w:val="single" w:color="auto" w:sz="4" w:space="0"/>
              <w:bottom w:val="single" w:color="auto" w:sz="4" w:space="0"/>
              <w:right w:val="single" w:color="auto" w:sz="4" w:space="0"/>
            </w:tcBorders>
            <w:vAlign w:val="center"/>
          </w:tcPr>
          <w:p w14:paraId="561293B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21B8E7B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技术支持与服务团队：</w:t>
            </w:r>
          </w:p>
          <w:p w14:paraId="4D9EE97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1.人员数量充足、职责分工明确、针对采购需求及实际特点、有利于采购标的实现及合同履约。（评分范围：3,2,1,0）</w:t>
            </w:r>
          </w:p>
          <w:p w14:paraId="64706A93">
            <w:pPr>
              <w:adjustRightInd w:val="0"/>
              <w:snapToGrid w:val="0"/>
              <w:spacing w:line="288" w:lineRule="auto"/>
              <w:rPr>
                <w:rFonts w:hint="eastAsia"/>
              </w:rPr>
            </w:pPr>
            <w:r>
              <w:rPr>
                <w:rFonts w:hint="eastAsia" w:ascii="宋体" w:hAnsi="宋体" w:eastAsia="宋体" w:cs="宋体"/>
                <w:szCs w:val="21"/>
              </w:rPr>
              <w:t>2.专业技术能力强、有同类项目实施经验。（评分范围：3,2,1,0）</w:t>
            </w:r>
          </w:p>
        </w:tc>
      </w:tr>
      <w:tr w14:paraId="379D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1A1C549B">
            <w:pPr>
              <w:adjustRightInd w:val="0"/>
              <w:snapToGrid w:val="0"/>
              <w:spacing w:line="288" w:lineRule="auto"/>
              <w:jc w:val="center"/>
              <w:rPr>
                <w:rFonts w:hint="eastAsia" w:ascii="宋体" w:hAnsi="宋体" w:eastAsia="宋体" w:cs="Times New Roman"/>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4BE671A2">
            <w:pPr>
              <w:snapToGrid w:val="0"/>
              <w:jc w:val="center"/>
              <w:rPr>
                <w:rFonts w:hint="eastAsia" w:ascii="宋体" w:hAnsi="宋体" w:eastAsia="宋体" w:cs="宋体"/>
                <w:b/>
                <w:bCs/>
                <w:szCs w:val="21"/>
              </w:rPr>
            </w:pPr>
            <w:r>
              <w:rPr>
                <w:rFonts w:hint="eastAsia" w:ascii="仿宋" w:hAnsi="仿宋" w:eastAsia="仿宋" w:cs="仿宋"/>
                <w:b/>
                <w:bCs/>
                <w:szCs w:val="21"/>
              </w:rPr>
              <w:t>4</w:t>
            </w:r>
          </w:p>
        </w:tc>
        <w:tc>
          <w:tcPr>
            <w:tcW w:w="7072" w:type="dxa"/>
            <w:tcBorders>
              <w:top w:val="single" w:color="auto" w:sz="4" w:space="0"/>
              <w:left w:val="single" w:color="auto" w:sz="4" w:space="0"/>
              <w:bottom w:val="single" w:color="auto" w:sz="4" w:space="0"/>
              <w:right w:val="single" w:color="auto" w:sz="4" w:space="0"/>
            </w:tcBorders>
            <w:vAlign w:val="center"/>
          </w:tcPr>
          <w:p w14:paraId="62A23DF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052F74E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技术支持与服务内容包含但不限于驻场实施服务、试运行的技术支持与服务、平台使用答疑及其他技术协助内容，服务方案专业、可行、针对采购需求及实际特点、有利于采购标的实现及合同履约。</w:t>
            </w:r>
          </w:p>
          <w:p w14:paraId="08A4DC20">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（评分范围：4,3,2,1,0）</w:t>
            </w:r>
          </w:p>
        </w:tc>
      </w:tr>
    </w:tbl>
    <w:p w14:paraId="2C146246">
      <w:pPr>
        <w:rPr>
          <w:rFonts w:hint="eastAsia" w:ascii="宋体" w:hAnsi="宋体" w:eastAsia="宋体" w:cs="Times New Roman"/>
          <w:b/>
          <w:szCs w:val="21"/>
        </w:rPr>
      </w:pPr>
    </w:p>
    <w:p w14:paraId="250AF491">
      <w:pPr>
        <w:rPr>
          <w:rFonts w:hint="eastAsia" w:ascii="宋体" w:hAnsi="宋体" w:eastAsia="宋体" w:cs="Times New Roman"/>
          <w:b/>
          <w:szCs w:val="21"/>
        </w:rPr>
      </w:pPr>
      <w:r>
        <w:rPr>
          <w:rFonts w:ascii="宋体" w:hAnsi="宋体" w:eastAsia="宋体" w:cs="Times New Roman"/>
          <w:b/>
          <w:szCs w:val="21"/>
        </w:rPr>
        <w:br w:type="page"/>
      </w:r>
    </w:p>
    <w:p w14:paraId="3055300D">
      <w:pPr>
        <w:adjustRightInd w:val="0"/>
        <w:snapToGrid w:val="0"/>
        <w:spacing w:line="288" w:lineRule="auto"/>
        <w:outlineLvl w:val="2"/>
        <w:rPr>
          <w:rFonts w:hint="eastAsia" w:ascii="宋体" w:hAnsi="宋体" w:eastAsia="宋体" w:cs="Times New Roman"/>
          <w:b/>
          <w:spacing w:val="-6"/>
          <w:szCs w:val="21"/>
        </w:rPr>
      </w:pPr>
      <w:r>
        <w:rPr>
          <w:rFonts w:hint="eastAsia" w:ascii="宋体" w:hAnsi="宋体" w:eastAsia="宋体" w:cs="Times New Roman"/>
          <w:b/>
          <w:spacing w:val="-6"/>
          <w:szCs w:val="21"/>
        </w:rPr>
        <w:t>标项四：</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2525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767" w:type="dxa"/>
            <w:vAlign w:val="center"/>
          </w:tcPr>
          <w:p w14:paraId="4F21203D">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评审因素</w:t>
            </w:r>
          </w:p>
        </w:tc>
        <w:tc>
          <w:tcPr>
            <w:tcW w:w="654" w:type="dxa"/>
            <w:vAlign w:val="center"/>
          </w:tcPr>
          <w:p w14:paraId="44DEA2DF">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分值</w:t>
            </w:r>
          </w:p>
        </w:tc>
        <w:tc>
          <w:tcPr>
            <w:tcW w:w="7072" w:type="dxa"/>
            <w:vAlign w:val="center"/>
          </w:tcPr>
          <w:p w14:paraId="2C1B0F44">
            <w:pPr>
              <w:adjustRightInd w:val="0"/>
              <w:snapToGrid w:val="0"/>
              <w:spacing w:line="288" w:lineRule="auto"/>
              <w:jc w:val="center"/>
              <w:rPr>
                <w:rFonts w:hint="eastAsia" w:ascii="宋体" w:hAnsi="宋体" w:eastAsia="宋体" w:cs="Times New Roman"/>
                <w:b/>
                <w:bCs/>
                <w:szCs w:val="21"/>
              </w:rPr>
            </w:pPr>
            <w:r>
              <w:rPr>
                <w:rFonts w:ascii="宋体" w:hAnsi="宋体" w:eastAsia="宋体" w:cs="Times New Roman"/>
                <w:b/>
                <w:bCs/>
                <w:szCs w:val="21"/>
              </w:rPr>
              <w:t>评分标准</w:t>
            </w:r>
          </w:p>
        </w:tc>
      </w:tr>
      <w:tr w14:paraId="5A7B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2A56AEC8">
            <w:pPr>
              <w:adjustRightInd w:val="0"/>
              <w:snapToGrid w:val="0"/>
              <w:spacing w:line="288" w:lineRule="auto"/>
              <w:jc w:val="left"/>
              <w:rPr>
                <w:rFonts w:hint="eastAsia" w:ascii="宋体" w:hAnsi="宋体" w:eastAsia="宋体" w:cs="Times New Roman"/>
                <w:b/>
                <w:bCs/>
                <w:szCs w:val="21"/>
              </w:rPr>
            </w:pPr>
            <w:r>
              <w:rPr>
                <w:rFonts w:ascii="宋体" w:hAnsi="宋体" w:eastAsia="宋体" w:cs="Times New Roman"/>
                <w:b/>
                <w:bCs/>
                <w:szCs w:val="21"/>
              </w:rPr>
              <w:t>价格</w:t>
            </w:r>
            <w:r>
              <w:rPr>
                <w:rFonts w:hint="eastAsia" w:ascii="宋体" w:hAnsi="宋体" w:eastAsia="宋体" w:cs="Times New Roman"/>
                <w:b/>
                <w:bCs/>
                <w:szCs w:val="21"/>
              </w:rPr>
              <w:t>分</w:t>
            </w:r>
          </w:p>
        </w:tc>
      </w:tr>
      <w:tr w14:paraId="6170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617337E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1C35404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30</w:t>
            </w:r>
          </w:p>
        </w:tc>
        <w:tc>
          <w:tcPr>
            <w:tcW w:w="7072" w:type="dxa"/>
            <w:tcBorders>
              <w:top w:val="single" w:color="auto" w:sz="4" w:space="0"/>
              <w:left w:val="single" w:color="auto" w:sz="4" w:space="0"/>
              <w:bottom w:val="single" w:color="auto" w:sz="4" w:space="0"/>
              <w:right w:val="single" w:color="auto" w:sz="4" w:space="0"/>
            </w:tcBorders>
            <w:vAlign w:val="center"/>
          </w:tcPr>
          <w:p w14:paraId="41F00B68">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14:paraId="30F27B49">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价格分=（评标基准价/投标报价）×30%×100</w:t>
            </w:r>
          </w:p>
        </w:tc>
      </w:tr>
      <w:tr w14:paraId="7FC3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2FF5B23D">
            <w:pPr>
              <w:adjustRightInd w:val="0"/>
              <w:snapToGrid w:val="0"/>
              <w:spacing w:line="288" w:lineRule="auto"/>
              <w:jc w:val="left"/>
              <w:rPr>
                <w:rFonts w:hint="eastAsia" w:ascii="宋体" w:hAnsi="宋体" w:eastAsia="宋体" w:cs="Times New Roman"/>
                <w:b/>
                <w:bCs/>
                <w:szCs w:val="21"/>
              </w:rPr>
            </w:pPr>
            <w:r>
              <w:rPr>
                <w:rFonts w:ascii="宋体" w:hAnsi="宋体" w:eastAsia="宋体" w:cs="Times New Roman"/>
                <w:b/>
                <w:bCs/>
                <w:szCs w:val="21"/>
              </w:rPr>
              <w:t>商务分</w:t>
            </w:r>
          </w:p>
        </w:tc>
      </w:tr>
      <w:tr w14:paraId="0F73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0C50C4D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质保期</w:t>
            </w:r>
          </w:p>
        </w:tc>
        <w:tc>
          <w:tcPr>
            <w:tcW w:w="654" w:type="dxa"/>
            <w:vAlign w:val="center"/>
          </w:tcPr>
          <w:p w14:paraId="119D4D6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5AAEDFE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01CF7975">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满足招标文件最低要求基础上每延长1年得0.5分（最高1分），延长时间不足1年不计入得分。</w:t>
            </w:r>
          </w:p>
        </w:tc>
      </w:tr>
      <w:tr w14:paraId="0BE1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15BBCA9">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业绩</w:t>
            </w:r>
          </w:p>
        </w:tc>
        <w:tc>
          <w:tcPr>
            <w:tcW w:w="654" w:type="dxa"/>
            <w:vAlign w:val="center"/>
          </w:tcPr>
          <w:p w14:paraId="47617018">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3</w:t>
            </w:r>
          </w:p>
        </w:tc>
        <w:tc>
          <w:tcPr>
            <w:tcW w:w="7072" w:type="dxa"/>
            <w:vAlign w:val="center"/>
          </w:tcPr>
          <w:p w14:paraId="0016144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6A13925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投标人自2021年1月1日以来（以合同签订时间为准）同类合同业绩（以提供的合同扫描件为准）：每提供1份合同业绩得</w:t>
            </w:r>
            <w:r>
              <w:rPr>
                <w:rFonts w:ascii="宋体" w:hAnsi="宋体" w:eastAsia="宋体" w:cs="宋体"/>
                <w:szCs w:val="21"/>
              </w:rPr>
              <w:t>1</w:t>
            </w:r>
            <w:r>
              <w:rPr>
                <w:rFonts w:hint="eastAsia" w:ascii="宋体" w:hAnsi="宋体" w:eastAsia="宋体" w:cs="宋体"/>
                <w:szCs w:val="21"/>
              </w:rPr>
              <w:t>分，最高得3分。</w:t>
            </w:r>
          </w:p>
        </w:tc>
      </w:tr>
      <w:tr w14:paraId="5B9A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B88D74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政策功能</w:t>
            </w:r>
          </w:p>
        </w:tc>
        <w:tc>
          <w:tcPr>
            <w:tcW w:w="654" w:type="dxa"/>
            <w:vAlign w:val="center"/>
          </w:tcPr>
          <w:p w14:paraId="2BB8876E">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7072" w:type="dxa"/>
            <w:vAlign w:val="center"/>
          </w:tcPr>
          <w:p w14:paraId="6130545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16213F9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投标产品属于品目清单范围且提供国家确定的认证机构出具的有效的节能产品认证证书（扫描件）的得0.5分；</w:t>
            </w:r>
          </w:p>
          <w:p w14:paraId="14923CF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投标产品属于品目清单范围且提供国家确定的认证机构出具的有效的环境标志产品认证证书（扫描件）的得0.5分；</w:t>
            </w:r>
          </w:p>
          <w:p w14:paraId="493A45F2">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注：政府强制采购的节能产品的除外。</w:t>
            </w:r>
          </w:p>
        </w:tc>
      </w:tr>
      <w:tr w14:paraId="4F3F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4442BC52">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技术</w:t>
            </w:r>
            <w:r>
              <w:rPr>
                <w:rFonts w:ascii="宋体" w:hAnsi="宋体" w:eastAsia="宋体" w:cs="Times New Roman"/>
                <w:b/>
                <w:bCs/>
                <w:szCs w:val="21"/>
              </w:rPr>
              <w:t>分</w:t>
            </w:r>
          </w:p>
        </w:tc>
      </w:tr>
      <w:tr w14:paraId="260D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01D3FF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技术响应程度</w:t>
            </w:r>
          </w:p>
        </w:tc>
        <w:tc>
          <w:tcPr>
            <w:tcW w:w="654" w:type="dxa"/>
            <w:vAlign w:val="center"/>
          </w:tcPr>
          <w:p w14:paraId="0D2C9AE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21</w:t>
            </w:r>
          </w:p>
        </w:tc>
        <w:tc>
          <w:tcPr>
            <w:tcW w:w="7072" w:type="dxa"/>
            <w:vAlign w:val="center"/>
          </w:tcPr>
          <w:p w14:paraId="033FB9D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3EC9DEE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投标产品对采购需求中“</w:t>
            </w:r>
            <w:r>
              <w:rPr>
                <w:rFonts w:hint="eastAsia" w:ascii="宋体" w:hAnsi="宋体" w:eastAsia="宋体" w:cs="Times New Roman"/>
                <w:b/>
                <w:bCs/>
                <w:spacing w:val="-4"/>
                <w:szCs w:val="21"/>
              </w:rPr>
              <w:t>需满足的质量、安全、技术规格、物理特性等要求</w:t>
            </w:r>
            <w:r>
              <w:rPr>
                <w:rFonts w:hint="eastAsia" w:ascii="宋体" w:hAnsi="宋体" w:eastAsia="宋体" w:cs="宋体"/>
                <w:szCs w:val="21"/>
              </w:rPr>
              <w:t>”的响应程度：不符合（负偏离）技术要求中标注“▲”条款（不可偏离）的投标无效；</w:t>
            </w:r>
          </w:p>
          <w:p w14:paraId="6178FD5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满足招标文件明确的全部技术条款要求的</w:t>
            </w:r>
            <w:r>
              <w:rPr>
                <w:rFonts w:hint="eastAsia" w:ascii="宋体" w:hAnsi="宋体" w:eastAsia="宋体" w:cs="Times New Roman"/>
                <w:szCs w:val="21"/>
              </w:rPr>
              <w:t>该项得满分</w:t>
            </w:r>
            <w:r>
              <w:rPr>
                <w:rFonts w:hint="eastAsia" w:ascii="宋体" w:hAnsi="宋体" w:eastAsia="宋体" w:cs="宋体"/>
                <w:szCs w:val="21"/>
              </w:rPr>
              <w:t>；</w:t>
            </w:r>
          </w:p>
          <w:p w14:paraId="799ADC25">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技术条款低于技术要求（负偏离）的每项扣3分；</w:t>
            </w:r>
          </w:p>
          <w:p w14:paraId="44FC81D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负偏离8</w:t>
            </w:r>
            <w:r>
              <w:rPr>
                <w:rFonts w:ascii="宋体" w:hAnsi="宋体" w:eastAsia="宋体" w:cs="宋体"/>
                <w:szCs w:val="21"/>
              </w:rPr>
              <w:t>项及以上的，视为采购人不能接受的附加条件。</w:t>
            </w:r>
          </w:p>
        </w:tc>
      </w:tr>
      <w:tr w14:paraId="176A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7" w:type="dxa"/>
            <w:vAlign w:val="center"/>
          </w:tcPr>
          <w:p w14:paraId="76E96F6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技术方案</w:t>
            </w:r>
          </w:p>
        </w:tc>
        <w:tc>
          <w:tcPr>
            <w:tcW w:w="654" w:type="dxa"/>
            <w:shd w:val="clear" w:color="auto" w:fill="auto"/>
            <w:vAlign w:val="center"/>
          </w:tcPr>
          <w:p w14:paraId="74647F49">
            <w:pPr>
              <w:snapToGrid w:val="0"/>
              <w:jc w:val="center"/>
              <w:rPr>
                <w:rFonts w:hint="eastAsia" w:ascii="仿宋" w:hAnsi="仿宋" w:eastAsia="仿宋" w:cs="仿宋"/>
                <w:b/>
                <w:bCs/>
                <w:szCs w:val="21"/>
              </w:rPr>
            </w:pPr>
            <w:r>
              <w:rPr>
                <w:rFonts w:hint="eastAsia" w:ascii="仿宋" w:hAnsi="仿宋" w:eastAsia="仿宋" w:cs="仿宋"/>
                <w:b/>
                <w:bCs/>
                <w:szCs w:val="21"/>
              </w:rPr>
              <w:t>19</w:t>
            </w:r>
          </w:p>
        </w:tc>
        <w:tc>
          <w:tcPr>
            <w:tcW w:w="7072" w:type="dxa"/>
            <w:shd w:val="clear" w:color="auto" w:fill="auto"/>
            <w:vAlign w:val="center"/>
          </w:tcPr>
          <w:p w14:paraId="4E7419D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57112759">
            <w:pPr>
              <w:snapToGrid w:val="0"/>
              <w:rPr>
                <w:rFonts w:hint="eastAsia" w:ascii="宋体" w:hAnsi="宋体" w:eastAsia="宋体" w:cs="宋体"/>
                <w:szCs w:val="21"/>
              </w:rPr>
            </w:pPr>
            <w:r>
              <w:rPr>
                <w:rFonts w:hint="eastAsia" w:ascii="宋体" w:hAnsi="宋体" w:eastAsia="宋体" w:cs="宋体"/>
                <w:b/>
                <w:bCs/>
                <w:szCs w:val="21"/>
              </w:rPr>
              <w:t>投标产品智能人机交互界面开发服务平台技术解决方案：</w:t>
            </w:r>
            <w:r>
              <w:rPr>
                <w:rFonts w:hint="eastAsia" w:ascii="宋体" w:hAnsi="宋体" w:eastAsia="宋体" w:cs="宋体"/>
                <w:szCs w:val="21"/>
              </w:rPr>
              <w:t>方案专业可行、针对采购需求及实际特点、有利于采购标的实现及合同履约。</w:t>
            </w:r>
          </w:p>
          <w:p w14:paraId="481F6908">
            <w:pPr>
              <w:pStyle w:val="20"/>
              <w:numPr>
                <w:ilvl w:val="255"/>
                <w:numId w:val="0"/>
              </w:numPr>
              <w:spacing w:before="0" w:beforeAutospacing="0" w:after="0" w:afterAutospacing="0"/>
              <w:jc w:val="both"/>
              <w:rPr>
                <w:rFonts w:ascii="Times New Roman" w:hAnsi="Times New Roman"/>
                <w:kern w:val="2"/>
                <w:sz w:val="21"/>
                <w:szCs w:val="21"/>
              </w:rPr>
            </w:pPr>
            <w:r>
              <w:rPr>
                <w:rFonts w:hint="eastAsia" w:ascii="Times New Roman" w:hAnsi="Times New Roman"/>
                <w:kern w:val="2"/>
                <w:sz w:val="21"/>
                <w:szCs w:val="21"/>
                <w:lang w:bidi="ar"/>
              </w:rPr>
              <w:t>1.</w:t>
            </w:r>
            <w:r>
              <w:rPr>
                <w:rFonts w:ascii="Times New Roman" w:hAnsi="Times New Roman"/>
                <w:kern w:val="2"/>
                <w:sz w:val="21"/>
                <w:szCs w:val="21"/>
                <w:lang w:bidi="ar"/>
              </w:rPr>
              <w:t>数字人创建</w:t>
            </w:r>
            <w:r>
              <w:rPr>
                <w:rFonts w:ascii="Times New Roman" w:hAnsi="Times New Roman"/>
                <w:kern w:val="2"/>
                <w:sz w:val="21"/>
                <w:szCs w:val="21"/>
                <w:lang w:eastAsia="zh" w:bidi="ar"/>
              </w:rPr>
              <w:t>模块</w:t>
            </w:r>
            <w:r>
              <w:rPr>
                <w:rFonts w:hint="eastAsia" w:cs="宋体"/>
                <w:b/>
                <w:bCs/>
                <w:sz w:val="21"/>
                <w:szCs w:val="21"/>
              </w:rPr>
              <w:t>（评分范围:4,3,2,1,0）</w:t>
            </w:r>
          </w:p>
          <w:p w14:paraId="780D40BA">
            <w:pPr>
              <w:pStyle w:val="20"/>
              <w:widowControl w:val="0"/>
              <w:numPr>
                <w:ilvl w:val="255"/>
                <w:numId w:val="0"/>
              </w:numPr>
              <w:spacing w:before="0" w:beforeAutospacing="0" w:after="0" w:afterAutospacing="0"/>
              <w:jc w:val="both"/>
              <w:rPr>
                <w:rFonts w:ascii="Times New Roman" w:hAnsi="Times New Roman"/>
                <w:kern w:val="2"/>
                <w:sz w:val="21"/>
                <w:szCs w:val="21"/>
              </w:rPr>
            </w:pPr>
            <w:r>
              <w:rPr>
                <w:rFonts w:hint="eastAsia" w:ascii="Times New Roman" w:hAnsi="Times New Roman"/>
                <w:kern w:val="2"/>
                <w:sz w:val="21"/>
                <w:szCs w:val="21"/>
                <w:lang w:bidi="ar"/>
              </w:rPr>
              <w:t>2.</w:t>
            </w:r>
            <w:r>
              <w:rPr>
                <w:rFonts w:ascii="Times New Roman" w:hAnsi="Times New Roman"/>
                <w:kern w:val="2"/>
                <w:sz w:val="21"/>
                <w:szCs w:val="21"/>
                <w:lang w:bidi="ar"/>
              </w:rPr>
              <w:t>语料配置</w:t>
            </w:r>
            <w:r>
              <w:rPr>
                <w:rFonts w:ascii="Times New Roman" w:hAnsi="Times New Roman"/>
                <w:kern w:val="2"/>
                <w:sz w:val="21"/>
                <w:szCs w:val="21"/>
                <w:lang w:eastAsia="zh" w:bidi="ar"/>
              </w:rPr>
              <w:t>模块</w:t>
            </w:r>
            <w:r>
              <w:rPr>
                <w:rFonts w:hint="eastAsia" w:ascii="Times New Roman" w:hAnsi="Times New Roman"/>
                <w:kern w:val="2"/>
                <w:sz w:val="21"/>
                <w:szCs w:val="21"/>
                <w:lang w:bidi="ar"/>
              </w:rPr>
              <w:t>、</w:t>
            </w:r>
            <w:r>
              <w:rPr>
                <w:rFonts w:ascii="Times New Roman" w:hAnsi="Times New Roman"/>
                <w:kern w:val="2"/>
                <w:sz w:val="21"/>
                <w:szCs w:val="21"/>
                <w:lang w:bidi="ar"/>
              </w:rPr>
              <w:t>智能</w:t>
            </w:r>
            <w:r>
              <w:rPr>
                <w:rFonts w:ascii="Times New Roman" w:hAnsi="Times New Roman"/>
                <w:kern w:val="2"/>
                <w:sz w:val="21"/>
                <w:szCs w:val="21"/>
                <w:lang w:eastAsia="zh" w:bidi="ar"/>
              </w:rPr>
              <w:t>问答</w:t>
            </w:r>
            <w:r>
              <w:rPr>
                <w:rFonts w:ascii="Times New Roman" w:hAnsi="Times New Roman"/>
                <w:kern w:val="2"/>
                <w:sz w:val="21"/>
                <w:szCs w:val="21"/>
                <w:lang w:bidi="ar"/>
              </w:rPr>
              <w:t>与学习</w:t>
            </w:r>
            <w:r>
              <w:rPr>
                <w:rFonts w:ascii="Times New Roman" w:hAnsi="Times New Roman"/>
                <w:kern w:val="2"/>
                <w:sz w:val="21"/>
                <w:szCs w:val="21"/>
                <w:lang w:eastAsia="zh" w:bidi="ar"/>
              </w:rPr>
              <w:t>模块</w:t>
            </w:r>
            <w:r>
              <w:rPr>
                <w:rFonts w:hint="eastAsia" w:cs="宋体"/>
                <w:b/>
                <w:bCs/>
                <w:sz w:val="21"/>
                <w:szCs w:val="21"/>
              </w:rPr>
              <w:t>（评分范围:3,2,1,0）</w:t>
            </w:r>
          </w:p>
          <w:p w14:paraId="2F792432">
            <w:pPr>
              <w:pStyle w:val="20"/>
              <w:widowControl w:val="0"/>
              <w:numPr>
                <w:ilvl w:val="255"/>
                <w:numId w:val="0"/>
              </w:numPr>
              <w:spacing w:before="0" w:beforeAutospacing="0" w:after="0" w:afterAutospacing="0"/>
              <w:jc w:val="both"/>
              <w:rPr>
                <w:rFonts w:ascii="Times New Roman" w:hAnsi="Times New Roman"/>
                <w:kern w:val="2"/>
                <w:sz w:val="21"/>
                <w:szCs w:val="21"/>
              </w:rPr>
            </w:pPr>
            <w:r>
              <w:rPr>
                <w:rFonts w:hint="eastAsia" w:ascii="Times New Roman" w:hAnsi="Times New Roman"/>
                <w:kern w:val="2"/>
                <w:sz w:val="21"/>
                <w:szCs w:val="21"/>
                <w:lang w:bidi="ar"/>
              </w:rPr>
              <w:t>3.</w:t>
            </w:r>
            <w:r>
              <w:rPr>
                <w:rFonts w:ascii="Times New Roman" w:hAnsi="Times New Roman"/>
                <w:kern w:val="2"/>
                <w:sz w:val="21"/>
                <w:szCs w:val="21"/>
                <w:lang w:bidi="ar"/>
              </w:rPr>
              <w:t>人机交互界面</w:t>
            </w:r>
            <w:r>
              <w:rPr>
                <w:rFonts w:ascii="Times New Roman" w:hAnsi="Times New Roman"/>
                <w:kern w:val="2"/>
                <w:sz w:val="21"/>
                <w:szCs w:val="21"/>
                <w:lang w:eastAsia="zh" w:bidi="ar"/>
              </w:rPr>
              <w:t>模块</w:t>
            </w:r>
            <w:r>
              <w:rPr>
                <w:rFonts w:hint="eastAsia" w:cs="宋体"/>
                <w:b/>
                <w:bCs/>
                <w:sz w:val="21"/>
                <w:szCs w:val="21"/>
              </w:rPr>
              <w:t>（评分范围:3,2,1,0）</w:t>
            </w:r>
          </w:p>
          <w:p w14:paraId="556E591F">
            <w:pPr>
              <w:pStyle w:val="20"/>
              <w:widowControl w:val="0"/>
              <w:numPr>
                <w:ilvl w:val="255"/>
                <w:numId w:val="0"/>
              </w:numPr>
              <w:spacing w:before="0" w:beforeAutospacing="0" w:after="0" w:afterAutospacing="0"/>
              <w:jc w:val="both"/>
              <w:rPr>
                <w:rFonts w:ascii="Times New Roman" w:hAnsi="Times New Roman"/>
                <w:kern w:val="2"/>
                <w:sz w:val="21"/>
                <w:szCs w:val="21"/>
              </w:rPr>
            </w:pPr>
            <w:r>
              <w:rPr>
                <w:rFonts w:hint="eastAsia" w:ascii="Times New Roman" w:hAnsi="Times New Roman"/>
                <w:kern w:val="2"/>
                <w:sz w:val="21"/>
                <w:szCs w:val="21"/>
                <w:lang w:bidi="ar"/>
              </w:rPr>
              <w:t>4.</w:t>
            </w:r>
            <w:r>
              <w:rPr>
                <w:rFonts w:ascii="Times New Roman" w:hAnsi="Times New Roman"/>
                <w:kern w:val="2"/>
                <w:sz w:val="21"/>
                <w:szCs w:val="21"/>
                <w:lang w:bidi="ar"/>
              </w:rPr>
              <w:t>多模态输入与输出</w:t>
            </w:r>
            <w:r>
              <w:rPr>
                <w:rFonts w:ascii="Times New Roman" w:hAnsi="Times New Roman"/>
                <w:kern w:val="2"/>
                <w:sz w:val="21"/>
                <w:szCs w:val="21"/>
                <w:lang w:eastAsia="zh" w:bidi="ar"/>
              </w:rPr>
              <w:t>模块</w:t>
            </w:r>
            <w:r>
              <w:rPr>
                <w:rFonts w:hint="eastAsia" w:cs="宋体"/>
                <w:b/>
                <w:bCs/>
                <w:sz w:val="21"/>
                <w:szCs w:val="21"/>
              </w:rPr>
              <w:t>（评分范围:3,2,1,0）</w:t>
            </w:r>
          </w:p>
          <w:p w14:paraId="055DD4A1">
            <w:pPr>
              <w:pStyle w:val="20"/>
              <w:widowControl w:val="0"/>
              <w:numPr>
                <w:ilvl w:val="255"/>
                <w:numId w:val="0"/>
              </w:numPr>
              <w:spacing w:before="0" w:beforeAutospacing="0" w:after="0" w:afterAutospacing="0"/>
              <w:jc w:val="both"/>
              <w:rPr>
                <w:rFonts w:hint="eastAsia" w:cs="宋体"/>
                <w:kern w:val="2"/>
                <w:sz w:val="21"/>
                <w:szCs w:val="21"/>
              </w:rPr>
            </w:pPr>
            <w:r>
              <w:rPr>
                <w:rFonts w:hint="eastAsia" w:ascii="Times New Roman" w:hAnsi="Times New Roman"/>
                <w:kern w:val="2"/>
                <w:sz w:val="21"/>
                <w:szCs w:val="21"/>
                <w:lang w:bidi="ar"/>
              </w:rPr>
              <w:t>5.</w:t>
            </w:r>
            <w:r>
              <w:rPr>
                <w:rFonts w:ascii="Times New Roman" w:hAnsi="Times New Roman"/>
                <w:kern w:val="2"/>
                <w:sz w:val="21"/>
                <w:szCs w:val="21"/>
                <w:lang w:bidi="ar"/>
              </w:rPr>
              <w:t>数据安全与隐私保护</w:t>
            </w:r>
            <w:r>
              <w:rPr>
                <w:rFonts w:ascii="Times New Roman" w:hAnsi="Times New Roman"/>
                <w:kern w:val="2"/>
                <w:sz w:val="21"/>
                <w:szCs w:val="21"/>
                <w:lang w:eastAsia="zh" w:bidi="ar"/>
              </w:rPr>
              <w:t>模块</w:t>
            </w:r>
            <w:r>
              <w:rPr>
                <w:rFonts w:hint="eastAsia" w:ascii="Times New Roman" w:hAnsi="Times New Roman"/>
                <w:kern w:val="2"/>
                <w:sz w:val="21"/>
                <w:szCs w:val="21"/>
                <w:lang w:bidi="ar"/>
              </w:rPr>
              <w:t>、</w:t>
            </w:r>
            <w:r>
              <w:rPr>
                <w:rFonts w:ascii="Times New Roman" w:hAnsi="Times New Roman"/>
                <w:kern w:val="2"/>
                <w:sz w:val="21"/>
                <w:szCs w:val="21"/>
                <w:lang w:bidi="ar"/>
              </w:rPr>
              <w:t>扩展性与API集成</w:t>
            </w:r>
            <w:r>
              <w:rPr>
                <w:rFonts w:ascii="Times New Roman" w:hAnsi="Times New Roman"/>
                <w:kern w:val="2"/>
                <w:sz w:val="21"/>
                <w:szCs w:val="21"/>
                <w:lang w:eastAsia="zh" w:bidi="ar"/>
              </w:rPr>
              <w:t>模块</w:t>
            </w:r>
            <w:r>
              <w:rPr>
                <w:rFonts w:hint="eastAsia" w:ascii="Times New Roman" w:hAnsi="Times New Roman"/>
                <w:kern w:val="2"/>
                <w:sz w:val="21"/>
                <w:szCs w:val="21"/>
                <w:lang w:bidi="ar"/>
              </w:rPr>
              <w:t>、</w:t>
            </w:r>
            <w:r>
              <w:rPr>
                <w:rFonts w:hint="eastAsia" w:cs="宋体"/>
                <w:kern w:val="2"/>
                <w:sz w:val="21"/>
                <w:szCs w:val="21"/>
              </w:rPr>
              <w:t>用户行为分析与统计模块</w:t>
            </w:r>
            <w:r>
              <w:rPr>
                <w:rFonts w:hint="eastAsia" w:cs="宋体"/>
                <w:b/>
                <w:bCs/>
                <w:sz w:val="21"/>
                <w:szCs w:val="21"/>
              </w:rPr>
              <w:t>（评分范围:3,2,1,0）</w:t>
            </w:r>
          </w:p>
          <w:p w14:paraId="7BB2DA35">
            <w:pPr>
              <w:snapToGrid w:val="0"/>
              <w:rPr>
                <w:rFonts w:hint="eastAsia" w:ascii="宋体" w:hAnsi="宋体" w:eastAsia="宋体" w:cs="宋体"/>
                <w:szCs w:val="21"/>
              </w:rPr>
            </w:pPr>
            <w:r>
              <w:rPr>
                <w:rFonts w:hint="eastAsia" w:ascii="宋体" w:hAnsi="宋体" w:eastAsia="宋体" w:cs="宋体"/>
                <w:szCs w:val="21"/>
              </w:rPr>
              <w:t>6.数字人终端配置</w:t>
            </w:r>
            <w:r>
              <w:rPr>
                <w:rFonts w:hint="eastAsia" w:ascii="宋体" w:hAnsi="宋体" w:eastAsia="宋体" w:cs="宋体"/>
                <w:b/>
                <w:bCs/>
                <w:szCs w:val="21"/>
              </w:rPr>
              <w:t>（评分范围:3,2,1,0）</w:t>
            </w:r>
          </w:p>
        </w:tc>
      </w:tr>
      <w:tr w14:paraId="74E0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5F3AE187">
            <w:pPr>
              <w:adjustRightInd w:val="0"/>
              <w:snapToGrid w:val="0"/>
              <w:spacing w:line="288" w:lineRule="auto"/>
              <w:jc w:val="center"/>
              <w:rPr>
                <w:rFonts w:hint="eastAsia" w:ascii="宋体" w:hAnsi="宋体" w:eastAsia="宋体" w:cs="宋体"/>
                <w:b/>
                <w:bCs/>
                <w:szCs w:val="21"/>
              </w:rPr>
            </w:pPr>
            <w:r>
              <w:rPr>
                <w:rFonts w:hint="eastAsia" w:ascii="宋体" w:hAnsi="宋体" w:eastAsia="宋体" w:cs="Times New Roman"/>
                <w:b/>
                <w:bCs/>
                <w:szCs w:val="21"/>
              </w:rPr>
              <w:t>实施方案</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0EAD18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B743D6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35651FF1">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实施（进度控制计划、技术文档移交）方案，方案全面可行、针对采购需求及实际特点、有利于采购标的实现及合同履约。</w:t>
            </w:r>
          </w:p>
          <w:p w14:paraId="038733F3">
            <w:pPr>
              <w:adjustRightInd w:val="0"/>
              <w:snapToGrid w:val="0"/>
              <w:spacing w:line="288" w:lineRule="auto"/>
              <w:rPr>
                <w:rFonts w:hint="eastAsia" w:ascii="宋体" w:hAnsi="宋体" w:eastAsia="宋体" w:cs="宋体"/>
                <w:szCs w:val="21"/>
              </w:rPr>
            </w:pPr>
            <w:r>
              <w:rPr>
                <w:rFonts w:hint="eastAsia"/>
                <w:b/>
                <w:bCs/>
                <w:szCs w:val="21"/>
              </w:rPr>
              <w:t>（评分范围：5,4,3,2,1,0）</w:t>
            </w:r>
          </w:p>
        </w:tc>
      </w:tr>
      <w:tr w14:paraId="6469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6A11A6CA">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2388E3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0EB3BC7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2052638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日常运行及维护保养方案，方案全面可行、针对采购需求及实际特点、有利于采购标的实现及合同履约。</w:t>
            </w:r>
          </w:p>
          <w:p w14:paraId="13C0BEEF">
            <w:pPr>
              <w:adjustRightInd w:val="0"/>
              <w:snapToGrid w:val="0"/>
              <w:spacing w:line="288" w:lineRule="auto"/>
              <w:rPr>
                <w:rFonts w:hint="eastAsia" w:ascii="宋体" w:hAnsi="宋体" w:eastAsia="宋体" w:cs="宋体"/>
                <w:szCs w:val="21"/>
              </w:rPr>
            </w:pPr>
            <w:r>
              <w:rPr>
                <w:rFonts w:hint="eastAsia"/>
                <w:b/>
                <w:bCs/>
                <w:szCs w:val="21"/>
              </w:rPr>
              <w:t>（评分范围：5,4,3,2,1,0）</w:t>
            </w:r>
          </w:p>
        </w:tc>
      </w:tr>
      <w:tr w14:paraId="0E91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414FED9C">
            <w:pPr>
              <w:adjustRightInd w:val="0"/>
              <w:snapToGrid w:val="0"/>
              <w:spacing w:line="288" w:lineRule="auto"/>
              <w:jc w:val="center"/>
              <w:rPr>
                <w:rFonts w:hint="eastAsia" w:ascii="宋体" w:hAnsi="宋体" w:eastAsia="宋体" w:cs="Times New Roman"/>
                <w:b/>
                <w:bCs/>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25B46C6">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2B6F03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6F2B845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安装、调试方法或方案，方案全面可行、针对采购需求及实际特点、有利于采购标的实现及合同履约。</w:t>
            </w:r>
          </w:p>
          <w:p w14:paraId="737FF2C3">
            <w:pPr>
              <w:adjustRightInd w:val="0"/>
              <w:snapToGrid w:val="0"/>
              <w:spacing w:line="288" w:lineRule="auto"/>
              <w:rPr>
                <w:rFonts w:hint="eastAsia" w:ascii="宋体" w:hAnsi="宋体" w:eastAsia="宋体" w:cs="宋体"/>
                <w:szCs w:val="21"/>
              </w:rPr>
            </w:pPr>
            <w:r>
              <w:rPr>
                <w:rFonts w:hint="eastAsia"/>
                <w:b/>
                <w:bCs/>
                <w:szCs w:val="21"/>
              </w:rPr>
              <w:t>（评分范围：5</w:t>
            </w:r>
            <w:r>
              <w:rPr>
                <w:b/>
                <w:bCs/>
                <w:szCs w:val="21"/>
              </w:rPr>
              <w:t>,4,3,2,1,0</w:t>
            </w:r>
            <w:r>
              <w:rPr>
                <w:rFonts w:hint="eastAsia"/>
                <w:b/>
                <w:bCs/>
                <w:szCs w:val="21"/>
              </w:rPr>
              <w:t>）</w:t>
            </w:r>
          </w:p>
        </w:tc>
      </w:tr>
      <w:tr w14:paraId="7C30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DA75505">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技术培训</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7759FB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067E30D7">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32246267">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培训计划（包括培训流程、培训方式、培训对象、培训内容、培训日程等），计划方案全面可行、针对采购需求及实际特点、有利于采购标的实现及合同履约。</w:t>
            </w:r>
          </w:p>
          <w:p w14:paraId="38DFC908">
            <w:pPr>
              <w:adjustRightInd w:val="0"/>
              <w:snapToGrid w:val="0"/>
              <w:spacing w:line="288" w:lineRule="auto"/>
              <w:rPr>
                <w:rFonts w:hint="eastAsia" w:ascii="宋体" w:hAnsi="宋体" w:eastAsia="宋体" w:cs="宋体"/>
                <w:szCs w:val="21"/>
              </w:rPr>
            </w:pPr>
            <w:r>
              <w:rPr>
                <w:rFonts w:hint="eastAsia"/>
                <w:b/>
                <w:bCs/>
                <w:szCs w:val="21"/>
              </w:rPr>
              <w:t>（评分范围：5</w:t>
            </w:r>
            <w:r>
              <w:rPr>
                <w:b/>
                <w:bCs/>
                <w:szCs w:val="21"/>
              </w:rPr>
              <w:t>,4,3,2,1,0</w:t>
            </w:r>
            <w:r>
              <w:rPr>
                <w:rFonts w:hint="eastAsia"/>
                <w:b/>
                <w:bCs/>
                <w:szCs w:val="21"/>
              </w:rPr>
              <w:t>）</w:t>
            </w:r>
          </w:p>
        </w:tc>
      </w:tr>
      <w:tr w14:paraId="35A1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C5EEFF6">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售后服务</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12894F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4CE8D24D">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1AD8C1B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售后服务方案（包括服务机构、服务内容、服务承诺、响应时间、服务方式、人员配备、应急服务等），方案全面可行、针对采购需求及实际特点、有利于采购标的实现及合同履约。</w:t>
            </w:r>
          </w:p>
          <w:p w14:paraId="088D73D6">
            <w:pPr>
              <w:adjustRightInd w:val="0"/>
              <w:snapToGrid w:val="0"/>
              <w:spacing w:line="288" w:lineRule="auto"/>
              <w:rPr>
                <w:rFonts w:hint="eastAsia" w:ascii="宋体" w:hAnsi="宋体" w:eastAsia="宋体" w:cs="宋体"/>
                <w:szCs w:val="21"/>
              </w:rPr>
            </w:pPr>
            <w:r>
              <w:rPr>
                <w:rFonts w:hint="eastAsia"/>
                <w:b/>
                <w:bCs/>
                <w:szCs w:val="21"/>
              </w:rPr>
              <w:t>（评分范围：5</w:t>
            </w:r>
            <w:r>
              <w:rPr>
                <w:b/>
                <w:bCs/>
                <w:szCs w:val="21"/>
              </w:rPr>
              <w:t>,4,3,2,1,0</w:t>
            </w:r>
            <w:r>
              <w:rPr>
                <w:rFonts w:hint="eastAsia"/>
                <w:b/>
                <w:bCs/>
                <w:szCs w:val="21"/>
              </w:rPr>
              <w:t>）</w:t>
            </w:r>
          </w:p>
        </w:tc>
      </w:tr>
    </w:tbl>
    <w:p w14:paraId="13EE769A">
      <w:pPr>
        <w:adjustRightInd w:val="0"/>
        <w:snapToGrid w:val="0"/>
        <w:spacing w:line="288" w:lineRule="auto"/>
        <w:jc w:val="left"/>
        <w:rPr>
          <w:rFonts w:hint="eastAsia" w:ascii="宋体" w:hAnsi="宋体" w:eastAsia="宋体" w:cs="Times New Roman"/>
          <w:b/>
          <w:szCs w:val="21"/>
        </w:rPr>
      </w:pPr>
    </w:p>
    <w:p w14:paraId="3E48ADAA">
      <w:pPr>
        <w:adjustRightInd w:val="0"/>
        <w:snapToGrid w:val="0"/>
        <w:spacing w:line="288" w:lineRule="auto"/>
        <w:jc w:val="left"/>
        <w:rPr>
          <w:rFonts w:hint="eastAsia" w:ascii="宋体" w:hAnsi="宋体" w:eastAsia="宋体" w:cs="Times New Roman"/>
          <w:b/>
          <w:szCs w:val="21"/>
        </w:rPr>
      </w:pPr>
      <w:r>
        <w:rPr>
          <w:rFonts w:hint="eastAsia" w:ascii="宋体" w:hAnsi="宋体" w:eastAsia="宋体" w:cs="Times New Roman"/>
          <w:b/>
          <w:szCs w:val="21"/>
        </w:rPr>
        <w:t>说明</w:t>
      </w:r>
      <w:r>
        <w:rPr>
          <w:rFonts w:ascii="宋体" w:hAnsi="宋体" w:eastAsia="宋体" w:cs="Times New Roman"/>
          <w:b/>
          <w:szCs w:val="21"/>
        </w:rPr>
        <w:t>：</w:t>
      </w:r>
    </w:p>
    <w:p w14:paraId="053B23AF">
      <w:pPr>
        <w:adjustRightInd w:val="0"/>
        <w:snapToGrid w:val="0"/>
        <w:spacing w:line="288" w:lineRule="auto"/>
        <w:jc w:val="left"/>
        <w:rPr>
          <w:rFonts w:hint="eastAsia" w:ascii="宋体" w:hAnsi="宋体"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根据《政府采购促进中小企业发展管理办法》（财库〔2020〕46号）、《关于进一步加大政府采购支持中小企业力度的通知》（财库〔</w:t>
      </w:r>
      <w:r>
        <w:rPr>
          <w:rFonts w:ascii="宋体" w:hAnsi="宋体" w:eastAsia="宋体" w:cs="Times New Roman"/>
          <w:b/>
          <w:szCs w:val="21"/>
        </w:rPr>
        <w:t>2022〕19号）</w:t>
      </w:r>
      <w:r>
        <w:rPr>
          <w:rFonts w:hint="eastAsia" w:ascii="宋体" w:hAnsi="宋体" w:eastAsia="宋体" w:cs="Times New Roman"/>
          <w:b/>
          <w:szCs w:val="21"/>
        </w:rPr>
        <w:t>、《浙江省财政厅关于进一步加大政府采购支持中小企业力度</w:t>
      </w:r>
      <w:r>
        <w:rPr>
          <w:rFonts w:ascii="宋体" w:hAnsi="宋体" w:eastAsia="宋体" w:cs="Times New Roman"/>
          <w:b/>
          <w:szCs w:val="21"/>
        </w:rPr>
        <w:t xml:space="preserve"> 助力扎实稳住经济的通知》（浙财采监〔2022〕8号）</w:t>
      </w:r>
      <w:r>
        <w:rPr>
          <w:rFonts w:hint="eastAsia" w:ascii="宋体" w:hAnsi="宋体" w:eastAsia="宋体" w:cs="Times New Roman"/>
          <w:b/>
          <w:szCs w:val="21"/>
        </w:rPr>
        <w:t>的规定：</w:t>
      </w:r>
    </w:p>
    <w:p w14:paraId="48D4AAA5">
      <w:pPr>
        <w:adjustRightInd w:val="0"/>
        <w:snapToGrid w:val="0"/>
        <w:spacing w:line="288" w:lineRule="auto"/>
        <w:jc w:val="left"/>
        <w:rPr>
          <w:rFonts w:hint="eastAsia" w:ascii="宋体" w:hAnsi="宋体" w:eastAsia="宋体" w:cs="Times New Roman"/>
          <w:b/>
          <w:szCs w:val="21"/>
        </w:rPr>
      </w:pPr>
      <w:r>
        <w:rPr>
          <w:rFonts w:hint="eastAsia" w:ascii="宋体" w:hAnsi="宋体" w:eastAsia="宋体" w:cs="Times New Roman"/>
          <w:b/>
          <w:szCs w:val="21"/>
        </w:rPr>
        <w:t>对符合规定的小微企业报价给予1</w:t>
      </w:r>
      <w:r>
        <w:rPr>
          <w:rFonts w:ascii="宋体" w:hAnsi="宋体" w:eastAsia="宋体" w:cs="Times New Roman"/>
          <w:b/>
          <w:szCs w:val="21"/>
        </w:rPr>
        <w:t>0</w:t>
      </w:r>
      <w:r>
        <w:rPr>
          <w:rFonts w:hint="eastAsia" w:ascii="宋体" w:hAnsi="宋体" w:eastAsia="宋体" w:cs="Times New Roman"/>
          <w:b/>
          <w:szCs w:val="21"/>
        </w:rPr>
        <w:t>%的扣除后计算价格得分。</w:t>
      </w:r>
    </w:p>
    <w:p w14:paraId="21A34D04">
      <w:pPr>
        <w:adjustRightInd w:val="0"/>
        <w:snapToGrid w:val="0"/>
        <w:spacing w:line="288" w:lineRule="auto"/>
        <w:ind w:firstLine="396" w:firstLineChars="200"/>
        <w:jc w:val="left"/>
        <w:rPr>
          <w:rFonts w:hint="eastAsia" w:ascii="宋体" w:hAnsi="宋体" w:eastAsia="宋体" w:cs="Times New Roman"/>
          <w:spacing w:val="-6"/>
          <w:szCs w:val="21"/>
          <w:u w:val="single"/>
        </w:rPr>
      </w:pPr>
      <w:r>
        <w:rPr>
          <w:rFonts w:hint="eastAsia" w:ascii="宋体" w:hAnsi="宋体" w:eastAsia="宋体" w:cs="Times New Roman"/>
          <w:spacing w:val="-6"/>
          <w:szCs w:val="21"/>
          <w:u w:val="single"/>
        </w:rPr>
        <w:t>注：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10CE5A76">
      <w:pPr>
        <w:adjustRightInd w:val="0"/>
        <w:snapToGrid w:val="0"/>
        <w:spacing w:line="288" w:lineRule="auto"/>
        <w:rPr>
          <w:rFonts w:hint="eastAsia" w:ascii="宋体" w:hAnsi="宋体" w:eastAsia="宋体" w:cs="Times New Roman"/>
          <w:b/>
          <w:bCs/>
          <w:spacing w:val="-6"/>
          <w:szCs w:val="21"/>
        </w:rPr>
      </w:pPr>
      <w:bookmarkStart w:id="58" w:name="_Hlk81817373"/>
      <w:bookmarkStart w:id="59" w:name="_Hlk81817387"/>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根据《</w:t>
      </w:r>
      <w:r>
        <w:rPr>
          <w:rFonts w:ascii="宋体" w:hAnsi="宋体" w:eastAsia="宋体" w:cs="Times New Roman"/>
          <w:b/>
          <w:bCs/>
          <w:spacing w:val="-6"/>
          <w:szCs w:val="21"/>
        </w:rPr>
        <w:t>关于政府采购支持监狱企业发展有关问题的通知</w:t>
      </w:r>
      <w:r>
        <w:rPr>
          <w:rFonts w:hint="eastAsia" w:ascii="宋体" w:hAnsi="宋体" w:eastAsia="宋体" w:cs="Times New Roman"/>
          <w:b/>
          <w:bCs/>
          <w:spacing w:val="-6"/>
          <w:szCs w:val="21"/>
        </w:rPr>
        <w:t>》（</w:t>
      </w:r>
      <w:r>
        <w:rPr>
          <w:rFonts w:ascii="宋体" w:hAnsi="宋体" w:eastAsia="宋体" w:cs="Times New Roman"/>
          <w:b/>
          <w:bCs/>
          <w:spacing w:val="-6"/>
          <w:szCs w:val="21"/>
        </w:rPr>
        <w:t>财库[2014]68号</w:t>
      </w:r>
      <w:r>
        <w:rPr>
          <w:rFonts w:hint="eastAsia" w:ascii="宋体" w:hAnsi="宋体" w:eastAsia="宋体" w:cs="Times New Roman"/>
          <w:b/>
          <w:bCs/>
          <w:spacing w:val="-6"/>
          <w:szCs w:val="21"/>
        </w:rPr>
        <w:t>）的规定，</w:t>
      </w:r>
      <w:r>
        <w:rPr>
          <w:rFonts w:hint="eastAsia" w:ascii="宋体" w:hAnsi="宋体" w:eastAsia="宋体" w:cs="宋体"/>
          <w:color w:val="000000"/>
          <w:kern w:val="0"/>
          <w:szCs w:val="21"/>
        </w:rPr>
        <w:t>监狱企业参加政府采购活动时，提供由省级以上监狱管理局</w:t>
      </w:r>
      <w:r>
        <w:rPr>
          <w:rFonts w:hint="eastAsia" w:ascii="宋体" w:hAnsi="宋体" w:eastAsia="宋体" w:cs="宋体"/>
          <w:kern w:val="0"/>
          <w:szCs w:val="21"/>
        </w:rPr>
        <w:t>、戒毒管理局（含新疆生产建设兵团）出具的属于监狱企业的证明文件的，在政府采购活动中，监狱企业视</w:t>
      </w:r>
      <w:r>
        <w:rPr>
          <w:rFonts w:hint="eastAsia" w:ascii="宋体" w:hAnsi="宋体" w:eastAsia="宋体" w:cs="宋体"/>
          <w:color w:val="000000"/>
          <w:kern w:val="0"/>
          <w:szCs w:val="21"/>
        </w:rPr>
        <w:t>同小型、微型企业，享受预留份额、评审中价格扣除等政府采购促进中小企业发展的政府采购政策。</w:t>
      </w:r>
    </w:p>
    <w:bookmarkEnd w:id="58"/>
    <w:p w14:paraId="577129B2">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根据《关于促进残疾人就业政府采购政策的通知》（财库[2017]141号）的规定，</w:t>
      </w:r>
      <w:r>
        <w:rPr>
          <w:rFonts w:hint="eastAsia" w:ascii="宋体" w:hAnsi="宋体" w:eastAsia="宋体"/>
          <w:color w:val="000000"/>
          <w:szCs w:val="21"/>
        </w:rPr>
        <w:t>符合条件的残疾人福利性单位在参加政府采购活动时，</w:t>
      </w:r>
      <w:r>
        <w:rPr>
          <w:rFonts w:hint="eastAsia" w:ascii="宋体" w:hAnsi="宋体" w:eastAsia="宋体"/>
          <w:szCs w:val="21"/>
        </w:rPr>
        <w:t>提供财库</w:t>
      </w:r>
      <w:r>
        <w:rPr>
          <w:rFonts w:ascii="宋体" w:hAnsi="宋体" w:eastAsia="宋体"/>
          <w:szCs w:val="21"/>
        </w:rPr>
        <w:t>[2017]141号</w:t>
      </w:r>
      <w:r>
        <w:rPr>
          <w:rFonts w:hint="eastAsia" w:ascii="宋体" w:hAnsi="宋体" w:eastAsia="宋体"/>
          <w:szCs w:val="21"/>
        </w:rPr>
        <w:t>文件</w:t>
      </w:r>
      <w:r>
        <w:rPr>
          <w:rFonts w:hint="eastAsia" w:ascii="宋体" w:hAnsi="宋体" w:eastAsia="宋体"/>
          <w:color w:val="000000"/>
          <w:szCs w:val="21"/>
        </w:rPr>
        <w:t>规定的《残疾人福利性单位声明函》的，在政府采购活</w:t>
      </w:r>
      <w:r>
        <w:rPr>
          <w:rFonts w:hint="eastAsia" w:ascii="宋体" w:hAnsi="宋体" w:eastAsia="宋体"/>
          <w:szCs w:val="21"/>
        </w:rPr>
        <w:t>动中，残疾人福利性单位视同小型、微型企业，享受预留份额、评审中价格扣除等促进中小企业发展的政府采购政策。</w:t>
      </w:r>
      <w:r>
        <w:rPr>
          <w:rFonts w:ascii="宋体" w:hAnsi="宋体" w:eastAsia="宋体" w:cs="Times New Roman"/>
          <w:spacing w:val="-6"/>
          <w:szCs w:val="21"/>
        </w:rPr>
        <w:t>残疾人福利性单位属于小型、微型企业的，不重复享受政策。</w:t>
      </w:r>
    </w:p>
    <w:bookmarkEnd w:id="59"/>
    <w:p w14:paraId="2B5980C9">
      <w:pPr>
        <w:widowControl/>
        <w:adjustRightInd w:val="0"/>
        <w:snapToGrid w:val="0"/>
        <w:spacing w:line="288" w:lineRule="auto"/>
        <w:jc w:val="left"/>
        <w:rPr>
          <w:rFonts w:hint="eastAsia" w:ascii="宋体" w:hAnsi="宋体" w:eastAsia="宋体" w:cs="Times New Roman"/>
          <w:b/>
          <w:bCs/>
          <w:spacing w:val="-6"/>
          <w:szCs w:val="21"/>
        </w:rPr>
      </w:pPr>
      <w:r>
        <w:rPr>
          <w:rFonts w:ascii="宋体" w:hAnsi="宋体" w:eastAsia="宋体" w:cs="Times New Roman"/>
          <w:b/>
          <w:bCs/>
          <w:spacing w:val="-6"/>
          <w:szCs w:val="21"/>
        </w:rPr>
        <w:br w:type="page"/>
      </w:r>
    </w:p>
    <w:p w14:paraId="23AE60CF">
      <w:pPr>
        <w:adjustRightInd w:val="0"/>
        <w:snapToGrid w:val="0"/>
        <w:spacing w:line="288" w:lineRule="auto"/>
        <w:jc w:val="center"/>
        <w:outlineLvl w:val="0"/>
        <w:rPr>
          <w:rFonts w:hint="eastAsia" w:ascii="宋体" w:hAnsi="宋体" w:eastAsia="宋体" w:cs="宋体"/>
          <w:b/>
          <w:bCs/>
          <w:spacing w:val="-6"/>
          <w:sz w:val="32"/>
          <w:szCs w:val="32"/>
        </w:rPr>
      </w:pPr>
      <w:r>
        <w:rPr>
          <w:rFonts w:hint="eastAsia" w:ascii="宋体" w:hAnsi="宋体" w:eastAsia="宋体" w:cs="宋体"/>
          <w:b/>
          <w:sz w:val="32"/>
          <w:szCs w:val="32"/>
        </w:rPr>
        <w:t>第五章  拟签订的合同文本</w:t>
      </w:r>
    </w:p>
    <w:p w14:paraId="73C4AB1B">
      <w:pPr>
        <w:spacing w:before="120" w:beforeLines="50" w:after="120" w:afterLines="50" w:line="320" w:lineRule="exact"/>
        <w:jc w:val="center"/>
        <w:rPr>
          <w:rFonts w:hint="eastAsia" w:ascii="宋体" w:hAnsi="宋体" w:eastAsia="宋体" w:cs="宋体"/>
          <w:b/>
          <w:szCs w:val="21"/>
        </w:rPr>
      </w:pPr>
      <w:r>
        <w:rPr>
          <w:rFonts w:hint="eastAsia" w:ascii="宋体" w:hAnsi="宋体" w:eastAsia="宋体" w:cs="宋体"/>
          <w:b/>
          <w:szCs w:val="21"/>
        </w:rPr>
        <w:t>浙江省政府采购合同（三方合同）</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9"/>
        <w:gridCol w:w="4629"/>
      </w:tblGrid>
      <w:tr w14:paraId="4E37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596" w:type="pct"/>
            <w:vAlign w:val="center"/>
          </w:tcPr>
          <w:p w14:paraId="5AE516B4">
            <w:pPr>
              <w:rPr>
                <w:rFonts w:hint="eastAsia" w:ascii="宋体" w:hAnsi="宋体" w:eastAsia="宋体" w:cs="宋体"/>
                <w:szCs w:val="21"/>
              </w:rPr>
            </w:pPr>
            <w:r>
              <w:rPr>
                <w:rFonts w:hint="eastAsia" w:ascii="宋体" w:hAnsi="宋体" w:eastAsia="宋体" w:cs="宋体"/>
                <w:szCs w:val="21"/>
              </w:rPr>
              <w:t>招标编号：</w:t>
            </w:r>
            <w:r>
              <w:rPr>
                <w:rFonts w:hint="eastAsia" w:ascii="宋体" w:hAnsi="宋体" w:eastAsia="宋体" w:cs="宋体"/>
                <w:bCs/>
                <w:szCs w:val="21"/>
              </w:rPr>
              <w:t xml:space="preserve"> </w:t>
            </w:r>
          </w:p>
        </w:tc>
        <w:tc>
          <w:tcPr>
            <w:tcW w:w="2404" w:type="pct"/>
            <w:vAlign w:val="center"/>
          </w:tcPr>
          <w:p w14:paraId="21A4E6D0">
            <w:pPr>
              <w:rPr>
                <w:rFonts w:hint="eastAsia" w:ascii="宋体" w:hAnsi="宋体" w:eastAsia="宋体" w:cs="宋体"/>
                <w:szCs w:val="21"/>
              </w:rPr>
            </w:pPr>
            <w:r>
              <w:rPr>
                <w:rFonts w:hint="eastAsia" w:ascii="宋体" w:hAnsi="宋体" w:eastAsia="宋体" w:cs="宋体"/>
                <w:szCs w:val="21"/>
              </w:rPr>
              <w:t xml:space="preserve">采购计划书号： </w:t>
            </w:r>
          </w:p>
        </w:tc>
      </w:tr>
      <w:tr w14:paraId="29E4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596" w:type="pct"/>
            <w:vAlign w:val="center"/>
          </w:tcPr>
          <w:p w14:paraId="3FF183B6">
            <w:pPr>
              <w:rPr>
                <w:rFonts w:hint="eastAsia" w:ascii="宋体" w:hAnsi="宋体" w:eastAsia="宋体" w:cs="宋体"/>
                <w:szCs w:val="21"/>
              </w:rPr>
            </w:pPr>
            <w:r>
              <w:rPr>
                <w:rFonts w:hint="eastAsia" w:ascii="宋体" w:hAnsi="宋体" w:eastAsia="宋体" w:cs="宋体"/>
                <w:szCs w:val="21"/>
              </w:rPr>
              <w:t>浙江工商大学合同编号：</w:t>
            </w:r>
          </w:p>
        </w:tc>
        <w:tc>
          <w:tcPr>
            <w:tcW w:w="2404" w:type="pct"/>
            <w:vAlign w:val="center"/>
          </w:tcPr>
          <w:p w14:paraId="2F56A427">
            <w:pPr>
              <w:rPr>
                <w:rFonts w:hint="eastAsia" w:ascii="宋体" w:hAnsi="宋体" w:eastAsia="宋体" w:cs="宋体"/>
                <w:szCs w:val="21"/>
              </w:rPr>
            </w:pPr>
            <w:r>
              <w:rPr>
                <w:rFonts w:hint="eastAsia" w:ascii="宋体" w:hAnsi="宋体" w:eastAsia="宋体" w:cs="宋体"/>
                <w:szCs w:val="21"/>
              </w:rPr>
              <w:t>浙江工商大学标书编号：</w:t>
            </w:r>
          </w:p>
        </w:tc>
      </w:tr>
    </w:tbl>
    <w:p w14:paraId="30BE41AF">
      <w:pPr>
        <w:spacing w:before="120" w:beforeLines="50" w:line="360" w:lineRule="auto"/>
        <w:rPr>
          <w:rFonts w:hint="eastAsia" w:ascii="宋体" w:hAnsi="宋体" w:eastAsia="宋体" w:cs="宋体"/>
          <w:szCs w:val="21"/>
        </w:rPr>
      </w:pPr>
      <w:r>
        <w:rPr>
          <w:rFonts w:hint="eastAsia" w:ascii="宋体" w:hAnsi="宋体" w:eastAsia="宋体" w:cs="宋体"/>
          <w:szCs w:val="21"/>
        </w:rPr>
        <w:t>甲方（采购人）：浙江工商大学</w:t>
      </w:r>
    </w:p>
    <w:p w14:paraId="0DEA937F">
      <w:pPr>
        <w:spacing w:line="360" w:lineRule="auto"/>
        <w:rPr>
          <w:rFonts w:hint="eastAsia" w:ascii="宋体" w:hAnsi="宋体" w:eastAsia="宋体" w:cs="宋体"/>
          <w:szCs w:val="21"/>
        </w:rPr>
      </w:pPr>
      <w:r>
        <w:rPr>
          <w:rFonts w:hint="eastAsia" w:ascii="宋体" w:hAnsi="宋体" w:eastAsia="宋体" w:cs="宋体"/>
          <w:szCs w:val="21"/>
        </w:rPr>
        <w:t xml:space="preserve">乙方（供应商）： </w:t>
      </w:r>
    </w:p>
    <w:p w14:paraId="7B291619">
      <w:pPr>
        <w:spacing w:line="360" w:lineRule="auto"/>
        <w:rPr>
          <w:rFonts w:hint="eastAsia" w:ascii="宋体" w:hAnsi="宋体" w:eastAsia="宋体" w:cs="宋体"/>
          <w:szCs w:val="21"/>
        </w:rPr>
      </w:pPr>
      <w:r>
        <w:rPr>
          <w:rFonts w:hint="eastAsia" w:ascii="宋体" w:hAnsi="宋体" w:eastAsia="宋体" w:cs="宋体"/>
          <w:szCs w:val="21"/>
        </w:rPr>
        <w:t xml:space="preserve">鉴证方（采购代理机构）：  </w:t>
      </w:r>
    </w:p>
    <w:p w14:paraId="7241A84D">
      <w:pPr>
        <w:spacing w:before="120" w:beforeLines="50" w:after="120" w:afterLines="50" w:line="360" w:lineRule="auto"/>
        <w:rPr>
          <w:rFonts w:hint="eastAsia" w:ascii="宋体" w:hAnsi="宋体" w:eastAsia="宋体" w:cs="宋体"/>
          <w:szCs w:val="21"/>
        </w:rPr>
      </w:pPr>
      <w:r>
        <w:rPr>
          <w:rFonts w:hint="eastAsia" w:ascii="宋体" w:hAnsi="宋体" w:eastAsia="宋体" w:cs="宋体"/>
          <w:szCs w:val="21"/>
        </w:rPr>
        <w:t xml:space="preserve">签约地点：杭州                                   </w:t>
      </w:r>
    </w:p>
    <w:p w14:paraId="5BE28F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甲乙双方根据</w:t>
      </w:r>
      <w:r>
        <w:rPr>
          <w:rFonts w:hint="eastAsia" w:ascii="宋体" w:hAnsi="宋体" w:eastAsia="宋体" w:cs="宋体"/>
          <w:szCs w:val="21"/>
          <w:u w:val="single"/>
        </w:rPr>
        <w:t xml:space="preserve">        </w:t>
      </w:r>
      <w:r>
        <w:rPr>
          <w:rFonts w:hint="eastAsia" w:ascii="宋体" w:hAnsi="宋体" w:eastAsia="宋体" w:cs="宋体"/>
          <w:szCs w:val="21"/>
        </w:rPr>
        <w:t>关于项目编号为</w:t>
      </w:r>
      <w:r>
        <w:rPr>
          <w:rFonts w:hint="eastAsia" w:ascii="宋体" w:hAnsi="宋体" w:eastAsia="宋体" w:cs="宋体"/>
          <w:szCs w:val="21"/>
          <w:u w:val="single"/>
        </w:rPr>
        <w:t xml:space="preserve">      </w:t>
      </w:r>
      <w:r>
        <w:rPr>
          <w:rFonts w:hint="eastAsia" w:ascii="宋体" w:hAnsi="宋体" w:eastAsia="宋体" w:cs="宋体"/>
          <w:szCs w:val="21"/>
        </w:rPr>
        <w:t>的</w:t>
      </w:r>
      <w:r>
        <w:rPr>
          <w:rFonts w:hint="eastAsia" w:ascii="宋体" w:hAnsi="宋体" w:eastAsia="宋体" w:cs="宋体"/>
          <w:szCs w:val="21"/>
          <w:u w:val="single"/>
        </w:rPr>
        <w:t xml:space="preserve">         </w:t>
      </w:r>
      <w:r>
        <w:rPr>
          <w:rFonts w:hint="eastAsia" w:ascii="宋体" w:hAnsi="宋体" w:eastAsia="宋体" w:cs="宋体"/>
          <w:szCs w:val="21"/>
        </w:rPr>
        <w:t>项目</w:t>
      </w:r>
      <w:r>
        <w:rPr>
          <w:rFonts w:hint="eastAsia" w:ascii="宋体" w:hAnsi="宋体" w:eastAsia="宋体" w:cs="宋体"/>
          <w:szCs w:val="21"/>
          <w:u w:val="single"/>
        </w:rPr>
        <w:t xml:space="preserve">   公开招标</w:t>
      </w:r>
      <w:r>
        <w:rPr>
          <w:rFonts w:hint="eastAsia" w:ascii="宋体" w:hAnsi="宋体" w:eastAsia="宋体" w:cs="宋体"/>
          <w:szCs w:val="21"/>
        </w:rPr>
        <w:t>的结果，签署本采购合同。</w:t>
      </w:r>
    </w:p>
    <w:p w14:paraId="1DA71EC1">
      <w:pPr>
        <w:spacing w:line="360" w:lineRule="auto"/>
        <w:ind w:firstLine="435"/>
        <w:rPr>
          <w:rFonts w:hint="eastAsia" w:ascii="宋体" w:hAnsi="宋体" w:eastAsia="宋体" w:cs="宋体"/>
          <w:b/>
          <w:szCs w:val="21"/>
        </w:rPr>
      </w:pPr>
      <w:r>
        <w:rPr>
          <w:rFonts w:hint="eastAsia" w:ascii="宋体" w:hAnsi="宋体" w:eastAsia="宋体" w:cs="宋体"/>
          <w:b/>
          <w:szCs w:val="21"/>
        </w:rPr>
        <w:t>一、货物内容及价格</w:t>
      </w:r>
    </w:p>
    <w:p w14:paraId="2F538704">
      <w:pPr>
        <w:spacing w:line="360" w:lineRule="auto"/>
        <w:ind w:firstLine="435"/>
        <w:rPr>
          <w:rFonts w:hint="eastAsia" w:ascii="宋体" w:hAnsi="宋体" w:eastAsia="宋体" w:cs="宋体"/>
          <w:szCs w:val="21"/>
        </w:rPr>
      </w:pPr>
      <w:r>
        <w:rPr>
          <w:rFonts w:hint="eastAsia" w:ascii="宋体" w:hAnsi="宋体" w:eastAsia="宋体" w:cs="宋体"/>
          <w:szCs w:val="21"/>
        </w:rPr>
        <w:t>1、货物名称和型号规格、数量、配置要求、价格：</w:t>
      </w:r>
    </w:p>
    <w:p w14:paraId="326F6112">
      <w:pPr>
        <w:spacing w:line="360" w:lineRule="auto"/>
        <w:ind w:firstLine="435"/>
        <w:rPr>
          <w:rFonts w:hint="eastAsia" w:ascii="宋体" w:hAnsi="宋体" w:eastAsia="宋体" w:cs="宋体"/>
          <w:szCs w:val="21"/>
        </w:rPr>
      </w:pPr>
      <w:r>
        <w:rPr>
          <w:rFonts w:hint="eastAsia" w:ascii="宋体" w:hAnsi="宋体" w:eastAsia="宋体" w:cs="宋体"/>
          <w:szCs w:val="21"/>
        </w:rPr>
        <w:t xml:space="preserve">                                            金额单位：元</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051"/>
        <w:gridCol w:w="2394"/>
        <w:gridCol w:w="741"/>
        <w:gridCol w:w="741"/>
        <w:gridCol w:w="1296"/>
        <w:gridCol w:w="1664"/>
      </w:tblGrid>
      <w:tr w14:paraId="17F9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75EBC75A">
            <w:pPr>
              <w:jc w:val="center"/>
              <w:rPr>
                <w:rFonts w:hint="eastAsia" w:ascii="宋体" w:hAnsi="宋体" w:eastAsia="宋体" w:cs="宋体"/>
                <w:spacing w:val="-6"/>
                <w:szCs w:val="21"/>
              </w:rPr>
            </w:pPr>
            <w:r>
              <w:rPr>
                <w:rFonts w:hint="eastAsia" w:ascii="宋体" w:hAnsi="宋体" w:eastAsia="宋体" w:cs="宋体"/>
                <w:spacing w:val="-6"/>
                <w:szCs w:val="21"/>
              </w:rPr>
              <w:t>序号</w:t>
            </w:r>
          </w:p>
        </w:tc>
        <w:tc>
          <w:tcPr>
            <w:tcW w:w="1065" w:type="pct"/>
            <w:tcBorders>
              <w:top w:val="single" w:color="auto" w:sz="4" w:space="0"/>
              <w:left w:val="single" w:color="auto" w:sz="4" w:space="0"/>
              <w:bottom w:val="single" w:color="auto" w:sz="4" w:space="0"/>
              <w:right w:val="single" w:color="auto" w:sz="4" w:space="0"/>
            </w:tcBorders>
            <w:vAlign w:val="center"/>
          </w:tcPr>
          <w:p w14:paraId="714BC366">
            <w:pPr>
              <w:jc w:val="center"/>
              <w:rPr>
                <w:rFonts w:hint="eastAsia" w:ascii="宋体" w:hAnsi="宋体" w:eastAsia="宋体" w:cs="宋体"/>
                <w:spacing w:val="-6"/>
                <w:szCs w:val="21"/>
              </w:rPr>
            </w:pPr>
            <w:r>
              <w:rPr>
                <w:rFonts w:hint="eastAsia" w:ascii="宋体" w:hAnsi="宋体" w:eastAsia="宋体" w:cs="宋体"/>
                <w:spacing w:val="-6"/>
                <w:szCs w:val="21"/>
              </w:rPr>
              <w:t>货物名称</w:t>
            </w:r>
          </w:p>
        </w:tc>
        <w:tc>
          <w:tcPr>
            <w:tcW w:w="1243" w:type="pct"/>
            <w:tcBorders>
              <w:top w:val="single" w:color="auto" w:sz="4" w:space="0"/>
              <w:left w:val="single" w:color="auto" w:sz="4" w:space="0"/>
              <w:bottom w:val="single" w:color="auto" w:sz="4" w:space="0"/>
              <w:right w:val="single" w:color="auto" w:sz="4" w:space="0"/>
            </w:tcBorders>
            <w:vAlign w:val="center"/>
          </w:tcPr>
          <w:p w14:paraId="02941C11">
            <w:pPr>
              <w:jc w:val="center"/>
              <w:rPr>
                <w:rFonts w:hint="eastAsia" w:ascii="宋体" w:hAnsi="宋体" w:eastAsia="宋体" w:cs="宋体"/>
                <w:spacing w:val="-6"/>
                <w:szCs w:val="21"/>
              </w:rPr>
            </w:pPr>
            <w:r>
              <w:rPr>
                <w:rFonts w:hint="eastAsia" w:ascii="宋体" w:hAnsi="宋体" w:eastAsia="宋体" w:cs="宋体"/>
                <w:spacing w:val="-6"/>
                <w:szCs w:val="21"/>
              </w:rPr>
              <w:t>厂牌、型号</w:t>
            </w:r>
          </w:p>
        </w:tc>
        <w:tc>
          <w:tcPr>
            <w:tcW w:w="385" w:type="pct"/>
            <w:tcBorders>
              <w:top w:val="single" w:color="auto" w:sz="4" w:space="0"/>
              <w:left w:val="single" w:color="auto" w:sz="4" w:space="0"/>
              <w:bottom w:val="single" w:color="auto" w:sz="4" w:space="0"/>
              <w:right w:val="single" w:color="auto" w:sz="4" w:space="0"/>
            </w:tcBorders>
            <w:vAlign w:val="center"/>
          </w:tcPr>
          <w:p w14:paraId="07055CF8">
            <w:pPr>
              <w:jc w:val="center"/>
              <w:rPr>
                <w:rFonts w:hint="eastAsia" w:ascii="宋体" w:hAnsi="宋体" w:eastAsia="宋体" w:cs="宋体"/>
                <w:spacing w:val="-6"/>
                <w:szCs w:val="21"/>
              </w:rPr>
            </w:pPr>
            <w:r>
              <w:rPr>
                <w:rFonts w:hint="eastAsia" w:ascii="宋体" w:hAnsi="宋体" w:eastAsia="宋体" w:cs="宋体"/>
                <w:spacing w:val="-6"/>
                <w:szCs w:val="21"/>
              </w:rPr>
              <w:t>数量</w:t>
            </w:r>
          </w:p>
        </w:tc>
        <w:tc>
          <w:tcPr>
            <w:tcW w:w="385" w:type="pct"/>
            <w:tcBorders>
              <w:top w:val="single" w:color="auto" w:sz="4" w:space="0"/>
              <w:left w:val="single" w:color="auto" w:sz="4" w:space="0"/>
              <w:bottom w:val="single" w:color="auto" w:sz="4" w:space="0"/>
              <w:right w:val="single" w:color="auto" w:sz="4" w:space="0"/>
            </w:tcBorders>
            <w:vAlign w:val="center"/>
          </w:tcPr>
          <w:p w14:paraId="73CC50B0">
            <w:pPr>
              <w:jc w:val="center"/>
              <w:rPr>
                <w:rFonts w:hint="eastAsia" w:ascii="宋体" w:hAnsi="宋体" w:eastAsia="宋体" w:cs="宋体"/>
                <w:spacing w:val="-6"/>
                <w:szCs w:val="21"/>
              </w:rPr>
            </w:pPr>
            <w:r>
              <w:rPr>
                <w:rFonts w:hint="eastAsia" w:ascii="宋体" w:hAnsi="宋体" w:eastAsia="宋体" w:cs="宋体"/>
                <w:spacing w:val="-6"/>
                <w:szCs w:val="21"/>
              </w:rPr>
              <w:t>单位</w:t>
            </w:r>
          </w:p>
        </w:tc>
        <w:tc>
          <w:tcPr>
            <w:tcW w:w="673" w:type="pct"/>
            <w:tcBorders>
              <w:top w:val="single" w:color="auto" w:sz="4" w:space="0"/>
              <w:left w:val="single" w:color="auto" w:sz="4" w:space="0"/>
              <w:bottom w:val="single" w:color="auto" w:sz="4" w:space="0"/>
              <w:right w:val="single" w:color="auto" w:sz="4" w:space="0"/>
            </w:tcBorders>
            <w:vAlign w:val="center"/>
          </w:tcPr>
          <w:p w14:paraId="0040626C">
            <w:pPr>
              <w:jc w:val="center"/>
              <w:rPr>
                <w:rFonts w:hint="eastAsia" w:ascii="宋体" w:hAnsi="宋体" w:eastAsia="宋体" w:cs="宋体"/>
                <w:spacing w:val="-6"/>
                <w:szCs w:val="21"/>
              </w:rPr>
            </w:pPr>
            <w:r>
              <w:rPr>
                <w:rFonts w:hint="eastAsia" w:ascii="宋体" w:hAnsi="宋体" w:eastAsia="宋体" w:cs="宋体"/>
                <w:spacing w:val="-6"/>
                <w:szCs w:val="21"/>
              </w:rPr>
              <w:t>单价</w:t>
            </w:r>
          </w:p>
        </w:tc>
        <w:tc>
          <w:tcPr>
            <w:tcW w:w="864" w:type="pct"/>
            <w:tcBorders>
              <w:top w:val="single" w:color="auto" w:sz="4" w:space="0"/>
              <w:left w:val="single" w:color="auto" w:sz="4" w:space="0"/>
              <w:bottom w:val="single" w:color="auto" w:sz="4" w:space="0"/>
              <w:right w:val="single" w:color="auto" w:sz="4" w:space="0"/>
            </w:tcBorders>
            <w:vAlign w:val="center"/>
          </w:tcPr>
          <w:p w14:paraId="410C828E">
            <w:pPr>
              <w:jc w:val="center"/>
              <w:rPr>
                <w:rFonts w:hint="eastAsia" w:ascii="宋体" w:hAnsi="宋体" w:eastAsia="宋体" w:cs="宋体"/>
                <w:spacing w:val="-6"/>
                <w:szCs w:val="21"/>
              </w:rPr>
            </w:pPr>
            <w:r>
              <w:rPr>
                <w:rFonts w:hint="eastAsia" w:ascii="宋体" w:hAnsi="宋体" w:eastAsia="宋体" w:cs="宋体"/>
                <w:spacing w:val="-6"/>
                <w:szCs w:val="21"/>
              </w:rPr>
              <w:t>金额</w:t>
            </w:r>
          </w:p>
        </w:tc>
      </w:tr>
      <w:tr w14:paraId="7E55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53F327A1">
            <w:pPr>
              <w:jc w:val="center"/>
              <w:rPr>
                <w:rFonts w:hint="eastAsia" w:ascii="宋体" w:hAnsi="宋体" w:eastAsia="宋体" w:cs="宋体"/>
                <w:spacing w:val="-6"/>
                <w:szCs w:val="21"/>
              </w:rPr>
            </w:pPr>
            <w:r>
              <w:rPr>
                <w:rFonts w:hint="eastAsia" w:ascii="宋体" w:hAnsi="宋体" w:eastAsia="宋体" w:cs="宋体"/>
                <w:spacing w:val="-6"/>
                <w:szCs w:val="21"/>
              </w:rPr>
              <w:t>1</w:t>
            </w:r>
          </w:p>
        </w:tc>
        <w:tc>
          <w:tcPr>
            <w:tcW w:w="1065" w:type="pct"/>
            <w:tcBorders>
              <w:top w:val="single" w:color="auto" w:sz="4" w:space="0"/>
              <w:left w:val="single" w:color="auto" w:sz="4" w:space="0"/>
              <w:bottom w:val="single" w:color="auto" w:sz="4" w:space="0"/>
              <w:right w:val="single" w:color="auto" w:sz="4" w:space="0"/>
            </w:tcBorders>
            <w:vAlign w:val="center"/>
          </w:tcPr>
          <w:p w14:paraId="32443224">
            <w:pPr>
              <w:ind w:firstLine="396" w:firstLineChars="200"/>
              <w:jc w:val="center"/>
              <w:rPr>
                <w:rFonts w:hint="eastAsia" w:ascii="宋体" w:hAnsi="宋体" w:eastAsia="宋体" w:cs="宋体"/>
                <w:spacing w:val="-6"/>
                <w:szCs w:val="21"/>
              </w:rPr>
            </w:pPr>
          </w:p>
        </w:tc>
        <w:tc>
          <w:tcPr>
            <w:tcW w:w="1243" w:type="pct"/>
            <w:tcBorders>
              <w:top w:val="single" w:color="auto" w:sz="4" w:space="0"/>
              <w:left w:val="single" w:color="auto" w:sz="4" w:space="0"/>
              <w:bottom w:val="single" w:color="auto" w:sz="4" w:space="0"/>
              <w:right w:val="single" w:color="auto" w:sz="4" w:space="0"/>
            </w:tcBorders>
            <w:vAlign w:val="center"/>
          </w:tcPr>
          <w:p w14:paraId="7D446312">
            <w:pPr>
              <w:rPr>
                <w:rFonts w:hint="eastAsia" w:ascii="宋体" w:hAnsi="宋体" w:eastAsia="宋体" w:cs="宋体"/>
                <w:spacing w:val="-6"/>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43999B21">
            <w:pPr>
              <w:ind w:firstLine="396" w:firstLineChars="200"/>
              <w:jc w:val="center"/>
              <w:rPr>
                <w:rFonts w:hint="eastAsia" w:ascii="宋体" w:hAnsi="宋体" w:eastAsia="宋体" w:cs="宋体"/>
                <w:spacing w:val="-6"/>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76E128E9">
            <w:pPr>
              <w:ind w:firstLine="396" w:firstLineChars="200"/>
              <w:jc w:val="center"/>
              <w:rPr>
                <w:rFonts w:hint="eastAsia" w:ascii="宋体" w:hAnsi="宋体" w:eastAsia="宋体" w:cs="宋体"/>
                <w:spacing w:val="-6"/>
                <w:szCs w:val="21"/>
              </w:rPr>
            </w:pPr>
          </w:p>
        </w:tc>
        <w:tc>
          <w:tcPr>
            <w:tcW w:w="673" w:type="pct"/>
            <w:tcBorders>
              <w:top w:val="single" w:color="auto" w:sz="4" w:space="0"/>
              <w:left w:val="single" w:color="auto" w:sz="4" w:space="0"/>
              <w:bottom w:val="single" w:color="auto" w:sz="4" w:space="0"/>
              <w:right w:val="single" w:color="auto" w:sz="4" w:space="0"/>
            </w:tcBorders>
            <w:vAlign w:val="center"/>
          </w:tcPr>
          <w:p w14:paraId="36EB7060">
            <w:pPr>
              <w:ind w:firstLine="396" w:firstLineChars="200"/>
              <w:jc w:val="center"/>
              <w:rPr>
                <w:rFonts w:hint="eastAsia" w:ascii="宋体" w:hAnsi="宋体" w:eastAsia="宋体" w:cs="宋体"/>
                <w:spacing w:val="-6"/>
                <w:szCs w:val="21"/>
              </w:rPr>
            </w:pPr>
          </w:p>
        </w:tc>
        <w:tc>
          <w:tcPr>
            <w:tcW w:w="864" w:type="pct"/>
            <w:tcBorders>
              <w:top w:val="single" w:color="auto" w:sz="4" w:space="0"/>
              <w:left w:val="single" w:color="auto" w:sz="4" w:space="0"/>
              <w:bottom w:val="single" w:color="auto" w:sz="4" w:space="0"/>
              <w:right w:val="single" w:color="auto" w:sz="4" w:space="0"/>
            </w:tcBorders>
            <w:vAlign w:val="center"/>
          </w:tcPr>
          <w:p w14:paraId="0142E4ED">
            <w:pPr>
              <w:ind w:firstLine="396" w:firstLineChars="200"/>
              <w:rPr>
                <w:rFonts w:hint="eastAsia" w:ascii="宋体" w:hAnsi="宋体" w:eastAsia="宋体" w:cs="宋体"/>
                <w:spacing w:val="-6"/>
                <w:szCs w:val="21"/>
              </w:rPr>
            </w:pPr>
          </w:p>
        </w:tc>
      </w:tr>
      <w:tr w14:paraId="014E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1F117EEF">
            <w:pPr>
              <w:jc w:val="center"/>
              <w:rPr>
                <w:rFonts w:hint="eastAsia" w:ascii="宋体" w:hAnsi="宋体" w:eastAsia="宋体" w:cs="宋体"/>
                <w:spacing w:val="-6"/>
                <w:szCs w:val="21"/>
              </w:rPr>
            </w:pPr>
            <w:r>
              <w:rPr>
                <w:rFonts w:hint="eastAsia" w:ascii="宋体" w:hAnsi="宋体" w:eastAsia="宋体" w:cs="宋体"/>
                <w:spacing w:val="-6"/>
                <w:szCs w:val="21"/>
              </w:rPr>
              <w:t>2</w:t>
            </w:r>
          </w:p>
        </w:tc>
        <w:tc>
          <w:tcPr>
            <w:tcW w:w="1065" w:type="pct"/>
            <w:tcBorders>
              <w:top w:val="single" w:color="auto" w:sz="4" w:space="0"/>
              <w:left w:val="single" w:color="auto" w:sz="4" w:space="0"/>
              <w:bottom w:val="single" w:color="auto" w:sz="4" w:space="0"/>
              <w:right w:val="single" w:color="auto" w:sz="4" w:space="0"/>
            </w:tcBorders>
            <w:vAlign w:val="center"/>
          </w:tcPr>
          <w:p w14:paraId="7D3F49B2">
            <w:pPr>
              <w:ind w:firstLine="396" w:firstLineChars="200"/>
              <w:jc w:val="center"/>
              <w:rPr>
                <w:rFonts w:hint="eastAsia" w:ascii="宋体" w:hAnsi="宋体" w:eastAsia="宋体" w:cs="宋体"/>
                <w:spacing w:val="-6"/>
                <w:szCs w:val="21"/>
              </w:rPr>
            </w:pPr>
          </w:p>
        </w:tc>
        <w:tc>
          <w:tcPr>
            <w:tcW w:w="1243" w:type="pct"/>
            <w:tcBorders>
              <w:top w:val="single" w:color="auto" w:sz="4" w:space="0"/>
              <w:left w:val="single" w:color="auto" w:sz="4" w:space="0"/>
              <w:bottom w:val="single" w:color="auto" w:sz="4" w:space="0"/>
              <w:right w:val="single" w:color="auto" w:sz="4" w:space="0"/>
            </w:tcBorders>
            <w:vAlign w:val="center"/>
          </w:tcPr>
          <w:p w14:paraId="7FFB3EAD">
            <w:pPr>
              <w:rPr>
                <w:rFonts w:hint="eastAsia" w:ascii="宋体" w:hAnsi="宋体" w:eastAsia="宋体" w:cs="宋体"/>
                <w:spacing w:val="-6"/>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64A06D5A">
            <w:pPr>
              <w:ind w:firstLine="396" w:firstLineChars="200"/>
              <w:jc w:val="center"/>
              <w:rPr>
                <w:rFonts w:hint="eastAsia" w:ascii="宋体" w:hAnsi="宋体" w:eastAsia="宋体" w:cs="宋体"/>
                <w:spacing w:val="-6"/>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7990154C">
            <w:pPr>
              <w:ind w:firstLine="396" w:firstLineChars="200"/>
              <w:jc w:val="center"/>
              <w:rPr>
                <w:rFonts w:hint="eastAsia" w:ascii="宋体" w:hAnsi="宋体" w:eastAsia="宋体" w:cs="宋体"/>
                <w:spacing w:val="-6"/>
                <w:szCs w:val="21"/>
              </w:rPr>
            </w:pPr>
          </w:p>
        </w:tc>
        <w:tc>
          <w:tcPr>
            <w:tcW w:w="673" w:type="pct"/>
            <w:tcBorders>
              <w:top w:val="single" w:color="auto" w:sz="4" w:space="0"/>
              <w:left w:val="single" w:color="auto" w:sz="4" w:space="0"/>
              <w:bottom w:val="single" w:color="auto" w:sz="4" w:space="0"/>
              <w:right w:val="single" w:color="auto" w:sz="4" w:space="0"/>
            </w:tcBorders>
            <w:vAlign w:val="center"/>
          </w:tcPr>
          <w:p w14:paraId="278DEB43">
            <w:pPr>
              <w:ind w:firstLine="396" w:firstLineChars="200"/>
              <w:jc w:val="center"/>
              <w:rPr>
                <w:rFonts w:hint="eastAsia" w:ascii="宋体" w:hAnsi="宋体" w:eastAsia="宋体" w:cs="宋体"/>
                <w:spacing w:val="-6"/>
                <w:szCs w:val="21"/>
              </w:rPr>
            </w:pPr>
          </w:p>
        </w:tc>
        <w:tc>
          <w:tcPr>
            <w:tcW w:w="864" w:type="pct"/>
            <w:tcBorders>
              <w:top w:val="single" w:color="auto" w:sz="4" w:space="0"/>
              <w:left w:val="single" w:color="auto" w:sz="4" w:space="0"/>
              <w:bottom w:val="single" w:color="auto" w:sz="4" w:space="0"/>
              <w:right w:val="single" w:color="auto" w:sz="4" w:space="0"/>
            </w:tcBorders>
            <w:vAlign w:val="center"/>
          </w:tcPr>
          <w:p w14:paraId="0A873D7D">
            <w:pPr>
              <w:ind w:firstLine="396" w:firstLineChars="200"/>
              <w:rPr>
                <w:rFonts w:hint="eastAsia" w:ascii="宋体" w:hAnsi="宋体" w:eastAsia="宋体" w:cs="宋体"/>
                <w:spacing w:val="-6"/>
                <w:szCs w:val="21"/>
              </w:rPr>
            </w:pPr>
          </w:p>
        </w:tc>
      </w:tr>
      <w:tr w14:paraId="48B1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3F0BD24D">
            <w:pPr>
              <w:jc w:val="center"/>
              <w:rPr>
                <w:rFonts w:hint="eastAsia" w:ascii="宋体" w:hAnsi="宋体" w:eastAsia="宋体" w:cs="宋体"/>
                <w:spacing w:val="-6"/>
                <w:szCs w:val="21"/>
              </w:rPr>
            </w:pPr>
            <w:r>
              <w:rPr>
                <w:rFonts w:hint="eastAsia" w:ascii="宋体" w:hAnsi="宋体" w:eastAsia="宋体" w:cs="宋体"/>
                <w:spacing w:val="-6"/>
                <w:szCs w:val="21"/>
              </w:rPr>
              <w:t>3</w:t>
            </w:r>
          </w:p>
        </w:tc>
        <w:tc>
          <w:tcPr>
            <w:tcW w:w="1065" w:type="pct"/>
            <w:tcBorders>
              <w:top w:val="single" w:color="auto" w:sz="4" w:space="0"/>
              <w:left w:val="single" w:color="auto" w:sz="4" w:space="0"/>
              <w:bottom w:val="single" w:color="auto" w:sz="4" w:space="0"/>
              <w:right w:val="single" w:color="auto" w:sz="4" w:space="0"/>
            </w:tcBorders>
            <w:vAlign w:val="center"/>
          </w:tcPr>
          <w:p w14:paraId="438FAC17">
            <w:pPr>
              <w:ind w:firstLine="396" w:firstLineChars="200"/>
              <w:jc w:val="center"/>
              <w:rPr>
                <w:rFonts w:hint="eastAsia" w:ascii="宋体" w:hAnsi="宋体" w:eastAsia="宋体" w:cs="宋体"/>
                <w:spacing w:val="-6"/>
                <w:szCs w:val="21"/>
              </w:rPr>
            </w:pPr>
          </w:p>
        </w:tc>
        <w:tc>
          <w:tcPr>
            <w:tcW w:w="1243" w:type="pct"/>
            <w:tcBorders>
              <w:top w:val="single" w:color="auto" w:sz="4" w:space="0"/>
              <w:left w:val="single" w:color="auto" w:sz="4" w:space="0"/>
              <w:bottom w:val="single" w:color="auto" w:sz="4" w:space="0"/>
              <w:right w:val="single" w:color="auto" w:sz="4" w:space="0"/>
            </w:tcBorders>
            <w:vAlign w:val="center"/>
          </w:tcPr>
          <w:p w14:paraId="79C9C4AB">
            <w:pPr>
              <w:rPr>
                <w:rFonts w:hint="eastAsia" w:ascii="宋体" w:hAnsi="宋体" w:eastAsia="宋体" w:cs="宋体"/>
                <w:spacing w:val="-6"/>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4C8ADDEA">
            <w:pPr>
              <w:ind w:firstLine="396" w:firstLineChars="200"/>
              <w:jc w:val="center"/>
              <w:rPr>
                <w:rFonts w:hint="eastAsia" w:ascii="宋体" w:hAnsi="宋体" w:eastAsia="宋体" w:cs="宋体"/>
                <w:spacing w:val="-6"/>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06703559">
            <w:pPr>
              <w:ind w:firstLine="396" w:firstLineChars="200"/>
              <w:jc w:val="center"/>
              <w:rPr>
                <w:rFonts w:hint="eastAsia" w:ascii="宋体" w:hAnsi="宋体" w:eastAsia="宋体" w:cs="宋体"/>
                <w:spacing w:val="-6"/>
                <w:szCs w:val="21"/>
              </w:rPr>
            </w:pPr>
          </w:p>
        </w:tc>
        <w:tc>
          <w:tcPr>
            <w:tcW w:w="673" w:type="pct"/>
            <w:tcBorders>
              <w:top w:val="single" w:color="auto" w:sz="4" w:space="0"/>
              <w:left w:val="single" w:color="auto" w:sz="4" w:space="0"/>
              <w:bottom w:val="single" w:color="auto" w:sz="4" w:space="0"/>
              <w:right w:val="single" w:color="auto" w:sz="4" w:space="0"/>
            </w:tcBorders>
            <w:vAlign w:val="center"/>
          </w:tcPr>
          <w:p w14:paraId="19BB5AEC">
            <w:pPr>
              <w:ind w:firstLine="396" w:firstLineChars="200"/>
              <w:jc w:val="center"/>
              <w:rPr>
                <w:rFonts w:hint="eastAsia" w:ascii="宋体" w:hAnsi="宋体" w:eastAsia="宋体" w:cs="宋体"/>
                <w:spacing w:val="-6"/>
                <w:szCs w:val="21"/>
              </w:rPr>
            </w:pPr>
          </w:p>
        </w:tc>
        <w:tc>
          <w:tcPr>
            <w:tcW w:w="864" w:type="pct"/>
            <w:tcBorders>
              <w:top w:val="single" w:color="auto" w:sz="4" w:space="0"/>
              <w:left w:val="single" w:color="auto" w:sz="4" w:space="0"/>
              <w:bottom w:val="single" w:color="auto" w:sz="4" w:space="0"/>
              <w:right w:val="single" w:color="auto" w:sz="4" w:space="0"/>
            </w:tcBorders>
            <w:vAlign w:val="center"/>
          </w:tcPr>
          <w:p w14:paraId="439BBD11">
            <w:pPr>
              <w:ind w:firstLine="396" w:firstLineChars="200"/>
              <w:rPr>
                <w:rFonts w:hint="eastAsia" w:ascii="宋体" w:hAnsi="宋体" w:eastAsia="宋体" w:cs="宋体"/>
                <w:spacing w:val="-6"/>
                <w:szCs w:val="21"/>
              </w:rPr>
            </w:pPr>
          </w:p>
        </w:tc>
      </w:tr>
      <w:tr w14:paraId="7044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463" w:type="pct"/>
            <w:gridSpan w:val="5"/>
            <w:tcBorders>
              <w:top w:val="single" w:color="auto" w:sz="4" w:space="0"/>
              <w:left w:val="single" w:color="auto" w:sz="4" w:space="0"/>
              <w:bottom w:val="single" w:color="auto" w:sz="4" w:space="0"/>
              <w:right w:val="single" w:color="auto" w:sz="4" w:space="0"/>
            </w:tcBorders>
            <w:vAlign w:val="center"/>
          </w:tcPr>
          <w:p w14:paraId="4AFBC53D">
            <w:pPr>
              <w:ind w:firstLine="396" w:firstLineChars="200"/>
              <w:jc w:val="center"/>
              <w:rPr>
                <w:rFonts w:hint="eastAsia" w:ascii="宋体" w:hAnsi="宋体" w:eastAsia="宋体" w:cs="宋体"/>
                <w:szCs w:val="21"/>
              </w:rPr>
            </w:pPr>
            <w:r>
              <w:rPr>
                <w:rFonts w:hint="eastAsia" w:ascii="宋体" w:hAnsi="宋体" w:eastAsia="宋体" w:cs="宋体"/>
                <w:spacing w:val="-6"/>
                <w:szCs w:val="21"/>
              </w:rPr>
              <w:t>合  计</w:t>
            </w:r>
          </w:p>
        </w:tc>
        <w:tc>
          <w:tcPr>
            <w:tcW w:w="1537" w:type="pct"/>
            <w:gridSpan w:val="2"/>
            <w:tcBorders>
              <w:top w:val="single" w:color="auto" w:sz="4" w:space="0"/>
              <w:left w:val="single" w:color="auto" w:sz="4" w:space="0"/>
              <w:bottom w:val="single" w:color="auto" w:sz="4" w:space="0"/>
              <w:right w:val="single" w:color="auto" w:sz="4" w:space="0"/>
            </w:tcBorders>
            <w:vAlign w:val="center"/>
          </w:tcPr>
          <w:p w14:paraId="37CA8B07">
            <w:pPr>
              <w:ind w:firstLine="420" w:firstLineChars="200"/>
              <w:rPr>
                <w:rFonts w:hint="eastAsia" w:ascii="宋体" w:hAnsi="宋体" w:eastAsia="宋体" w:cs="宋体"/>
                <w:szCs w:val="21"/>
              </w:rPr>
            </w:pPr>
          </w:p>
        </w:tc>
      </w:tr>
      <w:tr w14:paraId="2CEF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49" w:type="pct"/>
            <w:gridSpan w:val="2"/>
            <w:tcBorders>
              <w:top w:val="single" w:color="auto" w:sz="4" w:space="0"/>
              <w:left w:val="single" w:color="auto" w:sz="4" w:space="0"/>
              <w:bottom w:val="single" w:color="auto" w:sz="4" w:space="0"/>
              <w:right w:val="single" w:color="auto" w:sz="4" w:space="0"/>
            </w:tcBorders>
            <w:vAlign w:val="center"/>
          </w:tcPr>
          <w:p w14:paraId="0BDDE7AC">
            <w:pPr>
              <w:jc w:val="center"/>
              <w:rPr>
                <w:rFonts w:hint="eastAsia" w:ascii="宋体" w:hAnsi="宋体" w:eastAsia="宋体" w:cs="宋体"/>
                <w:spacing w:val="-6"/>
                <w:szCs w:val="21"/>
              </w:rPr>
            </w:pPr>
            <w:r>
              <w:rPr>
                <w:rFonts w:hint="eastAsia" w:ascii="宋体" w:hAnsi="宋体" w:eastAsia="宋体" w:cs="宋体"/>
                <w:spacing w:val="-6"/>
                <w:szCs w:val="21"/>
              </w:rPr>
              <w:t>合同总价（人民币）</w:t>
            </w:r>
          </w:p>
        </w:tc>
        <w:tc>
          <w:tcPr>
            <w:tcW w:w="3551" w:type="pct"/>
            <w:gridSpan w:val="5"/>
            <w:tcBorders>
              <w:top w:val="single" w:color="auto" w:sz="4" w:space="0"/>
              <w:left w:val="single" w:color="auto" w:sz="4" w:space="0"/>
              <w:bottom w:val="single" w:color="auto" w:sz="4" w:space="0"/>
              <w:right w:val="single" w:color="auto" w:sz="4" w:space="0"/>
            </w:tcBorders>
            <w:vAlign w:val="center"/>
          </w:tcPr>
          <w:p w14:paraId="5B0D6BDA">
            <w:pPr>
              <w:ind w:firstLine="420" w:firstLineChars="200"/>
              <w:rPr>
                <w:rFonts w:hint="eastAsia" w:ascii="宋体" w:hAnsi="宋体" w:eastAsia="宋体" w:cs="宋体"/>
                <w:spacing w:val="-6"/>
                <w:szCs w:val="21"/>
              </w:rPr>
            </w:pPr>
            <w:r>
              <w:rPr>
                <w:rFonts w:hint="eastAsia" w:ascii="宋体" w:hAnsi="宋体" w:eastAsia="宋体" w:cs="宋体"/>
                <w:szCs w:val="21"/>
              </w:rPr>
              <w:t>大写：                          小写：￥</w:t>
            </w:r>
            <w:r>
              <w:rPr>
                <w:rFonts w:hint="eastAsia" w:ascii="宋体" w:hAnsi="宋体" w:eastAsia="宋体" w:cs="宋体"/>
                <w:szCs w:val="21"/>
                <w:u w:val="single"/>
              </w:rPr>
              <w:t xml:space="preserve">          </w:t>
            </w:r>
          </w:p>
        </w:tc>
      </w:tr>
    </w:tbl>
    <w:p w14:paraId="79BA7DF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2、上表所称合同总价，包括货物的运费、保险费、税费等全部费用。合同约定需对货物进行检测、安装和调试的，总价包括检测、安装和调试费用，合同另有约定的，从约定。</w:t>
      </w:r>
    </w:p>
    <w:p w14:paraId="027F3710">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二、货物质量标准和要求</w:t>
      </w:r>
    </w:p>
    <w:p w14:paraId="65701B7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1、乙方交付的货物，应当符合招标书规定的质量标准和国家规定的质量标准</w:t>
      </w:r>
    </w:p>
    <w:p w14:paraId="18DB202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2、乙方交付的货物应当是最新生产的原装合格产品，进口商品应当是经商检合格的原装产品。软件产品需由乙方提供原厂知识产权证书及授权书。</w:t>
      </w:r>
    </w:p>
    <w:p w14:paraId="296CE97C">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三、货物的品质和权利担保责任</w:t>
      </w:r>
    </w:p>
    <w:p w14:paraId="5245FCC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1、乙方应担保向甲方提供的货物的品质符合合同的约定，并符合国家和行业标准。</w:t>
      </w:r>
    </w:p>
    <w:p w14:paraId="620064F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2、乙方应担保向甲方提供的货物不侵犯第三人的知识产权，且货物上不存在抵押、查封等权利限制。</w:t>
      </w:r>
    </w:p>
    <w:p w14:paraId="442E5AC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3、乙方提供的货物不符合前条约定的质量标准和要求，或者违反本条前项规定的，乙方应当予以更换，因此构成迟延交货的，乙方应承担迟延的违约责任。</w:t>
      </w:r>
    </w:p>
    <w:p w14:paraId="415D7895">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四、货物的交付及风险转移</w:t>
      </w:r>
    </w:p>
    <w:p w14:paraId="39E7C2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1、乙方的交货期限为：合同签订后</w:t>
      </w:r>
      <w:r>
        <w:rPr>
          <w:rFonts w:hint="eastAsia" w:ascii="宋体" w:hAnsi="宋体" w:eastAsia="宋体" w:cs="宋体"/>
          <w:szCs w:val="21"/>
          <w:u w:val="single"/>
        </w:rPr>
        <w:t xml:space="preserve">     </w:t>
      </w:r>
      <w:r>
        <w:rPr>
          <w:rFonts w:hint="eastAsia" w:ascii="宋体" w:hAnsi="宋体" w:eastAsia="宋体" w:cs="宋体"/>
          <w:szCs w:val="21"/>
        </w:rPr>
        <w:t>。乙方提前交货的，应当在三日前通知甲方，并征得甲方同意。</w:t>
      </w:r>
    </w:p>
    <w:p w14:paraId="0B1892F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2、乙方的交货方式依照下列第</w:t>
      </w:r>
      <w:r>
        <w:rPr>
          <w:rFonts w:hint="eastAsia" w:ascii="宋体" w:hAnsi="宋体" w:eastAsia="宋体" w:cs="宋体"/>
          <w:szCs w:val="21"/>
          <w:u w:val="single"/>
        </w:rPr>
        <w:t>（1）</w:t>
      </w:r>
      <w:r>
        <w:rPr>
          <w:rFonts w:hint="eastAsia" w:ascii="宋体" w:hAnsi="宋体" w:eastAsia="宋体" w:cs="宋体"/>
          <w:szCs w:val="21"/>
        </w:rPr>
        <w:t>目规定：</w:t>
      </w:r>
    </w:p>
    <w:p w14:paraId="48CB39D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（1）一次性交货；</w:t>
      </w:r>
    </w:p>
    <w:p w14:paraId="3776CFB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（2）分批交货。各批交货时间分别为：</w:t>
      </w:r>
    </w:p>
    <w:p w14:paraId="640B547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第一批：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21B3D01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第二批：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0A42D60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第三批：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411A867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第四批：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31A46F19">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3、交货地点为：</w:t>
      </w:r>
      <w:r>
        <w:rPr>
          <w:rFonts w:hint="eastAsia" w:ascii="宋体" w:hAnsi="宋体" w:eastAsia="宋体" w:cs="宋体"/>
          <w:szCs w:val="21"/>
          <w:u w:val="single"/>
        </w:rPr>
        <w:t xml:space="preserve">  浙江工商大学，甲方指定地点  。</w:t>
      </w:r>
    </w:p>
    <w:p w14:paraId="0C46E7F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4、货物的风险自于约定的交货地点交付于甲方并经甲方初步验收合格之时起转移于甲方。</w:t>
      </w:r>
    </w:p>
    <w:p w14:paraId="173D3543">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五、货物设备的检验、安装调试和验收</w:t>
      </w:r>
    </w:p>
    <w:p w14:paraId="223118F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1、乙方交货前，应按照招标文件规定的标准对货物进行检验，整理检验文件并列出清单，该文件和清单应随货交付甲方，作为甲方验收和使用的技术依据。</w:t>
      </w:r>
    </w:p>
    <w:p w14:paraId="50979C7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2、乙方向甲方交付货物设备后，应当负责对该设备进行安装和调试，直至达到约定的质量技术标准和使用性能。</w:t>
      </w:r>
    </w:p>
    <w:p w14:paraId="635A47D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3、甲方对乙方提供的货物，依据招标</w:t>
      </w:r>
      <w:r>
        <w:rPr>
          <w:rFonts w:hint="eastAsia" w:ascii="宋体" w:hAnsi="宋体" w:eastAsia="宋体" w:cs="宋体"/>
          <w:color w:val="000000" w:themeColor="text1"/>
          <w:szCs w:val="21"/>
          <w14:textFill>
            <w14:solidFill>
              <w14:schemeClr w14:val="tx1"/>
            </w14:solidFill>
          </w14:textFill>
        </w:rPr>
        <w:t>文件规定的技术要求和国家规定的质量标准进行验收。乙方交货后，甲方需在五个工作日内开始验收。货物设备需要安装的，在乙方送达约定地点，由甲方进行初步验收</w:t>
      </w:r>
      <w:r>
        <w:rPr>
          <w:rFonts w:hint="eastAsia" w:ascii="宋体" w:hAnsi="宋体" w:eastAsia="宋体" w:cs="宋体"/>
          <w:szCs w:val="21"/>
        </w:rPr>
        <w:t>合格后，再行安装。安装调试应在不迟于甲方初步验收合格后</w:t>
      </w:r>
      <w:r>
        <w:rPr>
          <w:rFonts w:hint="eastAsia" w:ascii="宋体" w:hAnsi="宋体" w:eastAsia="宋体" w:cs="宋体"/>
          <w:szCs w:val="21"/>
          <w:u w:val="single"/>
        </w:rPr>
        <w:t xml:space="preserve">    个工作日</w:t>
      </w:r>
      <w:r>
        <w:rPr>
          <w:rFonts w:hint="eastAsia" w:ascii="宋体" w:hAnsi="宋体" w:eastAsia="宋体" w:cs="宋体"/>
          <w:szCs w:val="21"/>
        </w:rPr>
        <w:t>内完成。安装调试完成后，由甲方进行最终验收，并签署验收合格证明材料。</w:t>
      </w:r>
    </w:p>
    <w:p w14:paraId="1981D47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4、甲方对乙方提供的货物的验收，并不能排除乙方依照第三条第3项应当对货物瑕疵承担的担保责任。</w:t>
      </w:r>
    </w:p>
    <w:p w14:paraId="24C00A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5、乙方在对货物设备进行安装调试的过程中，应为甲方培训使用操作人员。</w:t>
      </w:r>
    </w:p>
    <w:p w14:paraId="76508ED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6、对技术复杂的货物，甲方可以请求国家认可的专业检测机构参与验收，并由其出具质量检测报告，检测费用由乙方承担。甲方根据其检测报告签署验收合格证明材料。</w:t>
      </w:r>
    </w:p>
    <w:p w14:paraId="0B84B0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7、在乙方安装调试期间，发生货物损害的，由乙方承担责任。因不可抗力原因造成损害的，由双方协商分担。</w:t>
      </w:r>
    </w:p>
    <w:p w14:paraId="7C7651DC">
      <w:pPr>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六、转包或分包</w:t>
      </w:r>
    </w:p>
    <w:p w14:paraId="622F650C">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1、不允许转包。</w:t>
      </w:r>
    </w:p>
    <w:p w14:paraId="4F446E93">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2、允许分包部分</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w:t>
      </w:r>
    </w:p>
    <w:p w14:paraId="0F52E8D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3、如乙方将项目转包或将不允许分包部分就行了分包，甲方有权解除合同、没收履约保证金（如有），并要求乙方支付合同总价15.0%的违约金。</w:t>
      </w:r>
    </w:p>
    <w:p w14:paraId="7ABBB8CD">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七、技术资料及保密义务</w:t>
      </w:r>
    </w:p>
    <w:p w14:paraId="0EAD86D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1、乙方应按招标文件规定的时间向甲方提供货物的有关技术资料。</w:t>
      </w:r>
    </w:p>
    <w:p w14:paraId="321B7F7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2、未经甲方同意，乙方不得将甲方提供的与本合同履行有关的技术和商务资料向无关的第三人泄露。为履行合同必须向第三人提供时，应限于为履行合同所必须的范围。</w:t>
      </w:r>
    </w:p>
    <w:p w14:paraId="63F5AE07">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八、质量保证及售后服务</w:t>
      </w:r>
    </w:p>
    <w:p w14:paraId="63222C6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1、乙方交付的货物，自交付验收合格之日起</w:t>
      </w:r>
      <w:r>
        <w:rPr>
          <w:rFonts w:hint="eastAsia" w:ascii="宋体" w:hAnsi="宋体" w:eastAsia="宋体" w:cs="宋体"/>
          <w:szCs w:val="21"/>
          <w:u w:val="single"/>
        </w:rPr>
        <w:t xml:space="preserve">    </w:t>
      </w:r>
      <w:r>
        <w:rPr>
          <w:rFonts w:hint="eastAsia" w:ascii="宋体" w:hAnsi="宋体" w:eastAsia="宋体" w:cs="宋体"/>
          <w:snapToGrid w:val="0"/>
          <w:kern w:val="0"/>
          <w:szCs w:val="21"/>
          <w:u w:val="single"/>
        </w:rPr>
        <w:t xml:space="preserve">  </w:t>
      </w:r>
      <w:r>
        <w:rPr>
          <w:rFonts w:hint="eastAsia" w:ascii="宋体" w:hAnsi="宋体" w:eastAsia="宋体" w:cs="宋体"/>
          <w:szCs w:val="21"/>
        </w:rPr>
        <w:t>年内为质量保证期。</w:t>
      </w:r>
    </w:p>
    <w:p w14:paraId="310ED19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2、在质量保证期内，货物发生故障或损坏的，乙方应至迟在接到通知之日起两个工作日内修复，以保证甲方的正常使用。</w:t>
      </w:r>
      <w:r>
        <w:rPr>
          <w:rFonts w:hint="eastAsia" w:ascii="宋体" w:hAnsi="宋体" w:eastAsia="宋体" w:cs="宋体"/>
          <w:color w:val="000000" w:themeColor="text1"/>
          <w:szCs w:val="21"/>
          <w14:textFill>
            <w14:solidFill>
              <w14:schemeClr w14:val="tx1"/>
            </w14:solidFill>
          </w14:textFill>
        </w:rPr>
        <w:t>乙方无法在上述期限内修复或者经两次修复后又出现故障的，甲方有权选择下列方式</w:t>
      </w:r>
      <w:r>
        <w:rPr>
          <w:rFonts w:hint="eastAsia" w:ascii="宋体" w:hAnsi="宋体" w:eastAsia="宋体" w:cs="宋体"/>
          <w:szCs w:val="21"/>
        </w:rPr>
        <w:t>之一处理：</w:t>
      </w:r>
    </w:p>
    <w:p w14:paraId="208BB46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（1）更换：由乙方承担所需费用；</w:t>
      </w:r>
    </w:p>
    <w:p w14:paraId="2A9564E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（2）贬值处理：由甲乙双方协议确定价格；</w:t>
      </w:r>
    </w:p>
    <w:p w14:paraId="404CF1A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（3）退货：乙方应退还甲方已支付的价款，并承担退货所发生的费用和损失（包括运费、保险费、检验费、货款利息及银行手续费等）。</w:t>
      </w:r>
    </w:p>
    <w:p w14:paraId="62E021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3、在质保期内，乙方依照前项规定对货物进行修复的，不得另行请求甲方支付修理费或服务费等费用。但因甲方人为原因造成的货物损害，不在此限。</w:t>
      </w:r>
    </w:p>
    <w:p w14:paraId="4B7A0ED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4、乙方交付的货物从验收合格之日起30日内发生无法排除的障碍时，由乙方整机调换。</w:t>
      </w:r>
    </w:p>
    <w:p w14:paraId="24994CF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5、质保期届满后，乙方应当为货物提供维修服务，并可收取成本费。</w:t>
      </w:r>
    </w:p>
    <w:p w14:paraId="282B66CB">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6、</w:t>
      </w:r>
      <w:r>
        <w:rPr>
          <w:rFonts w:hint="eastAsia" w:ascii="宋体" w:hAnsi="宋体" w:eastAsia="宋体" w:cs="宋体"/>
          <w:color w:val="000000" w:themeColor="text1"/>
          <w:szCs w:val="21"/>
          <w14:textFill>
            <w14:solidFill>
              <w14:schemeClr w14:val="tx1"/>
            </w14:solidFill>
          </w14:textFill>
        </w:rPr>
        <w:t>为担保乙方履行合同义务，乙方在合同签订成立7日内，应向甲方交付履约保证金</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。（提交方式：支票、汇票、本票或者金融机构、担保机构出具的保函等非现金形式）。在没有发生质量索赔的情况下，履约保证金在验收合格后及时无息退还。</w:t>
      </w:r>
    </w:p>
    <w:p w14:paraId="24134E44">
      <w:pPr>
        <w:spacing w:line="360" w:lineRule="auto"/>
        <w:ind w:firstLine="420" w:firstLineChars="200"/>
        <w:rPr>
          <w:rFonts w:hint="eastAsia" w:ascii="宋体" w:hAnsi="宋体" w:eastAsia="宋体" w:cs="宋体"/>
          <w:color w:val="C00000"/>
          <w:szCs w:val="21"/>
        </w:rPr>
      </w:pPr>
      <w:r>
        <w:rPr>
          <w:rFonts w:hint="eastAsia" w:ascii="宋体" w:hAnsi="宋体" w:eastAsia="宋体" w:cs="宋体"/>
          <w:szCs w:val="21"/>
        </w:rPr>
        <w:t>乙方如因交付的货物存在质量瑕疵等，或者乙方存在其他违约情形，依法应承担违约金或赔偿责任时，按实际损失赔偿，并通知乙方。</w:t>
      </w:r>
    </w:p>
    <w:p w14:paraId="13AE5C59">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九、货物包装及附件</w:t>
      </w:r>
    </w:p>
    <w:p w14:paraId="23198D6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1、乙方应在货物发运前对其进行符合安全、卫生、效率要求的包装。</w:t>
      </w:r>
    </w:p>
    <w:p w14:paraId="2652CF2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2、使用说明书、质量检验证书、保修卡、随配附件和工具及其清单，应当附于货物包装内。</w:t>
      </w:r>
    </w:p>
    <w:p w14:paraId="51E12AF6">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十、货款的支付</w:t>
      </w:r>
    </w:p>
    <w:p w14:paraId="4639F08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1、乙方提交银行、保险公司等金融机构出具的预付款保函（保函金额与预付款等额，保函有效期在验收合格日之后）；</w:t>
      </w:r>
    </w:p>
    <w:p w14:paraId="37CCC6EE">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2、合同生效并具备实施条件后7个工作日内，甲方向乙方支付合同总价</w:t>
      </w:r>
      <w:r>
        <w:rPr>
          <w:rFonts w:hint="eastAsia" w:ascii="宋体" w:hAnsi="宋体" w:eastAsia="宋体" w:cs="宋体"/>
          <w:szCs w:val="21"/>
          <w:u w:val="single"/>
        </w:rPr>
        <w:t xml:space="preserve">     </w:t>
      </w:r>
      <w:r>
        <w:rPr>
          <w:rFonts w:hint="eastAsia" w:ascii="宋体" w:hAnsi="宋体" w:eastAsia="宋体" w:cs="宋体"/>
          <w:bCs/>
          <w:szCs w:val="21"/>
        </w:rPr>
        <w:t>%</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eastAsia="宋体" w:cs="宋体"/>
          <w:bCs/>
          <w:szCs w:val="21"/>
        </w:rPr>
        <w:t>的预付款。验收合格后，乙方凭验收合格证明材料、发票、履约保证金凭证（如有）到甲方结算，甲方在7个工作日内向乙方支付合同剩余款项。</w:t>
      </w:r>
    </w:p>
    <w:p w14:paraId="45F85D2C">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在签订合同前，乙方主动要求降低预付款比例的，按实际比例计。乙方明确表示无需预付款的，采用下述付款方式：验收合格后，乙方凭验收合格证明材料、发票、履约保证金凭证（如有）到甲方结算，甲方在7个工作日内向乙方支付合同总价的100%货款。</w:t>
      </w:r>
    </w:p>
    <w:p w14:paraId="641B2A1D">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十一、违约责任</w:t>
      </w:r>
    </w:p>
    <w:p w14:paraId="012B7F2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1、甲方迟延办理付款手续的，自迟延之日起，应每日向乙方计付迟延部分货款万分之五的违约金。</w:t>
      </w:r>
    </w:p>
    <w:p w14:paraId="7CBA45E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甲方迟延验收货物的，亦同。因此造成乙方其他损害时，甲方应当承担赔偿责任。</w:t>
      </w:r>
    </w:p>
    <w:p w14:paraId="11195C8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2、乙方迟延履行交货义务的，自迟延之日起，应每日向甲方计付迟延部分货款千分之一的违约金。</w:t>
      </w:r>
    </w:p>
    <w:p w14:paraId="14FEAA4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迟延交货期间超过30日的，甲方有权解除合同，并请求乙方支付合同总价百分之五的违约金。该违约金不足以补偿因乙方的迟延造成的甲方损失的，甲方有权请求增加违约金数额。</w:t>
      </w:r>
    </w:p>
    <w:p w14:paraId="08D7A22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3、乙方因交付的货物质量有瑕疵，或安装调试中出现质量不符合约定的情形的，应当采取更换、重作等补救方法。因此而造成迟延的，应当按照前项规定承担违约责任。</w:t>
      </w:r>
    </w:p>
    <w:p w14:paraId="5374F17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4、乙方不履行售后服务义务的，甲方有权部分或全部解除合同，乙方应当返还已收取的价款，并支付退货部分货款百分之五的违约金。</w:t>
      </w:r>
    </w:p>
    <w:p w14:paraId="48600B4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5、除本条规定的违约责任外，法律、法规、政府规章规定违约一方应当承担其他法律责任的，从其规定。</w:t>
      </w:r>
    </w:p>
    <w:p w14:paraId="279E0467">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十二、不可抗力</w:t>
      </w:r>
    </w:p>
    <w:p w14:paraId="741BBA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1、因不可抗力导致合同无法完全履行的，不承担违约责任。</w:t>
      </w:r>
    </w:p>
    <w:p w14:paraId="66C283F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2、因不可抗力致使合同的履行成为不可能或不必要的，可以通知对方解除合同。因通知迟延造成对方不必要损失的，应当承担责任。</w:t>
      </w:r>
    </w:p>
    <w:p w14:paraId="4F4CEA4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3、因不可抗力解除合同的，双方应依据公平合理原则，通过友好协商，确定损失的分担。</w:t>
      </w:r>
    </w:p>
    <w:p w14:paraId="54C3857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十三、争议的解决</w:t>
      </w:r>
    </w:p>
    <w:p w14:paraId="6BE34B57">
      <w:pPr>
        <w:spacing w:line="360" w:lineRule="auto"/>
        <w:ind w:firstLine="420" w:firstLineChars="200"/>
        <w:rPr>
          <w:rFonts w:hint="eastAsia" w:ascii="宋体" w:hAnsi="宋体" w:eastAsia="宋体" w:cs="宋体"/>
          <w:bCs/>
          <w:szCs w:val="21"/>
          <w:lang w:val="zh-TW" w:eastAsia="zh-TW"/>
        </w:rPr>
      </w:pPr>
      <w:r>
        <w:rPr>
          <w:rFonts w:hint="eastAsia" w:ascii="宋体" w:hAnsi="宋体" w:eastAsia="宋体" w:cs="宋体"/>
          <w:bCs/>
          <w:szCs w:val="21"/>
          <w:lang w:val="zh-TW" w:eastAsia="zh-TW"/>
        </w:rPr>
        <w:t>本合同履行过程中若发生服务质量、售后服务等问题时，甲方有权直接向乙方索赔。如双方不能就争议解决协商一致的，任何一方有权向杭州仲裁委员会申请仲裁解决</w:t>
      </w:r>
      <w:r>
        <w:rPr>
          <w:rFonts w:hint="eastAsia" w:ascii="宋体" w:hAnsi="宋体" w:eastAsia="宋体" w:cs="宋体"/>
          <w:bCs/>
          <w:szCs w:val="21"/>
          <w:lang w:val="zh-TW"/>
        </w:rPr>
        <w:t>，仲裁为终局</w:t>
      </w:r>
      <w:r>
        <w:rPr>
          <w:rFonts w:hint="eastAsia" w:ascii="宋体" w:hAnsi="宋体" w:eastAsia="宋体" w:cs="宋体"/>
          <w:bCs/>
          <w:szCs w:val="21"/>
          <w:lang w:val="zh-TW" w:eastAsia="zh-TW"/>
        </w:rPr>
        <w:t>。</w:t>
      </w:r>
    </w:p>
    <w:p w14:paraId="09CE3C26">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十四、合同组成部分和生效要件</w:t>
      </w:r>
    </w:p>
    <w:p w14:paraId="47E634E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1、合同经甲乙双方及鉴证方签字盖章后生效。</w:t>
      </w:r>
    </w:p>
    <w:p w14:paraId="6587629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2、招标文件、投标文件、承诺书作为本合同的组成部分</w:t>
      </w:r>
      <w:r>
        <w:rPr>
          <w:rFonts w:hint="eastAsia" w:ascii="宋体" w:hAnsi="宋体" w:eastAsia="宋体" w:cs="宋体"/>
          <w:snapToGrid w:val="0"/>
          <w:kern w:val="0"/>
          <w:szCs w:val="21"/>
        </w:rPr>
        <w:t>，与本合同</w:t>
      </w:r>
      <w:r>
        <w:rPr>
          <w:rFonts w:hint="eastAsia" w:ascii="宋体" w:hAnsi="宋体" w:eastAsia="宋体" w:cs="宋体"/>
          <w:szCs w:val="21"/>
        </w:rPr>
        <w:t>具有同等法律效力。</w:t>
      </w:r>
    </w:p>
    <w:p w14:paraId="15DF412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3、本合同未尽事宜，遵照《中华人民共和国民法典》有关条文执行。</w:t>
      </w:r>
    </w:p>
    <w:p w14:paraId="30D37BB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4、本合同一式六份，甲方执三份，乙方执二份，鉴证方执一份。</w:t>
      </w:r>
    </w:p>
    <w:p w14:paraId="3C3EE431">
      <w:pPr>
        <w:spacing w:line="360" w:lineRule="auto"/>
        <w:ind w:firstLine="480" w:firstLineChars="200"/>
        <w:rPr>
          <w:rFonts w:ascii="Times New Roman" w:hAnsi="Times New Roman" w:eastAsia="宋体" w:cs="Times New Roman"/>
          <w:sz w:val="24"/>
          <w:szCs w:val="20"/>
        </w:rPr>
      </w:pPr>
    </w:p>
    <w:tbl>
      <w:tblPr>
        <w:tblStyle w:val="1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10"/>
        <w:gridCol w:w="4286"/>
      </w:tblGrid>
      <w:tr w14:paraId="07F7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4010" w:type="dxa"/>
            <w:vAlign w:val="center"/>
          </w:tcPr>
          <w:p w14:paraId="53C5002B">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甲方（签章）：浙江工商大学</w:t>
            </w:r>
          </w:p>
        </w:tc>
        <w:tc>
          <w:tcPr>
            <w:tcW w:w="4286" w:type="dxa"/>
            <w:vAlign w:val="center"/>
          </w:tcPr>
          <w:p w14:paraId="47A45FB1">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乙方（签章）：</w:t>
            </w:r>
            <w:r>
              <w:rPr>
                <w:rFonts w:ascii="Times New Roman" w:hAnsi="Times New Roman" w:eastAsia="宋体" w:cs="Times New Roman"/>
                <w:bCs/>
                <w:szCs w:val="21"/>
                <w:lang w:eastAsia="zh-TW"/>
              </w:rPr>
              <w:t xml:space="preserve"> </w:t>
            </w:r>
          </w:p>
        </w:tc>
      </w:tr>
      <w:tr w14:paraId="6F35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4AD7990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住所地：杭州市钱塘区学正街18号</w:t>
            </w:r>
          </w:p>
        </w:tc>
        <w:tc>
          <w:tcPr>
            <w:tcW w:w="4286" w:type="dxa"/>
            <w:vAlign w:val="center"/>
          </w:tcPr>
          <w:p w14:paraId="4C157BA7">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住所地：</w:t>
            </w:r>
            <w:r>
              <w:rPr>
                <w:rFonts w:ascii="Times New Roman" w:hAnsi="Times New Roman" w:eastAsia="宋体" w:cs="Times New Roman"/>
                <w:bCs/>
                <w:szCs w:val="21"/>
                <w:lang w:eastAsia="zh-TW"/>
              </w:rPr>
              <w:t xml:space="preserve"> </w:t>
            </w:r>
          </w:p>
        </w:tc>
      </w:tr>
      <w:tr w14:paraId="393C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73EF09FC">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开户行：工行杭州高新支行</w:t>
            </w:r>
          </w:p>
        </w:tc>
        <w:tc>
          <w:tcPr>
            <w:tcW w:w="4286" w:type="dxa"/>
            <w:vAlign w:val="center"/>
          </w:tcPr>
          <w:p w14:paraId="345EF079">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开户行：</w:t>
            </w:r>
          </w:p>
        </w:tc>
      </w:tr>
      <w:tr w14:paraId="362B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540D06EB">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开户帐号：1202026209008930682</w:t>
            </w:r>
          </w:p>
        </w:tc>
        <w:tc>
          <w:tcPr>
            <w:tcW w:w="4286" w:type="dxa"/>
            <w:vAlign w:val="center"/>
          </w:tcPr>
          <w:p w14:paraId="12CF4F8C">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开户帐号：</w:t>
            </w:r>
          </w:p>
        </w:tc>
      </w:tr>
      <w:tr w14:paraId="14AD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3B78387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税号：123300004700090180</w:t>
            </w:r>
          </w:p>
        </w:tc>
        <w:tc>
          <w:tcPr>
            <w:tcW w:w="4286" w:type="dxa"/>
            <w:vAlign w:val="center"/>
          </w:tcPr>
          <w:p w14:paraId="0E19F3DC">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统一社会信用代码：</w:t>
            </w:r>
          </w:p>
        </w:tc>
      </w:tr>
      <w:tr w14:paraId="19D6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010" w:type="dxa"/>
            <w:vAlign w:val="center"/>
          </w:tcPr>
          <w:p w14:paraId="4D6E1B9A">
            <w:pPr>
              <w:tabs>
                <w:tab w:val="left" w:pos="1200"/>
              </w:tabs>
              <w:ind w:right="181"/>
              <w:rPr>
                <w:rFonts w:ascii="Times New Roman" w:hAnsi="Times New Roman" w:eastAsia="宋体" w:cs="Times New Roman"/>
                <w:bCs/>
                <w:szCs w:val="21"/>
              </w:rPr>
            </w:pPr>
            <w:r>
              <w:rPr>
                <w:rFonts w:ascii="Times New Roman" w:hAnsi="Times New Roman" w:eastAsia="宋体" w:cs="Times New Roman"/>
                <w:bCs/>
                <w:szCs w:val="21"/>
              </w:rPr>
              <w:t>法定（授权）代表人</w:t>
            </w:r>
          </w:p>
          <w:p w14:paraId="1425B632">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（签章）：</w:t>
            </w:r>
          </w:p>
        </w:tc>
        <w:tc>
          <w:tcPr>
            <w:tcW w:w="4286" w:type="dxa"/>
            <w:vAlign w:val="center"/>
          </w:tcPr>
          <w:p w14:paraId="05CB4813">
            <w:pPr>
              <w:tabs>
                <w:tab w:val="left" w:pos="1200"/>
              </w:tabs>
              <w:ind w:right="181"/>
              <w:rPr>
                <w:rFonts w:ascii="Times New Roman" w:hAnsi="Times New Roman" w:eastAsia="宋体" w:cs="Times New Roman"/>
                <w:bCs/>
                <w:szCs w:val="21"/>
              </w:rPr>
            </w:pPr>
            <w:r>
              <w:rPr>
                <w:rFonts w:ascii="Times New Roman" w:hAnsi="Times New Roman" w:eastAsia="宋体" w:cs="Times New Roman"/>
                <w:bCs/>
                <w:szCs w:val="21"/>
              </w:rPr>
              <w:t>法定（授权）代表人</w:t>
            </w:r>
          </w:p>
          <w:p w14:paraId="6298C54F">
            <w:pPr>
              <w:tabs>
                <w:tab w:val="left" w:pos="1200"/>
              </w:tabs>
              <w:ind w:right="181"/>
              <w:rPr>
                <w:rFonts w:ascii="Times New Roman" w:hAnsi="Times New Roman" w:eastAsia="宋体" w:cs="Times New Roman"/>
                <w:bCs/>
                <w:szCs w:val="21"/>
              </w:rPr>
            </w:pPr>
            <w:r>
              <w:rPr>
                <w:rFonts w:ascii="Times New Roman" w:hAnsi="Times New Roman" w:eastAsia="宋体" w:cs="Times New Roman"/>
                <w:bCs/>
                <w:szCs w:val="21"/>
              </w:rPr>
              <w:t xml:space="preserve">（签章）： </w:t>
            </w:r>
          </w:p>
        </w:tc>
      </w:tr>
      <w:tr w14:paraId="3E30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0" w:type="dxa"/>
            <w:vAlign w:val="center"/>
          </w:tcPr>
          <w:p w14:paraId="506E4553">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签署日期：      年    月    日</w:t>
            </w:r>
          </w:p>
        </w:tc>
        <w:tc>
          <w:tcPr>
            <w:tcW w:w="4286" w:type="dxa"/>
            <w:vAlign w:val="center"/>
          </w:tcPr>
          <w:p w14:paraId="31665752">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签署日期：      年    月    日</w:t>
            </w:r>
          </w:p>
        </w:tc>
      </w:tr>
      <w:tr w14:paraId="0A02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6E673FA9">
            <w:pPr>
              <w:tabs>
                <w:tab w:val="left" w:pos="1200"/>
              </w:tabs>
              <w:ind w:right="181"/>
              <w:rPr>
                <w:rFonts w:ascii="Times New Roman" w:hAnsi="Times New Roman" w:eastAsia="宋体" w:cs="Times New Roman"/>
                <w:bCs/>
                <w:szCs w:val="21"/>
                <w:lang w:eastAsia="zh-TW"/>
              </w:rPr>
            </w:pPr>
          </w:p>
        </w:tc>
      </w:tr>
      <w:tr w14:paraId="3F04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296" w:type="dxa"/>
            <w:gridSpan w:val="2"/>
            <w:vAlign w:val="center"/>
          </w:tcPr>
          <w:p w14:paraId="0D77911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 xml:space="preserve">鉴证方（签章）： </w:t>
            </w:r>
          </w:p>
        </w:tc>
      </w:tr>
      <w:tr w14:paraId="4FB6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3603ED6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 xml:space="preserve">住所地： </w:t>
            </w:r>
          </w:p>
        </w:tc>
      </w:tr>
      <w:tr w14:paraId="5B0E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296" w:type="dxa"/>
            <w:gridSpan w:val="2"/>
            <w:vAlign w:val="center"/>
          </w:tcPr>
          <w:p w14:paraId="1D572972">
            <w:pPr>
              <w:tabs>
                <w:tab w:val="left" w:pos="1200"/>
              </w:tabs>
              <w:ind w:right="181"/>
              <w:rPr>
                <w:rFonts w:ascii="Times New Roman" w:hAnsi="Times New Roman" w:eastAsia="宋体" w:cs="Times New Roman"/>
                <w:bCs/>
                <w:szCs w:val="21"/>
              </w:rPr>
            </w:pPr>
            <w:r>
              <w:rPr>
                <w:rFonts w:ascii="Times New Roman" w:hAnsi="Times New Roman" w:eastAsia="宋体" w:cs="Times New Roman"/>
                <w:bCs/>
                <w:szCs w:val="21"/>
              </w:rPr>
              <w:t>法定（授权）代表人</w:t>
            </w:r>
          </w:p>
          <w:p w14:paraId="33DDB25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（签章）：</w:t>
            </w:r>
          </w:p>
        </w:tc>
      </w:tr>
      <w:tr w14:paraId="4EDE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5399D070">
            <w:pPr>
              <w:tabs>
                <w:tab w:val="left" w:pos="1200"/>
              </w:tabs>
              <w:ind w:right="181"/>
              <w:rPr>
                <w:rFonts w:ascii="Times New Roman" w:hAnsi="Times New Roman" w:eastAsia="宋体" w:cs="Times New Roman"/>
                <w:bCs/>
                <w:szCs w:val="21"/>
                <w:lang w:eastAsia="zh-TW"/>
              </w:rPr>
            </w:pPr>
            <w:r>
              <w:rPr>
                <w:rFonts w:ascii="Times New Roman" w:hAnsi="Times New Roman" w:eastAsia="宋体" w:cs="Times New Roman"/>
                <w:bCs/>
                <w:szCs w:val="21"/>
              </w:rPr>
              <w:t>鉴证日期：      年   月    日</w:t>
            </w:r>
          </w:p>
        </w:tc>
      </w:tr>
    </w:tbl>
    <w:p w14:paraId="3ED7A49C">
      <w:pPr>
        <w:spacing w:after="160" w:line="278" w:lineRule="auto"/>
        <w:jc w:val="left"/>
        <w:rPr>
          <w:rFonts w:hint="eastAsia" w:ascii="等线" w:hAnsi="等线" w:eastAsia="等线" w:cs="Times New Roman"/>
          <w:sz w:val="22"/>
          <w:szCs w:val="24"/>
          <w14:ligatures w14:val="standardContextual"/>
        </w:rPr>
      </w:pPr>
    </w:p>
    <w:p w14:paraId="71D2CC8F">
      <w:pPr>
        <w:adjustRightInd w:val="0"/>
        <w:snapToGrid w:val="0"/>
        <w:spacing w:line="288" w:lineRule="auto"/>
        <w:ind w:firstLine="420" w:firstLineChars="200"/>
        <w:jc w:val="center"/>
        <w:rPr>
          <w:rFonts w:hint="eastAsia" w:ascii="宋体" w:hAnsi="宋体" w:eastAsia="宋体" w:cs="Times New Roman"/>
          <w:b/>
          <w:sz w:val="32"/>
          <w:szCs w:val="32"/>
        </w:rPr>
      </w:pPr>
      <w:r>
        <w:rPr>
          <w:rFonts w:ascii="宋体" w:hAnsi="宋体" w:eastAsia="宋体" w:cs="宋体"/>
          <w:szCs w:val="21"/>
          <w:lang w:val="zh-CN"/>
        </w:rPr>
        <w:br w:type="page"/>
      </w:r>
    </w:p>
    <w:p w14:paraId="3EFE8CA0">
      <w:pPr>
        <w:adjustRightInd w:val="0"/>
        <w:snapToGrid w:val="0"/>
        <w:spacing w:line="288" w:lineRule="auto"/>
        <w:jc w:val="center"/>
        <w:outlineLvl w:val="0"/>
        <w:rPr>
          <w:rFonts w:hint="eastAsia" w:ascii="宋体" w:hAnsi="宋体" w:eastAsia="宋体" w:cs="Times New Roman"/>
          <w:sz w:val="28"/>
          <w:szCs w:val="24"/>
        </w:rPr>
      </w:pPr>
      <w:r>
        <w:rPr>
          <w:rFonts w:ascii="宋体" w:hAnsi="宋体" w:eastAsia="宋体" w:cs="Times New Roman"/>
          <w:b/>
          <w:sz w:val="32"/>
          <w:szCs w:val="32"/>
        </w:rPr>
        <w:t>第六章</w:t>
      </w:r>
      <w:r>
        <w:rPr>
          <w:rFonts w:hint="eastAsia" w:ascii="宋体" w:hAnsi="宋体" w:eastAsia="宋体" w:cs="Times New Roman"/>
          <w:b/>
          <w:sz w:val="32"/>
          <w:szCs w:val="32"/>
        </w:rPr>
        <w:t xml:space="preserve">  </w:t>
      </w:r>
      <w:r>
        <w:rPr>
          <w:rFonts w:ascii="宋体" w:hAnsi="宋体" w:eastAsia="宋体" w:cs="Times New Roman"/>
          <w:b/>
          <w:sz w:val="32"/>
          <w:szCs w:val="32"/>
        </w:rPr>
        <w:t>投标文件格式</w:t>
      </w:r>
    </w:p>
    <w:p w14:paraId="4665A792">
      <w:pPr>
        <w:adjustRightInd w:val="0"/>
        <w:snapToGrid w:val="0"/>
        <w:spacing w:line="288" w:lineRule="auto"/>
        <w:rPr>
          <w:rFonts w:hint="eastAsia" w:ascii="宋体" w:hAnsi="宋体" w:eastAsia="宋体" w:cs="Times New Roman"/>
          <w:b/>
          <w:bCs/>
          <w:spacing w:val="-6"/>
          <w:sz w:val="24"/>
          <w:szCs w:val="24"/>
        </w:rPr>
      </w:pPr>
    </w:p>
    <w:p w14:paraId="44DA76E3">
      <w:pPr>
        <w:adjustRightInd w:val="0"/>
        <w:snapToGrid w:val="0"/>
        <w:spacing w:line="288" w:lineRule="auto"/>
        <w:jc w:val="center"/>
        <w:rPr>
          <w:rFonts w:hint="eastAsia" w:ascii="宋体" w:hAnsi="宋体" w:eastAsia="宋体" w:cs="Times New Roman"/>
          <w:b/>
          <w:bCs/>
          <w:spacing w:val="-6"/>
          <w:sz w:val="24"/>
          <w:szCs w:val="24"/>
        </w:rPr>
      </w:pPr>
      <w:r>
        <w:rPr>
          <w:rFonts w:hint="eastAsia" w:ascii="宋体" w:hAnsi="宋体" w:eastAsia="宋体" w:cs="Times New Roman"/>
          <w:b/>
          <w:bCs/>
          <w:spacing w:val="-6"/>
          <w:sz w:val="24"/>
          <w:szCs w:val="24"/>
        </w:rPr>
        <w:t xml:space="preserve">目 </w:t>
      </w:r>
      <w:r>
        <w:rPr>
          <w:rFonts w:ascii="宋体" w:hAnsi="宋体" w:eastAsia="宋体" w:cs="Times New Roman"/>
          <w:b/>
          <w:bCs/>
          <w:spacing w:val="-6"/>
          <w:sz w:val="24"/>
          <w:szCs w:val="24"/>
        </w:rPr>
        <w:t xml:space="preserve"> </w:t>
      </w:r>
      <w:r>
        <w:rPr>
          <w:rFonts w:hint="eastAsia" w:ascii="宋体" w:hAnsi="宋体" w:eastAsia="宋体" w:cs="Times New Roman"/>
          <w:b/>
          <w:bCs/>
          <w:spacing w:val="-6"/>
          <w:sz w:val="24"/>
          <w:szCs w:val="24"/>
        </w:rPr>
        <w:t>录</w:t>
      </w:r>
    </w:p>
    <w:p w14:paraId="0C0FBD0F">
      <w:pPr>
        <w:adjustRightInd w:val="0"/>
        <w:snapToGrid w:val="0"/>
        <w:spacing w:line="288" w:lineRule="auto"/>
        <w:rPr>
          <w:rFonts w:hint="eastAsia" w:ascii="宋体" w:hAnsi="宋体" w:eastAsia="宋体" w:cs="Times New Roman"/>
          <w:b/>
          <w:bCs/>
          <w:spacing w:val="-6"/>
          <w:sz w:val="24"/>
          <w:szCs w:val="24"/>
        </w:rPr>
      </w:pPr>
    </w:p>
    <w:p w14:paraId="52D48CB7">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hint="eastAsia" w:ascii="宋体" w:hAnsi="宋体" w:eastAsia="宋体" w:cs="Times New Roman"/>
          <w:b/>
          <w:bCs/>
          <w:spacing w:val="-6"/>
          <w:szCs w:val="21"/>
        </w:rPr>
        <w:t>▲</w:t>
      </w:r>
      <w:r>
        <w:rPr>
          <w:rFonts w:ascii="宋体" w:hAnsi="宋体" w:eastAsia="宋体" w:cs="Times New Roman"/>
          <w:b/>
          <w:bCs/>
          <w:spacing w:val="-6"/>
          <w:szCs w:val="21"/>
        </w:rPr>
        <w:t>1</w:t>
      </w:r>
      <w:r>
        <w:rPr>
          <w:rFonts w:hint="eastAsia" w:ascii="宋体" w:hAnsi="宋体" w:eastAsia="宋体" w:cs="Times New Roman"/>
          <w:b/>
          <w:bCs/>
          <w:spacing w:val="-6"/>
          <w:szCs w:val="21"/>
        </w:rPr>
        <w:t>.资格文件（单独上传）。</w:t>
      </w:r>
      <w:r>
        <w:rPr>
          <w:rFonts w:hint="eastAsia" w:ascii="宋体" w:hAnsi="宋体" w:eastAsia="宋体" w:cs="宋体"/>
          <w:b/>
          <w:bCs/>
          <w:szCs w:val="21"/>
        </w:rPr>
        <w:t>资格审查要求的资格证明材料（均需加盖公章）</w:t>
      </w:r>
    </w:p>
    <w:p w14:paraId="3F271F06">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（1）有效的法人或者其他组织的营业执照等证明文件，自然人的身份证明</w:t>
      </w:r>
    </w:p>
    <w:p w14:paraId="5ADDFB26">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2）符合参加政府采购活动应当具备的一般条件的承诺函</w:t>
      </w:r>
    </w:p>
    <w:p w14:paraId="10F8D612">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3）落实政府采购政策需满足的资格要求：无</w:t>
      </w:r>
    </w:p>
    <w:p w14:paraId="35392E48">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4）</w:t>
      </w:r>
      <w:r>
        <w:rPr>
          <w:rFonts w:hint="eastAsia" w:ascii="宋体" w:hAnsi="宋体" w:eastAsia="宋体" w:cs="宋体"/>
          <w:bCs/>
          <w:spacing w:val="-6"/>
          <w:szCs w:val="21"/>
        </w:rPr>
        <w:t>本项目的特定资格要求证明材料：无</w:t>
      </w:r>
    </w:p>
    <w:p w14:paraId="6DB14D68">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（5）</w:t>
      </w:r>
      <w:r>
        <w:rPr>
          <w:rFonts w:hint="eastAsia" w:ascii="宋体" w:hAnsi="宋体" w:eastAsia="宋体" w:cs="宋体"/>
          <w:bCs/>
          <w:spacing w:val="-6"/>
          <w:szCs w:val="21"/>
          <w:lang w:val="zh-CN"/>
        </w:rPr>
        <w:t>联合协议</w:t>
      </w:r>
      <w:r>
        <w:rPr>
          <w:rFonts w:hint="eastAsia" w:ascii="宋体" w:hAnsi="宋体" w:eastAsia="宋体" w:cs="宋体"/>
          <w:bCs/>
          <w:spacing w:val="-6"/>
          <w:szCs w:val="21"/>
        </w:rPr>
        <w:t>（以联合体形式投标的，提供联合协议；本项目不接受联合体投标或者投标人不以联合体形式投标的，则不需要提供）</w:t>
      </w:r>
    </w:p>
    <w:p w14:paraId="45F37309">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▲联合体投标的，联合体各方均应提供资格文件（</w:t>
      </w:r>
      <w:r>
        <w:rPr>
          <w:rFonts w:ascii="宋体" w:hAnsi="宋体" w:eastAsia="宋体" w:cs="宋体"/>
          <w:bCs/>
          <w:spacing w:val="-6"/>
          <w:szCs w:val="21"/>
        </w:rPr>
        <w:t>1）</w:t>
      </w:r>
      <w:r>
        <w:rPr>
          <w:rFonts w:hint="eastAsia" w:ascii="宋体" w:hAnsi="宋体" w:eastAsia="宋体" w:cs="宋体"/>
          <w:bCs/>
          <w:spacing w:val="-6"/>
          <w:szCs w:val="21"/>
        </w:rPr>
        <w:t>、</w:t>
      </w:r>
      <w:r>
        <w:rPr>
          <w:rFonts w:ascii="宋体" w:hAnsi="宋体" w:eastAsia="宋体" w:cs="宋体"/>
          <w:bCs/>
          <w:spacing w:val="-6"/>
          <w:szCs w:val="21"/>
        </w:rPr>
        <w:t>（2）</w:t>
      </w:r>
      <w:r>
        <w:rPr>
          <w:rFonts w:hint="eastAsia" w:ascii="宋体" w:hAnsi="宋体" w:eastAsia="宋体" w:cs="宋体"/>
          <w:bCs/>
          <w:spacing w:val="-6"/>
          <w:szCs w:val="21"/>
        </w:rPr>
        <w:t>材料</w:t>
      </w:r>
      <w:r>
        <w:rPr>
          <w:rFonts w:ascii="宋体" w:hAnsi="宋体" w:eastAsia="宋体" w:cs="宋体"/>
          <w:bCs/>
          <w:spacing w:val="-6"/>
          <w:szCs w:val="21"/>
        </w:rPr>
        <w:t>。</w:t>
      </w:r>
    </w:p>
    <w:p w14:paraId="2790FB9C">
      <w:pPr>
        <w:adjustRightInd w:val="0"/>
        <w:snapToGrid w:val="0"/>
        <w:spacing w:line="288" w:lineRule="auto"/>
        <w:jc w:val="left"/>
        <w:rPr>
          <w:rFonts w:hint="eastAsia" w:ascii="宋体" w:hAnsi="宋体" w:eastAsia="宋体" w:cs="宋体"/>
          <w:b/>
          <w:spacing w:val="-6"/>
          <w:szCs w:val="21"/>
        </w:rPr>
      </w:pPr>
    </w:p>
    <w:p w14:paraId="00115343">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ascii="宋体" w:hAnsi="宋体" w:eastAsia="宋体" w:cs="Times New Roman"/>
          <w:b/>
          <w:spacing w:val="-6"/>
          <w:szCs w:val="21"/>
        </w:rPr>
        <w:t>2</w:t>
      </w:r>
      <w:r>
        <w:rPr>
          <w:rFonts w:hint="eastAsia" w:ascii="宋体" w:hAnsi="宋体" w:eastAsia="宋体" w:cs="Times New Roman"/>
          <w:b/>
          <w:spacing w:val="-6"/>
          <w:szCs w:val="21"/>
        </w:rPr>
        <w:t>.商务和</w:t>
      </w:r>
      <w:r>
        <w:rPr>
          <w:rFonts w:hint="eastAsia" w:ascii="宋体" w:hAnsi="宋体" w:eastAsia="宋体" w:cs="Times New Roman"/>
          <w:b/>
          <w:bCs/>
          <w:spacing w:val="-6"/>
          <w:szCs w:val="21"/>
        </w:rPr>
        <w:t>技术文件（单独上传）</w:t>
      </w:r>
    </w:p>
    <w:p w14:paraId="33B3DEAC">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（1）投标函</w:t>
      </w:r>
    </w:p>
    <w:p w14:paraId="16724235">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2）授权委托书</w:t>
      </w:r>
      <w:r>
        <w:rPr>
          <w:rFonts w:hint="eastAsia" w:ascii="宋体" w:hAnsi="宋体" w:eastAsia="宋体" w:cs="Times New Roman"/>
          <w:spacing w:val="-6"/>
          <w:szCs w:val="21"/>
        </w:rPr>
        <w:t>/法定代表人（单位负责人、自然人本人）身份证明</w:t>
      </w:r>
    </w:p>
    <w:p w14:paraId="3862A493">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附：授权代表社保缴纳证明（</w:t>
      </w:r>
      <w:r>
        <w:rPr>
          <w:rFonts w:hint="eastAsia" w:ascii="宋体" w:hAnsi="宋体" w:eastAsia="宋体" w:cs="Times New Roman"/>
          <w:spacing w:val="-6"/>
          <w:szCs w:val="21"/>
        </w:rPr>
        <w:t>2024年6月（含）</w:t>
      </w:r>
      <w:r>
        <w:rPr>
          <w:rFonts w:ascii="宋体" w:hAnsi="宋体" w:eastAsia="宋体" w:cs="Times New Roman"/>
          <w:spacing w:val="-6"/>
          <w:szCs w:val="21"/>
        </w:rPr>
        <w:t>以后任意一月）</w:t>
      </w:r>
    </w:p>
    <w:p w14:paraId="3B507385">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）投标人同类合同一览表</w:t>
      </w:r>
    </w:p>
    <w:p w14:paraId="186C802C">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4</w:t>
      </w:r>
      <w:r>
        <w:rPr>
          <w:rFonts w:hint="eastAsia" w:ascii="宋体" w:hAnsi="宋体" w:eastAsia="宋体" w:cs="宋体"/>
          <w:spacing w:val="-6"/>
          <w:szCs w:val="21"/>
        </w:rPr>
        <w:t>）采购需求偏离表</w:t>
      </w:r>
    </w:p>
    <w:p w14:paraId="157DDD12">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5</w:t>
      </w:r>
      <w:r>
        <w:rPr>
          <w:rFonts w:hint="eastAsia" w:ascii="宋体" w:hAnsi="宋体" w:eastAsia="宋体" w:cs="宋体"/>
          <w:spacing w:val="-6"/>
          <w:szCs w:val="21"/>
        </w:rPr>
        <w:t>）</w:t>
      </w:r>
      <w:r>
        <w:rPr>
          <w:rFonts w:hint="eastAsia" w:ascii="宋体" w:hAnsi="宋体" w:eastAsia="宋体" w:cs="宋体"/>
          <w:szCs w:val="21"/>
        </w:rPr>
        <w:t>标的配置清单</w:t>
      </w:r>
    </w:p>
    <w:p w14:paraId="1896C126">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6</w:t>
      </w:r>
      <w:r>
        <w:rPr>
          <w:rFonts w:hint="eastAsia" w:ascii="宋体" w:hAnsi="宋体" w:eastAsia="宋体" w:cs="宋体"/>
          <w:spacing w:val="-6"/>
          <w:szCs w:val="21"/>
        </w:rPr>
        <w:t>）技术方案</w:t>
      </w:r>
    </w:p>
    <w:p w14:paraId="6A7C9ED3">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7</w:t>
      </w:r>
      <w:r>
        <w:rPr>
          <w:rFonts w:hint="eastAsia" w:ascii="宋体" w:hAnsi="宋体" w:eastAsia="宋体" w:cs="Times New Roman"/>
          <w:spacing w:val="-6"/>
          <w:szCs w:val="21"/>
        </w:rPr>
        <w:t>）节能、环保产品证明材料</w:t>
      </w:r>
    </w:p>
    <w:p w14:paraId="49E6048E">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）投标人需要说明的其他文件和材料。</w:t>
      </w:r>
    </w:p>
    <w:p w14:paraId="184997C0">
      <w:pPr>
        <w:adjustRightInd w:val="0"/>
        <w:snapToGrid w:val="0"/>
        <w:spacing w:line="288" w:lineRule="auto"/>
        <w:jc w:val="left"/>
        <w:rPr>
          <w:rFonts w:hint="eastAsia" w:ascii="宋体" w:hAnsi="宋体" w:eastAsia="宋体" w:cs="Times New Roman"/>
          <w:b/>
          <w:spacing w:val="-6"/>
          <w:szCs w:val="21"/>
        </w:rPr>
      </w:pPr>
    </w:p>
    <w:p w14:paraId="5A4F6442">
      <w:pPr>
        <w:adjustRightInd w:val="0"/>
        <w:snapToGrid w:val="0"/>
        <w:spacing w:line="288" w:lineRule="auto"/>
        <w:ind w:firstLine="398" w:firstLineChars="200"/>
        <w:jc w:val="left"/>
        <w:rPr>
          <w:rFonts w:hint="eastAsia" w:ascii="宋体" w:hAnsi="宋体" w:eastAsia="宋体" w:cs="Times New Roman"/>
          <w:b/>
          <w:spacing w:val="-6"/>
          <w:szCs w:val="21"/>
        </w:rPr>
      </w:pPr>
      <w:r>
        <w:rPr>
          <w:rFonts w:ascii="宋体" w:hAnsi="宋体" w:eastAsia="宋体" w:cs="Times New Roman"/>
          <w:b/>
          <w:spacing w:val="-6"/>
          <w:szCs w:val="21"/>
        </w:rPr>
        <w:t>3.</w:t>
      </w:r>
      <w:r>
        <w:rPr>
          <w:rFonts w:hint="eastAsia" w:ascii="宋体" w:hAnsi="宋体" w:eastAsia="宋体" w:cs="Times New Roman"/>
          <w:b/>
          <w:spacing w:val="-6"/>
          <w:szCs w:val="21"/>
        </w:rPr>
        <w:t>报价文件</w:t>
      </w:r>
      <w:r>
        <w:rPr>
          <w:rFonts w:hint="eastAsia" w:ascii="宋体" w:hAnsi="宋体" w:eastAsia="宋体" w:cs="Times New Roman"/>
          <w:b/>
          <w:bCs/>
          <w:spacing w:val="-6"/>
          <w:szCs w:val="21"/>
        </w:rPr>
        <w:t>（单独上传）</w:t>
      </w:r>
    </w:p>
    <w:p w14:paraId="32C62B11">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（1）开标一览表</w:t>
      </w:r>
    </w:p>
    <w:p w14:paraId="776F0503">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w:t>
      </w:r>
      <w:r>
        <w:rPr>
          <w:rFonts w:hint="eastAsia" w:ascii="宋体" w:hAnsi="宋体" w:eastAsia="宋体" w:cs="Times New Roman"/>
          <w:spacing w:val="-6"/>
          <w:szCs w:val="21"/>
        </w:rPr>
        <w:t>）中小企业声明函</w:t>
      </w:r>
      <w:bookmarkStart w:id="60" w:name="_Hlk81815656"/>
      <w:r>
        <w:rPr>
          <w:rFonts w:hint="eastAsia" w:ascii="宋体" w:hAnsi="宋体" w:eastAsia="宋体" w:cs="Times New Roman"/>
          <w:spacing w:val="-6"/>
          <w:szCs w:val="21"/>
        </w:rPr>
        <w:t>（若属于中小企业）</w:t>
      </w:r>
      <w:bookmarkEnd w:id="60"/>
    </w:p>
    <w:p w14:paraId="79203C1F">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）属于监狱企业的证明文件</w:t>
      </w:r>
      <w:bookmarkStart w:id="61" w:name="_Hlk81815359"/>
      <w:r>
        <w:rPr>
          <w:rFonts w:hint="eastAsia" w:ascii="宋体" w:hAnsi="宋体" w:eastAsia="宋体" w:cs="Times New Roman"/>
          <w:spacing w:val="-6"/>
          <w:szCs w:val="21"/>
        </w:rPr>
        <w:t>（若属于监狱企业）</w:t>
      </w:r>
      <w:bookmarkEnd w:id="61"/>
    </w:p>
    <w:p w14:paraId="64AF712A">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4</w:t>
      </w:r>
      <w:r>
        <w:rPr>
          <w:rFonts w:hint="eastAsia" w:ascii="宋体" w:hAnsi="宋体" w:eastAsia="宋体" w:cs="Times New Roman"/>
          <w:spacing w:val="-6"/>
          <w:szCs w:val="21"/>
        </w:rPr>
        <w:t>）</w:t>
      </w:r>
      <w:bookmarkStart w:id="62" w:name="OLE_LINK13"/>
      <w:bookmarkStart w:id="63" w:name="OLE_LINK14"/>
      <w:r>
        <w:rPr>
          <w:rFonts w:hint="eastAsia" w:ascii="宋体" w:hAnsi="宋体" w:eastAsia="宋体" w:cs="Times New Roman"/>
          <w:spacing w:val="-6"/>
          <w:szCs w:val="21"/>
        </w:rPr>
        <w:t>残疾人福利性单位声明函</w:t>
      </w:r>
      <w:bookmarkEnd w:id="62"/>
      <w:bookmarkEnd w:id="63"/>
      <w:bookmarkStart w:id="64" w:name="_Hlk81815372"/>
      <w:r>
        <w:rPr>
          <w:rFonts w:hint="eastAsia" w:ascii="宋体" w:hAnsi="宋体" w:eastAsia="宋体" w:cs="Times New Roman"/>
          <w:spacing w:val="-6"/>
          <w:szCs w:val="21"/>
        </w:rPr>
        <w:t>（若属于残疾人福利性单位）</w:t>
      </w:r>
      <w:bookmarkEnd w:id="64"/>
    </w:p>
    <w:p w14:paraId="3995347F">
      <w:pPr>
        <w:widowControl/>
        <w:adjustRightInd w:val="0"/>
        <w:snapToGrid w:val="0"/>
        <w:spacing w:line="288" w:lineRule="auto"/>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2C0BB69E">
      <w:pPr>
        <w:tabs>
          <w:tab w:val="center" w:pos="4706"/>
        </w:tabs>
        <w:adjustRightInd w:val="0"/>
        <w:snapToGrid w:val="0"/>
        <w:spacing w:line="288" w:lineRule="auto"/>
        <w:jc w:val="center"/>
        <w:outlineLvl w:val="2"/>
        <w:rPr>
          <w:rFonts w:hint="eastAsia" w:ascii="宋体" w:hAnsi="宋体" w:eastAsia="宋体" w:cs="Times New Roman"/>
          <w:b/>
          <w:spacing w:val="-6"/>
          <w:szCs w:val="21"/>
        </w:rPr>
      </w:pPr>
      <w:r>
        <w:rPr>
          <w:rFonts w:hint="eastAsia" w:ascii="宋体" w:hAnsi="宋体" w:eastAsia="宋体" w:cs="Times New Roman"/>
          <w:b/>
          <w:spacing w:val="-6"/>
          <w:szCs w:val="21"/>
        </w:rPr>
        <w:t>评分索引表</w:t>
      </w:r>
    </w:p>
    <w:tbl>
      <w:tblPr>
        <w:tblStyle w:val="23"/>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2803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8699401">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序号</w:t>
            </w:r>
          </w:p>
        </w:tc>
        <w:tc>
          <w:tcPr>
            <w:tcW w:w="2091" w:type="dxa"/>
            <w:vAlign w:val="center"/>
          </w:tcPr>
          <w:p w14:paraId="655FC493">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评审因素</w:t>
            </w:r>
          </w:p>
        </w:tc>
        <w:tc>
          <w:tcPr>
            <w:tcW w:w="709" w:type="dxa"/>
            <w:vAlign w:val="center"/>
          </w:tcPr>
          <w:p w14:paraId="26052FEB">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分值</w:t>
            </w:r>
          </w:p>
        </w:tc>
        <w:tc>
          <w:tcPr>
            <w:tcW w:w="3040" w:type="dxa"/>
            <w:vAlign w:val="center"/>
          </w:tcPr>
          <w:p w14:paraId="300C0F28">
            <w:pPr>
              <w:tabs>
                <w:tab w:val="left" w:pos="1418"/>
              </w:tabs>
              <w:adjustRightInd w:val="0"/>
              <w:snapToGrid w:val="0"/>
              <w:spacing w:line="288" w:lineRule="auto"/>
              <w:ind w:firstLine="398"/>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评分标准</w:t>
            </w:r>
          </w:p>
        </w:tc>
        <w:tc>
          <w:tcPr>
            <w:tcW w:w="967" w:type="dxa"/>
            <w:vAlign w:val="center"/>
          </w:tcPr>
          <w:p w14:paraId="59AE41A1">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自评分</w:t>
            </w:r>
          </w:p>
        </w:tc>
        <w:tc>
          <w:tcPr>
            <w:tcW w:w="1053" w:type="dxa"/>
            <w:vAlign w:val="center"/>
          </w:tcPr>
          <w:p w14:paraId="0D189E00">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自评依据</w:t>
            </w:r>
          </w:p>
        </w:tc>
        <w:tc>
          <w:tcPr>
            <w:tcW w:w="881" w:type="dxa"/>
            <w:vAlign w:val="center"/>
          </w:tcPr>
          <w:p w14:paraId="047217AE">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页码</w:t>
            </w:r>
          </w:p>
        </w:tc>
      </w:tr>
      <w:tr w14:paraId="78B5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1DA5B24A">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商务分</w:t>
            </w:r>
          </w:p>
        </w:tc>
      </w:tr>
      <w:tr w14:paraId="1368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6E70071">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4708DD45">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3A1D8153">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18F71E27">
            <w:pPr>
              <w:adjustRightInd w:val="0"/>
              <w:snapToGrid w:val="0"/>
              <w:spacing w:line="288" w:lineRule="auto"/>
              <w:rPr>
                <w:rFonts w:hint="eastAsia" w:ascii="宋体" w:hAnsi="宋体" w:eastAsia="宋体" w:cs="Times New Roman"/>
                <w:spacing w:val="-6"/>
                <w:szCs w:val="21"/>
              </w:rPr>
            </w:pPr>
          </w:p>
        </w:tc>
        <w:tc>
          <w:tcPr>
            <w:tcW w:w="967" w:type="dxa"/>
            <w:vAlign w:val="center"/>
          </w:tcPr>
          <w:p w14:paraId="5B4C7F34">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20B8E135">
            <w:pPr>
              <w:adjustRightInd w:val="0"/>
              <w:snapToGrid w:val="0"/>
              <w:spacing w:line="288" w:lineRule="auto"/>
              <w:jc w:val="center"/>
              <w:rPr>
                <w:rFonts w:hint="eastAsia" w:ascii="宋体" w:hAnsi="宋体" w:eastAsia="宋体" w:cs="Times New Roman"/>
                <w:spacing w:val="-6"/>
                <w:szCs w:val="21"/>
              </w:rPr>
            </w:pPr>
          </w:p>
        </w:tc>
        <w:tc>
          <w:tcPr>
            <w:tcW w:w="881" w:type="dxa"/>
          </w:tcPr>
          <w:p w14:paraId="6FA476A2">
            <w:pPr>
              <w:adjustRightInd w:val="0"/>
              <w:snapToGrid w:val="0"/>
              <w:spacing w:line="288" w:lineRule="auto"/>
              <w:jc w:val="center"/>
              <w:rPr>
                <w:rFonts w:hint="eastAsia" w:ascii="宋体" w:hAnsi="宋体" w:eastAsia="宋体" w:cs="Times New Roman"/>
                <w:spacing w:val="-6"/>
                <w:szCs w:val="21"/>
              </w:rPr>
            </w:pPr>
          </w:p>
        </w:tc>
      </w:tr>
      <w:tr w14:paraId="4D4D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A4EBF45">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5A0C84B2">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2D4B7735">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4328FE3A">
            <w:pPr>
              <w:adjustRightInd w:val="0"/>
              <w:snapToGrid w:val="0"/>
              <w:spacing w:line="288" w:lineRule="auto"/>
              <w:rPr>
                <w:rFonts w:hint="eastAsia" w:ascii="宋体" w:hAnsi="宋体" w:eastAsia="宋体" w:cs="Times New Roman"/>
                <w:spacing w:val="-6"/>
                <w:szCs w:val="21"/>
              </w:rPr>
            </w:pPr>
          </w:p>
        </w:tc>
        <w:tc>
          <w:tcPr>
            <w:tcW w:w="967" w:type="dxa"/>
            <w:vAlign w:val="center"/>
          </w:tcPr>
          <w:p w14:paraId="16ADC5F9">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23909F33">
            <w:pPr>
              <w:adjustRightInd w:val="0"/>
              <w:snapToGrid w:val="0"/>
              <w:spacing w:line="288" w:lineRule="auto"/>
              <w:jc w:val="center"/>
              <w:rPr>
                <w:rFonts w:hint="eastAsia" w:ascii="宋体" w:hAnsi="宋体" w:eastAsia="宋体" w:cs="Times New Roman"/>
                <w:spacing w:val="-6"/>
                <w:szCs w:val="21"/>
              </w:rPr>
            </w:pPr>
          </w:p>
        </w:tc>
        <w:tc>
          <w:tcPr>
            <w:tcW w:w="881" w:type="dxa"/>
          </w:tcPr>
          <w:p w14:paraId="7E3834C6">
            <w:pPr>
              <w:adjustRightInd w:val="0"/>
              <w:snapToGrid w:val="0"/>
              <w:spacing w:line="288" w:lineRule="auto"/>
              <w:jc w:val="center"/>
              <w:rPr>
                <w:rFonts w:hint="eastAsia" w:ascii="宋体" w:hAnsi="宋体" w:eastAsia="宋体" w:cs="Times New Roman"/>
                <w:spacing w:val="-6"/>
                <w:szCs w:val="21"/>
              </w:rPr>
            </w:pPr>
          </w:p>
        </w:tc>
      </w:tr>
      <w:tr w14:paraId="07D1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52EC833">
            <w:pPr>
              <w:adjustRightInd w:val="0"/>
              <w:snapToGrid w:val="0"/>
              <w:spacing w:line="288" w:lineRule="auto"/>
              <w:jc w:val="center"/>
              <w:rPr>
                <w:rFonts w:hint="eastAsia" w:ascii="宋体" w:hAnsi="宋体" w:eastAsia="宋体" w:cs="Times New Roman"/>
                <w:kern w:val="0"/>
                <w:szCs w:val="21"/>
              </w:rPr>
            </w:pPr>
          </w:p>
        </w:tc>
        <w:tc>
          <w:tcPr>
            <w:tcW w:w="2091" w:type="dxa"/>
            <w:vAlign w:val="center"/>
          </w:tcPr>
          <w:p w14:paraId="5EC3101C">
            <w:pPr>
              <w:adjustRightInd w:val="0"/>
              <w:snapToGrid w:val="0"/>
              <w:spacing w:line="288" w:lineRule="auto"/>
              <w:jc w:val="center"/>
              <w:rPr>
                <w:rFonts w:hint="eastAsia" w:ascii="宋体" w:hAnsi="宋体" w:eastAsia="宋体" w:cs="Times New Roman"/>
                <w:kern w:val="0"/>
                <w:szCs w:val="21"/>
              </w:rPr>
            </w:pPr>
          </w:p>
        </w:tc>
        <w:tc>
          <w:tcPr>
            <w:tcW w:w="709" w:type="dxa"/>
            <w:vAlign w:val="center"/>
          </w:tcPr>
          <w:p w14:paraId="7C4DFC3A">
            <w:pPr>
              <w:adjustRightInd w:val="0"/>
              <w:snapToGrid w:val="0"/>
              <w:spacing w:line="288" w:lineRule="auto"/>
              <w:jc w:val="center"/>
              <w:rPr>
                <w:rFonts w:hint="eastAsia" w:ascii="宋体" w:hAnsi="宋体" w:eastAsia="宋体" w:cs="Times New Roman"/>
                <w:kern w:val="0"/>
                <w:szCs w:val="21"/>
              </w:rPr>
            </w:pPr>
          </w:p>
        </w:tc>
        <w:tc>
          <w:tcPr>
            <w:tcW w:w="3040" w:type="dxa"/>
            <w:vAlign w:val="center"/>
          </w:tcPr>
          <w:p w14:paraId="56D23927">
            <w:pPr>
              <w:adjustRightInd w:val="0"/>
              <w:snapToGrid w:val="0"/>
              <w:spacing w:line="288" w:lineRule="auto"/>
              <w:rPr>
                <w:rFonts w:hint="eastAsia" w:ascii="宋体" w:hAnsi="宋体" w:eastAsia="宋体" w:cs="Times New Roman"/>
                <w:kern w:val="0"/>
                <w:szCs w:val="21"/>
              </w:rPr>
            </w:pPr>
          </w:p>
        </w:tc>
        <w:tc>
          <w:tcPr>
            <w:tcW w:w="967" w:type="dxa"/>
            <w:vAlign w:val="center"/>
          </w:tcPr>
          <w:p w14:paraId="59E75F37">
            <w:pPr>
              <w:adjustRightInd w:val="0"/>
              <w:snapToGrid w:val="0"/>
              <w:spacing w:line="288" w:lineRule="auto"/>
              <w:jc w:val="center"/>
              <w:rPr>
                <w:rFonts w:hint="eastAsia" w:ascii="宋体" w:hAnsi="宋体" w:eastAsia="宋体" w:cs="Times New Roman"/>
                <w:szCs w:val="21"/>
              </w:rPr>
            </w:pPr>
          </w:p>
        </w:tc>
        <w:tc>
          <w:tcPr>
            <w:tcW w:w="1053" w:type="dxa"/>
            <w:vAlign w:val="center"/>
          </w:tcPr>
          <w:p w14:paraId="1C3C96DA">
            <w:pPr>
              <w:adjustRightInd w:val="0"/>
              <w:snapToGrid w:val="0"/>
              <w:spacing w:line="288" w:lineRule="auto"/>
              <w:jc w:val="center"/>
              <w:rPr>
                <w:rFonts w:hint="eastAsia" w:ascii="宋体" w:hAnsi="宋体" w:eastAsia="宋体" w:cs="Times New Roman"/>
                <w:szCs w:val="21"/>
              </w:rPr>
            </w:pPr>
          </w:p>
        </w:tc>
        <w:tc>
          <w:tcPr>
            <w:tcW w:w="881" w:type="dxa"/>
          </w:tcPr>
          <w:p w14:paraId="5B73E2D0">
            <w:pPr>
              <w:adjustRightInd w:val="0"/>
              <w:snapToGrid w:val="0"/>
              <w:spacing w:line="288" w:lineRule="auto"/>
              <w:jc w:val="center"/>
              <w:rPr>
                <w:rFonts w:hint="eastAsia" w:ascii="宋体" w:hAnsi="宋体" w:eastAsia="宋体" w:cs="Times New Roman"/>
                <w:szCs w:val="21"/>
              </w:rPr>
            </w:pPr>
          </w:p>
        </w:tc>
      </w:tr>
      <w:tr w14:paraId="045D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099B6F6">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240C9B97">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12B9A762">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77570A11">
            <w:pPr>
              <w:adjustRightInd w:val="0"/>
              <w:snapToGrid w:val="0"/>
              <w:spacing w:line="288" w:lineRule="auto"/>
              <w:rPr>
                <w:rFonts w:hint="eastAsia" w:ascii="宋体" w:hAnsi="宋体" w:eastAsia="宋体" w:cs="Times New Roman"/>
                <w:spacing w:val="-6"/>
                <w:szCs w:val="21"/>
              </w:rPr>
            </w:pPr>
          </w:p>
        </w:tc>
        <w:tc>
          <w:tcPr>
            <w:tcW w:w="967" w:type="dxa"/>
            <w:vAlign w:val="center"/>
          </w:tcPr>
          <w:p w14:paraId="612A1DDB">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27C83D8A">
            <w:pPr>
              <w:adjustRightInd w:val="0"/>
              <w:snapToGrid w:val="0"/>
              <w:spacing w:line="288" w:lineRule="auto"/>
              <w:jc w:val="center"/>
              <w:rPr>
                <w:rFonts w:hint="eastAsia" w:ascii="宋体" w:hAnsi="宋体" w:eastAsia="宋体" w:cs="Times New Roman"/>
                <w:spacing w:val="-6"/>
                <w:szCs w:val="21"/>
              </w:rPr>
            </w:pPr>
          </w:p>
        </w:tc>
        <w:tc>
          <w:tcPr>
            <w:tcW w:w="881" w:type="dxa"/>
          </w:tcPr>
          <w:p w14:paraId="47EDAEF3">
            <w:pPr>
              <w:adjustRightInd w:val="0"/>
              <w:snapToGrid w:val="0"/>
              <w:spacing w:line="288" w:lineRule="auto"/>
              <w:jc w:val="center"/>
              <w:rPr>
                <w:rFonts w:hint="eastAsia" w:ascii="宋体" w:hAnsi="宋体" w:eastAsia="宋体" w:cs="Times New Roman"/>
                <w:spacing w:val="-6"/>
                <w:szCs w:val="21"/>
              </w:rPr>
            </w:pPr>
          </w:p>
        </w:tc>
      </w:tr>
      <w:tr w14:paraId="6C86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0762A55">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2042C2FE">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3C3F4205">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61D4990C">
            <w:pPr>
              <w:adjustRightInd w:val="0"/>
              <w:snapToGrid w:val="0"/>
              <w:spacing w:line="288" w:lineRule="auto"/>
              <w:rPr>
                <w:rFonts w:hint="eastAsia" w:ascii="宋体" w:hAnsi="宋体" w:eastAsia="宋体" w:cs="Times New Roman"/>
                <w:spacing w:val="-6"/>
                <w:szCs w:val="21"/>
              </w:rPr>
            </w:pPr>
          </w:p>
        </w:tc>
        <w:tc>
          <w:tcPr>
            <w:tcW w:w="967" w:type="dxa"/>
            <w:vAlign w:val="center"/>
          </w:tcPr>
          <w:p w14:paraId="34005C65">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0CE54BE9">
            <w:pPr>
              <w:adjustRightInd w:val="0"/>
              <w:snapToGrid w:val="0"/>
              <w:spacing w:line="288" w:lineRule="auto"/>
              <w:jc w:val="center"/>
              <w:rPr>
                <w:rFonts w:hint="eastAsia" w:ascii="宋体" w:hAnsi="宋体" w:eastAsia="宋体" w:cs="Times New Roman"/>
                <w:spacing w:val="-6"/>
                <w:szCs w:val="21"/>
              </w:rPr>
            </w:pPr>
          </w:p>
        </w:tc>
        <w:tc>
          <w:tcPr>
            <w:tcW w:w="881" w:type="dxa"/>
          </w:tcPr>
          <w:p w14:paraId="539DEC7B">
            <w:pPr>
              <w:adjustRightInd w:val="0"/>
              <w:snapToGrid w:val="0"/>
              <w:spacing w:line="288" w:lineRule="auto"/>
              <w:jc w:val="center"/>
              <w:rPr>
                <w:rFonts w:hint="eastAsia" w:ascii="宋体" w:hAnsi="宋体" w:eastAsia="宋体" w:cs="Times New Roman"/>
                <w:spacing w:val="-6"/>
                <w:szCs w:val="21"/>
              </w:rPr>
            </w:pPr>
          </w:p>
        </w:tc>
      </w:tr>
      <w:tr w14:paraId="71A5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C8AD8CC">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25ABFEED">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525F8477">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3569B62D">
            <w:pPr>
              <w:adjustRightInd w:val="0"/>
              <w:snapToGrid w:val="0"/>
              <w:spacing w:line="288" w:lineRule="auto"/>
              <w:rPr>
                <w:rFonts w:hint="eastAsia" w:ascii="宋体" w:hAnsi="宋体" w:eastAsia="宋体" w:cs="Times New Roman"/>
                <w:spacing w:val="-6"/>
                <w:szCs w:val="21"/>
              </w:rPr>
            </w:pPr>
          </w:p>
        </w:tc>
        <w:tc>
          <w:tcPr>
            <w:tcW w:w="967" w:type="dxa"/>
            <w:vAlign w:val="center"/>
          </w:tcPr>
          <w:p w14:paraId="337EBA3C">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1FBB5A21">
            <w:pPr>
              <w:adjustRightInd w:val="0"/>
              <w:snapToGrid w:val="0"/>
              <w:spacing w:line="288" w:lineRule="auto"/>
              <w:jc w:val="center"/>
              <w:rPr>
                <w:rFonts w:hint="eastAsia" w:ascii="宋体" w:hAnsi="宋体" w:eastAsia="宋体" w:cs="Times New Roman"/>
                <w:spacing w:val="-6"/>
                <w:szCs w:val="21"/>
              </w:rPr>
            </w:pPr>
          </w:p>
        </w:tc>
        <w:tc>
          <w:tcPr>
            <w:tcW w:w="881" w:type="dxa"/>
          </w:tcPr>
          <w:p w14:paraId="717D5EA8">
            <w:pPr>
              <w:adjustRightInd w:val="0"/>
              <w:snapToGrid w:val="0"/>
              <w:spacing w:line="288" w:lineRule="auto"/>
              <w:jc w:val="center"/>
              <w:rPr>
                <w:rFonts w:hint="eastAsia" w:ascii="宋体" w:hAnsi="宋体" w:eastAsia="宋体" w:cs="Times New Roman"/>
                <w:spacing w:val="-6"/>
                <w:szCs w:val="21"/>
              </w:rPr>
            </w:pPr>
          </w:p>
        </w:tc>
      </w:tr>
      <w:tr w14:paraId="61AD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6A01C9F5">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技术</w:t>
            </w:r>
            <w:r>
              <w:rPr>
                <w:rFonts w:ascii="宋体" w:hAnsi="宋体" w:eastAsia="宋体" w:cs="Times New Roman"/>
                <w:b/>
                <w:spacing w:val="-6"/>
                <w:szCs w:val="21"/>
              </w:rPr>
              <w:t>分</w:t>
            </w:r>
          </w:p>
        </w:tc>
      </w:tr>
      <w:tr w14:paraId="4C87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11A0EED">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3FBB737D">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154A50A3">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5F0448F7">
            <w:pPr>
              <w:adjustRightInd w:val="0"/>
              <w:snapToGrid w:val="0"/>
              <w:spacing w:line="288" w:lineRule="auto"/>
              <w:rPr>
                <w:rFonts w:hint="eastAsia" w:ascii="宋体" w:hAnsi="宋体" w:eastAsia="宋体" w:cs="Times New Roman"/>
                <w:spacing w:val="-6"/>
                <w:szCs w:val="21"/>
              </w:rPr>
            </w:pPr>
          </w:p>
        </w:tc>
        <w:tc>
          <w:tcPr>
            <w:tcW w:w="967" w:type="dxa"/>
            <w:vAlign w:val="center"/>
          </w:tcPr>
          <w:p w14:paraId="42701E12">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623E796B">
            <w:pPr>
              <w:adjustRightInd w:val="0"/>
              <w:snapToGrid w:val="0"/>
              <w:spacing w:line="288" w:lineRule="auto"/>
              <w:jc w:val="center"/>
              <w:rPr>
                <w:rFonts w:hint="eastAsia" w:ascii="宋体" w:hAnsi="宋体" w:eastAsia="宋体" w:cs="Times New Roman"/>
                <w:spacing w:val="-6"/>
                <w:szCs w:val="21"/>
              </w:rPr>
            </w:pPr>
          </w:p>
        </w:tc>
        <w:tc>
          <w:tcPr>
            <w:tcW w:w="881" w:type="dxa"/>
          </w:tcPr>
          <w:p w14:paraId="11C4F8C2">
            <w:pPr>
              <w:adjustRightInd w:val="0"/>
              <w:snapToGrid w:val="0"/>
              <w:spacing w:line="288" w:lineRule="auto"/>
              <w:jc w:val="center"/>
              <w:rPr>
                <w:rFonts w:hint="eastAsia" w:ascii="宋体" w:hAnsi="宋体" w:eastAsia="宋体" w:cs="Times New Roman"/>
                <w:spacing w:val="-6"/>
                <w:szCs w:val="21"/>
              </w:rPr>
            </w:pPr>
          </w:p>
        </w:tc>
      </w:tr>
      <w:tr w14:paraId="70D4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2B9B28F">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7903CB92">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21A5A603">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6ADE923C">
            <w:pPr>
              <w:adjustRightInd w:val="0"/>
              <w:snapToGrid w:val="0"/>
              <w:spacing w:line="288" w:lineRule="auto"/>
              <w:rPr>
                <w:rFonts w:hint="eastAsia" w:ascii="宋体" w:hAnsi="宋体" w:eastAsia="宋体" w:cs="Times New Roman"/>
                <w:spacing w:val="-6"/>
                <w:szCs w:val="21"/>
              </w:rPr>
            </w:pPr>
          </w:p>
        </w:tc>
        <w:tc>
          <w:tcPr>
            <w:tcW w:w="967" w:type="dxa"/>
            <w:vAlign w:val="center"/>
          </w:tcPr>
          <w:p w14:paraId="779CFD22">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5CA7EC93">
            <w:pPr>
              <w:adjustRightInd w:val="0"/>
              <w:snapToGrid w:val="0"/>
              <w:spacing w:line="288" w:lineRule="auto"/>
              <w:jc w:val="center"/>
              <w:rPr>
                <w:rFonts w:hint="eastAsia" w:ascii="宋体" w:hAnsi="宋体" w:eastAsia="宋体" w:cs="Times New Roman"/>
                <w:spacing w:val="-6"/>
                <w:szCs w:val="21"/>
              </w:rPr>
            </w:pPr>
          </w:p>
        </w:tc>
        <w:tc>
          <w:tcPr>
            <w:tcW w:w="881" w:type="dxa"/>
          </w:tcPr>
          <w:p w14:paraId="312B9A8C">
            <w:pPr>
              <w:adjustRightInd w:val="0"/>
              <w:snapToGrid w:val="0"/>
              <w:spacing w:line="288" w:lineRule="auto"/>
              <w:jc w:val="center"/>
              <w:rPr>
                <w:rFonts w:hint="eastAsia" w:ascii="宋体" w:hAnsi="宋体" w:eastAsia="宋体" w:cs="Times New Roman"/>
                <w:spacing w:val="-6"/>
                <w:szCs w:val="21"/>
              </w:rPr>
            </w:pPr>
          </w:p>
        </w:tc>
      </w:tr>
      <w:tr w14:paraId="0769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984E47E">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6A3E7696">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795836E6">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483F10A9">
            <w:pPr>
              <w:adjustRightInd w:val="0"/>
              <w:snapToGrid w:val="0"/>
              <w:spacing w:line="288" w:lineRule="auto"/>
              <w:rPr>
                <w:rFonts w:hint="eastAsia" w:ascii="宋体" w:hAnsi="宋体" w:eastAsia="宋体" w:cs="Times New Roman"/>
                <w:spacing w:val="-6"/>
                <w:szCs w:val="21"/>
              </w:rPr>
            </w:pPr>
          </w:p>
        </w:tc>
        <w:tc>
          <w:tcPr>
            <w:tcW w:w="967" w:type="dxa"/>
            <w:vAlign w:val="center"/>
          </w:tcPr>
          <w:p w14:paraId="366F0E05">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5D799B80">
            <w:pPr>
              <w:adjustRightInd w:val="0"/>
              <w:snapToGrid w:val="0"/>
              <w:spacing w:line="288" w:lineRule="auto"/>
              <w:jc w:val="center"/>
              <w:rPr>
                <w:rFonts w:hint="eastAsia" w:ascii="宋体" w:hAnsi="宋体" w:eastAsia="宋体" w:cs="Times New Roman"/>
                <w:spacing w:val="-6"/>
                <w:szCs w:val="21"/>
              </w:rPr>
            </w:pPr>
          </w:p>
        </w:tc>
        <w:tc>
          <w:tcPr>
            <w:tcW w:w="881" w:type="dxa"/>
          </w:tcPr>
          <w:p w14:paraId="1D4F547F">
            <w:pPr>
              <w:adjustRightInd w:val="0"/>
              <w:snapToGrid w:val="0"/>
              <w:spacing w:line="288" w:lineRule="auto"/>
              <w:jc w:val="center"/>
              <w:rPr>
                <w:rFonts w:hint="eastAsia" w:ascii="宋体" w:hAnsi="宋体" w:eastAsia="宋体" w:cs="Times New Roman"/>
                <w:spacing w:val="-6"/>
                <w:szCs w:val="21"/>
              </w:rPr>
            </w:pPr>
          </w:p>
        </w:tc>
      </w:tr>
      <w:tr w14:paraId="5C0E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B10A356">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78570097">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3CBEA5DB">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78ED85EA">
            <w:pPr>
              <w:adjustRightInd w:val="0"/>
              <w:snapToGrid w:val="0"/>
              <w:spacing w:line="288" w:lineRule="auto"/>
              <w:rPr>
                <w:rFonts w:hint="eastAsia" w:ascii="宋体" w:hAnsi="宋体" w:eastAsia="宋体" w:cs="Times New Roman"/>
                <w:spacing w:val="-6"/>
                <w:szCs w:val="21"/>
              </w:rPr>
            </w:pPr>
          </w:p>
        </w:tc>
        <w:tc>
          <w:tcPr>
            <w:tcW w:w="967" w:type="dxa"/>
            <w:vAlign w:val="center"/>
          </w:tcPr>
          <w:p w14:paraId="4B376D86">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28718FEA">
            <w:pPr>
              <w:adjustRightInd w:val="0"/>
              <w:snapToGrid w:val="0"/>
              <w:spacing w:line="288" w:lineRule="auto"/>
              <w:jc w:val="center"/>
              <w:rPr>
                <w:rFonts w:hint="eastAsia" w:ascii="宋体" w:hAnsi="宋体" w:eastAsia="宋体" w:cs="Times New Roman"/>
                <w:spacing w:val="-6"/>
                <w:szCs w:val="21"/>
              </w:rPr>
            </w:pPr>
          </w:p>
        </w:tc>
        <w:tc>
          <w:tcPr>
            <w:tcW w:w="881" w:type="dxa"/>
          </w:tcPr>
          <w:p w14:paraId="27AABC81">
            <w:pPr>
              <w:adjustRightInd w:val="0"/>
              <w:snapToGrid w:val="0"/>
              <w:spacing w:line="288" w:lineRule="auto"/>
              <w:jc w:val="center"/>
              <w:rPr>
                <w:rFonts w:hint="eastAsia" w:ascii="宋体" w:hAnsi="宋体" w:eastAsia="宋体" w:cs="Times New Roman"/>
                <w:spacing w:val="-6"/>
                <w:szCs w:val="21"/>
              </w:rPr>
            </w:pPr>
          </w:p>
        </w:tc>
      </w:tr>
      <w:tr w14:paraId="6746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246DFE9">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6408AE9B">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3C1F5CA8">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1A326589">
            <w:pPr>
              <w:adjustRightInd w:val="0"/>
              <w:snapToGrid w:val="0"/>
              <w:spacing w:line="288" w:lineRule="auto"/>
              <w:rPr>
                <w:rFonts w:hint="eastAsia" w:ascii="宋体" w:hAnsi="宋体" w:eastAsia="宋体" w:cs="Times New Roman"/>
                <w:spacing w:val="-6"/>
                <w:szCs w:val="21"/>
              </w:rPr>
            </w:pPr>
          </w:p>
        </w:tc>
        <w:tc>
          <w:tcPr>
            <w:tcW w:w="967" w:type="dxa"/>
            <w:vAlign w:val="center"/>
          </w:tcPr>
          <w:p w14:paraId="1A6DFDB5">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08AAC06E">
            <w:pPr>
              <w:adjustRightInd w:val="0"/>
              <w:snapToGrid w:val="0"/>
              <w:spacing w:line="288" w:lineRule="auto"/>
              <w:jc w:val="center"/>
              <w:rPr>
                <w:rFonts w:hint="eastAsia" w:ascii="宋体" w:hAnsi="宋体" w:eastAsia="宋体" w:cs="Times New Roman"/>
                <w:spacing w:val="-6"/>
                <w:szCs w:val="21"/>
              </w:rPr>
            </w:pPr>
          </w:p>
        </w:tc>
        <w:tc>
          <w:tcPr>
            <w:tcW w:w="881" w:type="dxa"/>
          </w:tcPr>
          <w:p w14:paraId="19A4EDDE">
            <w:pPr>
              <w:adjustRightInd w:val="0"/>
              <w:snapToGrid w:val="0"/>
              <w:spacing w:line="288" w:lineRule="auto"/>
              <w:jc w:val="center"/>
              <w:rPr>
                <w:rFonts w:hint="eastAsia" w:ascii="宋体" w:hAnsi="宋体" w:eastAsia="宋体" w:cs="Times New Roman"/>
                <w:spacing w:val="-6"/>
                <w:szCs w:val="21"/>
              </w:rPr>
            </w:pPr>
          </w:p>
        </w:tc>
      </w:tr>
    </w:tbl>
    <w:p w14:paraId="05E38C1C">
      <w:pPr>
        <w:adjustRightInd w:val="0"/>
        <w:snapToGrid w:val="0"/>
        <w:spacing w:line="288" w:lineRule="auto"/>
        <w:rPr>
          <w:rFonts w:hint="eastAsia" w:ascii="宋体" w:hAnsi="宋体" w:eastAsia="宋体" w:cs="Times New Roman"/>
          <w:spacing w:val="-6"/>
          <w:szCs w:val="21"/>
        </w:rPr>
      </w:pPr>
    </w:p>
    <w:p w14:paraId="0582D489">
      <w:pPr>
        <w:widowControl/>
        <w:jc w:val="left"/>
        <w:rPr>
          <w:rFonts w:hint="eastAsia" w:ascii="宋体" w:hAnsi="宋体" w:eastAsia="宋体" w:cs="Times New Roman"/>
          <w:spacing w:val="-6"/>
          <w:szCs w:val="21"/>
        </w:rPr>
      </w:pPr>
      <w:r>
        <w:rPr>
          <w:rFonts w:hint="eastAsia" w:ascii="宋体" w:hAnsi="宋体" w:eastAsia="宋体" w:cs="Times New Roman"/>
          <w:spacing w:val="-6"/>
          <w:szCs w:val="21"/>
        </w:rPr>
        <w:t>备注：本表仅为方便评标委员会评审使用，不作为判别投标文件是否有效的依据。</w:t>
      </w:r>
    </w:p>
    <w:p w14:paraId="07202E64">
      <w:pPr>
        <w:widowControl/>
        <w:jc w:val="left"/>
        <w:rPr>
          <w:rFonts w:hint="eastAsia" w:ascii="宋体" w:hAnsi="宋体" w:eastAsia="宋体" w:cs="宋体"/>
          <w:b/>
          <w:spacing w:val="-6"/>
          <w:szCs w:val="21"/>
        </w:rPr>
      </w:pPr>
      <w:r>
        <w:rPr>
          <w:rFonts w:ascii="宋体" w:hAnsi="宋体" w:eastAsia="宋体" w:cs="宋体"/>
          <w:b/>
          <w:spacing w:val="-6"/>
          <w:szCs w:val="21"/>
        </w:rPr>
        <w:br w:type="page"/>
      </w:r>
    </w:p>
    <w:p w14:paraId="78A062A7">
      <w:pPr>
        <w:adjustRightInd w:val="0"/>
        <w:snapToGrid w:val="0"/>
        <w:spacing w:line="288" w:lineRule="auto"/>
        <w:jc w:val="center"/>
        <w:outlineLvl w:val="1"/>
        <w:rPr>
          <w:rFonts w:hint="eastAsia" w:ascii="宋体" w:hAnsi="宋体" w:eastAsia="宋体" w:cs="Times New Roman"/>
          <w:b/>
          <w:spacing w:val="-6"/>
          <w:sz w:val="84"/>
          <w:szCs w:val="84"/>
        </w:rPr>
      </w:pPr>
      <w:r>
        <w:rPr>
          <w:rFonts w:hint="eastAsia" w:ascii="宋体" w:hAnsi="宋体" w:eastAsia="宋体" w:cs="Times New Roman"/>
          <w:b/>
          <w:spacing w:val="-6"/>
          <w:sz w:val="84"/>
          <w:szCs w:val="84"/>
        </w:rPr>
        <w:t>资格文件</w:t>
      </w:r>
    </w:p>
    <w:p w14:paraId="3BF5A6F1">
      <w:pPr>
        <w:adjustRightInd w:val="0"/>
        <w:snapToGrid w:val="0"/>
        <w:spacing w:line="288" w:lineRule="auto"/>
        <w:jc w:val="center"/>
        <w:rPr>
          <w:rFonts w:hint="eastAsia" w:ascii="宋体" w:hAnsi="宋体" w:eastAsia="宋体" w:cs="宋体"/>
          <w:b/>
          <w:bCs/>
          <w:sz w:val="24"/>
          <w:szCs w:val="24"/>
        </w:rPr>
      </w:pPr>
    </w:p>
    <w:p w14:paraId="5A123235">
      <w:pPr>
        <w:adjustRightInd w:val="0"/>
        <w:snapToGrid w:val="0"/>
        <w:spacing w:line="288" w:lineRule="auto"/>
        <w:jc w:val="center"/>
        <w:rPr>
          <w:rFonts w:hint="eastAsia" w:ascii="宋体" w:hAnsi="宋体" w:eastAsia="宋体" w:cs="宋体"/>
          <w:b/>
          <w:bCs/>
          <w:sz w:val="24"/>
          <w:szCs w:val="24"/>
        </w:rPr>
      </w:pPr>
    </w:p>
    <w:p w14:paraId="071D001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资格审查要求的资格证明材料（均需加盖公章）</w:t>
      </w:r>
    </w:p>
    <w:p w14:paraId="7E99F860">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73DA82A4">
      <w:pPr>
        <w:adjustRightInd w:val="0"/>
        <w:snapToGrid w:val="0"/>
        <w:spacing w:line="288" w:lineRule="auto"/>
        <w:rPr>
          <w:rFonts w:hint="eastAsia" w:ascii="宋体" w:hAnsi="宋体" w:eastAsia="宋体" w:cs="宋体"/>
          <w:b/>
          <w:spacing w:val="-6"/>
          <w:szCs w:val="21"/>
        </w:rPr>
      </w:pPr>
    </w:p>
    <w:p w14:paraId="20D2D2E1">
      <w:pPr>
        <w:adjustRightInd w:val="0"/>
        <w:snapToGrid w:val="0"/>
        <w:spacing w:line="288" w:lineRule="auto"/>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）有效的法人或者其他组织的营业执照等证明文件，自然人的身份证明</w:t>
      </w:r>
      <w:r>
        <w:rPr>
          <w:rFonts w:hint="eastAsia" w:ascii="宋体" w:hAnsi="宋体" w:eastAsia="宋体" w:cs="Times New Roman"/>
          <w:b/>
          <w:spacing w:val="-6"/>
          <w:szCs w:val="21"/>
        </w:rPr>
        <w:t>（扫描件）</w:t>
      </w:r>
    </w:p>
    <w:p w14:paraId="52F0BA9C">
      <w:pPr>
        <w:adjustRightInd w:val="0"/>
        <w:snapToGrid w:val="0"/>
        <w:spacing w:line="288" w:lineRule="auto"/>
        <w:rPr>
          <w:rFonts w:hint="eastAsia" w:ascii="宋体" w:hAnsi="宋体" w:eastAsia="宋体" w:cs="Times New Roman"/>
          <w:bCs/>
          <w:spacing w:val="-6"/>
          <w:szCs w:val="21"/>
        </w:rPr>
      </w:pPr>
    </w:p>
    <w:p w14:paraId="7833C756">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说明</w:t>
      </w:r>
      <w:r>
        <w:rPr>
          <w:rFonts w:ascii="宋体" w:hAnsi="宋体" w:eastAsia="宋体" w:cs="Times New Roman"/>
          <w:bCs/>
          <w:spacing w:val="-6"/>
          <w:szCs w:val="21"/>
        </w:rPr>
        <w:t>：</w:t>
      </w:r>
    </w:p>
    <w:p w14:paraId="7573382F">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1</w:t>
      </w:r>
      <w:r>
        <w:rPr>
          <w:rFonts w:ascii="宋体" w:hAnsi="宋体" w:eastAsia="宋体" w:cs="Times New Roman"/>
          <w:bCs/>
          <w:spacing w:val="-6"/>
          <w:szCs w:val="21"/>
        </w:rPr>
        <w:t>.</w:t>
      </w:r>
      <w:r>
        <w:rPr>
          <w:rFonts w:hint="eastAsia" w:ascii="宋体" w:hAnsi="宋体" w:eastAsia="宋体" w:cs="Times New Roman"/>
          <w:bCs/>
          <w:spacing w:val="-6"/>
          <w:szCs w:val="21"/>
        </w:rPr>
        <w:t>如投标人是企业（包括合伙企业），提供在工商部门注册的有效“企业法人营业执照”或“营业执照”；</w:t>
      </w:r>
    </w:p>
    <w:p w14:paraId="603F4C59">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2</w:t>
      </w:r>
      <w:r>
        <w:rPr>
          <w:rFonts w:ascii="宋体" w:hAnsi="宋体" w:eastAsia="宋体" w:cs="Times New Roman"/>
          <w:bCs/>
          <w:spacing w:val="-6"/>
          <w:szCs w:val="21"/>
        </w:rPr>
        <w:t>.</w:t>
      </w:r>
      <w:r>
        <w:rPr>
          <w:rFonts w:hint="eastAsia" w:ascii="宋体" w:hAnsi="宋体" w:eastAsia="宋体" w:cs="Times New Roman"/>
          <w:bCs/>
          <w:spacing w:val="-6"/>
          <w:szCs w:val="21"/>
        </w:rPr>
        <w:t>如投标人是事业单位，提供有效的“事业单位法人证书”；</w:t>
      </w:r>
    </w:p>
    <w:p w14:paraId="7760D41C">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3</w:t>
      </w:r>
      <w:r>
        <w:rPr>
          <w:rFonts w:ascii="宋体" w:hAnsi="宋体" w:eastAsia="宋体" w:cs="Times New Roman"/>
          <w:bCs/>
          <w:spacing w:val="-6"/>
          <w:szCs w:val="21"/>
        </w:rPr>
        <w:t>.</w:t>
      </w:r>
      <w:r>
        <w:rPr>
          <w:rFonts w:hint="eastAsia" w:ascii="宋体" w:hAnsi="宋体" w:eastAsia="宋体" w:cs="Times New Roman"/>
          <w:bCs/>
          <w:spacing w:val="-6"/>
          <w:szCs w:val="21"/>
        </w:rPr>
        <w:t>如投标人是非企业专业服务机构的，提供执业许可证等证明文件；</w:t>
      </w:r>
    </w:p>
    <w:p w14:paraId="58B637F2">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4</w:t>
      </w:r>
      <w:r>
        <w:rPr>
          <w:rFonts w:ascii="宋体" w:hAnsi="宋体" w:eastAsia="宋体" w:cs="Times New Roman"/>
          <w:bCs/>
          <w:spacing w:val="-6"/>
          <w:szCs w:val="21"/>
        </w:rPr>
        <w:t>.</w:t>
      </w:r>
      <w:r>
        <w:rPr>
          <w:rFonts w:hint="eastAsia" w:ascii="宋体" w:hAnsi="宋体" w:eastAsia="宋体" w:cs="Times New Roman"/>
          <w:bCs/>
          <w:spacing w:val="-6"/>
          <w:szCs w:val="21"/>
        </w:rPr>
        <w:t>如投标人是个体工商户，提供有效的“个体工商户营业执照”；</w:t>
      </w:r>
    </w:p>
    <w:p w14:paraId="618D2FD4">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5</w:t>
      </w:r>
      <w:r>
        <w:rPr>
          <w:rFonts w:ascii="宋体" w:hAnsi="宋体" w:eastAsia="宋体" w:cs="Times New Roman"/>
          <w:bCs/>
          <w:spacing w:val="-6"/>
          <w:szCs w:val="21"/>
        </w:rPr>
        <w:t>.</w:t>
      </w:r>
      <w:r>
        <w:rPr>
          <w:rFonts w:hint="eastAsia" w:ascii="宋体" w:hAnsi="宋体" w:eastAsia="宋体" w:cs="Times New Roman"/>
          <w:bCs/>
          <w:spacing w:val="-6"/>
          <w:szCs w:val="21"/>
        </w:rPr>
        <w:t>如投标人是自然人，提供有效的自然人身份证明。</w:t>
      </w:r>
    </w:p>
    <w:p w14:paraId="0070CDF5">
      <w:pPr>
        <w:adjustRightInd w:val="0"/>
        <w:snapToGrid w:val="0"/>
        <w:spacing w:line="288" w:lineRule="auto"/>
        <w:jc w:val="center"/>
        <w:outlineLvl w:val="2"/>
        <w:rPr>
          <w:rFonts w:hint="eastAsia" w:ascii="宋体" w:hAnsi="宋体" w:eastAsia="宋体" w:cs="宋体"/>
          <w:b/>
          <w:spacing w:val="-6"/>
          <w:szCs w:val="21"/>
        </w:rPr>
      </w:pPr>
      <w:r>
        <w:rPr>
          <w:rFonts w:ascii="宋体" w:hAnsi="宋体" w:eastAsia="宋体" w:cs="Times New Roman"/>
          <w:bCs/>
          <w:spacing w:val="-6"/>
          <w:szCs w:val="21"/>
        </w:rPr>
        <w:br w:type="page"/>
      </w:r>
      <w:r>
        <w:rPr>
          <w:rFonts w:hint="eastAsia" w:ascii="宋体" w:hAnsi="宋体" w:eastAsia="宋体" w:cs="宋体"/>
          <w:b/>
          <w:spacing w:val="-6"/>
          <w:szCs w:val="21"/>
        </w:rPr>
        <w:t>（</w:t>
      </w:r>
      <w:r>
        <w:rPr>
          <w:rFonts w:ascii="宋体" w:hAnsi="宋体" w:eastAsia="宋体" w:cs="宋体"/>
          <w:b/>
          <w:spacing w:val="-6"/>
          <w:szCs w:val="21"/>
        </w:rPr>
        <w:t>2）符合参加政府采购活动应当具备的一般条件的承诺函</w:t>
      </w:r>
    </w:p>
    <w:p w14:paraId="0299DFBD">
      <w:pPr>
        <w:adjustRightInd w:val="0"/>
        <w:snapToGrid w:val="0"/>
        <w:spacing w:line="288" w:lineRule="auto"/>
        <w:rPr>
          <w:rFonts w:hint="eastAsia" w:ascii="宋体" w:hAnsi="宋体" w:eastAsia="宋体" w:cs="Times New Roman"/>
          <w:b/>
          <w:bCs/>
          <w:spacing w:val="-6"/>
          <w:szCs w:val="21"/>
        </w:rPr>
      </w:pPr>
    </w:p>
    <w:p w14:paraId="6428FDD2">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致：浙江工商大学、浙江求是招标代理有限公司</w:t>
      </w:r>
    </w:p>
    <w:p w14:paraId="139E546B">
      <w:pPr>
        <w:adjustRightInd w:val="0"/>
        <w:snapToGrid w:val="0"/>
        <w:spacing w:line="288" w:lineRule="auto"/>
        <w:ind w:firstLine="396" w:firstLineChars="200"/>
        <w:rPr>
          <w:rFonts w:hint="eastAsia" w:ascii="宋体" w:hAnsi="宋体" w:eastAsia="宋体" w:cs="Times New Roman"/>
          <w:spacing w:val="-6"/>
          <w:szCs w:val="21"/>
        </w:rPr>
      </w:pPr>
    </w:p>
    <w:p w14:paraId="3C19400C">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我方</w:t>
      </w:r>
      <w:r>
        <w:rPr>
          <w:rFonts w:hint="eastAsia" w:ascii="宋体" w:hAnsi="宋体" w:eastAsia="宋体" w:cs="Times New Roman"/>
          <w:spacing w:val="-6"/>
          <w:szCs w:val="21"/>
          <w:u w:val="single"/>
        </w:rPr>
        <w:t xml:space="preserve">（投标人名称）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 xml:space="preserve"> </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参加</w:t>
      </w:r>
      <w:r>
        <w:rPr>
          <w:rFonts w:hint="eastAsia" w:ascii="宋体" w:hAnsi="宋体" w:eastAsia="宋体" w:cs="Times New Roman"/>
          <w:spacing w:val="-6"/>
          <w:szCs w:val="21"/>
          <w:u w:val="single"/>
        </w:rPr>
        <w:t xml:space="preserve">（项目名称）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 xml:space="preserve"> </w:t>
      </w:r>
      <w:r>
        <w:rPr>
          <w:rFonts w:hint="eastAsia" w:ascii="宋体" w:hAnsi="宋体" w:eastAsia="宋体" w:cs="Times New Roman"/>
          <w:spacing w:val="-6"/>
          <w:szCs w:val="21"/>
        </w:rPr>
        <w:t>项目的采购活动并承诺如下：</w:t>
      </w:r>
    </w:p>
    <w:p w14:paraId="2FBAE886">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一、我方满足《中华人民共和国政府采购法》第二十二条规定：</w:t>
      </w:r>
    </w:p>
    <w:p w14:paraId="3077203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（一）具有独立承担民事责任的能力；</w:t>
      </w:r>
    </w:p>
    <w:p w14:paraId="651AC48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（二）具有良好的商业信誉和健全的财务会计制度；</w:t>
      </w:r>
    </w:p>
    <w:p w14:paraId="4EF248E2">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（三）具有履行合同所必需的设备和专业技术能力；</w:t>
      </w:r>
    </w:p>
    <w:p w14:paraId="3FE2D7C6">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（四）有依法缴纳税收和社会保障资金的良好记录；</w:t>
      </w:r>
    </w:p>
    <w:p w14:paraId="7C7CA05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（五）参加本项目政府采购活动前三年内，在经营活动中</w:t>
      </w:r>
      <w:r>
        <w:rPr>
          <w:rFonts w:hint="eastAsia" w:ascii="宋体" w:hAnsi="宋体" w:eastAsia="宋体" w:cs="Times New Roman"/>
          <w:b/>
          <w:spacing w:val="-6"/>
          <w:szCs w:val="21"/>
          <w:u w:val="single"/>
        </w:rPr>
        <w:t xml:space="preserve">  没有  </w:t>
      </w:r>
      <w:r>
        <w:rPr>
          <w:rFonts w:hint="eastAsia" w:ascii="宋体" w:hAnsi="宋体" w:eastAsia="宋体" w:cs="Times New Roman"/>
          <w:spacing w:val="-6"/>
          <w:szCs w:val="21"/>
        </w:rPr>
        <w:t>重大违法记录。（重大违法记录是指投标人因违法经营受到刑事处罚或者责令停产停业、吊销许可证或者执照、较大数额罚款等行政处罚）</w:t>
      </w:r>
    </w:p>
    <w:p w14:paraId="541F3803">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（六）法律、行政法规规定的其他条件。</w:t>
      </w:r>
    </w:p>
    <w:p w14:paraId="4CB4BD3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二、未被信用中国（www.creditchina.gov.cn）</w:t>
      </w:r>
      <w:r>
        <w:rPr>
          <w:rFonts w:ascii="宋体" w:hAnsi="宋体" w:eastAsia="宋体" w:cs="Times New Roman"/>
          <w:spacing w:val="-6"/>
          <w:szCs w:val="21"/>
        </w:rPr>
        <w:t>、中国政府采购网（www.ccgp.gov.cn）列入失信被执行人、重大税收违法案件当事人名单、政府采购严重违法失信行为记录名单。</w:t>
      </w:r>
    </w:p>
    <w:p w14:paraId="4CCB663B">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三、不存在以下情况：</w:t>
      </w:r>
    </w:p>
    <w:p w14:paraId="321DC65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单位负责人为同一人或者存在直接控股、管理关系的不同供应商参加同一合同项下的政府采购活动的；</w:t>
      </w:r>
    </w:p>
    <w:p w14:paraId="3B4DE5F2">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为采购项目提供整体设计、规范编制或者项目管理、监理、检测等服务后再参加该采购项目的其他采购活动的。</w:t>
      </w:r>
    </w:p>
    <w:p w14:paraId="367B4A8F">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四、</w:t>
      </w:r>
      <w:r>
        <w:rPr>
          <w:rFonts w:ascii="宋体" w:hAnsi="宋体" w:eastAsia="宋体" w:cs="Times New Roman"/>
          <w:spacing w:val="-6"/>
          <w:szCs w:val="21"/>
        </w:rPr>
        <w:t>以上事项如有虚假或隐瞒，我方愿意承担一切后果和责任。</w:t>
      </w:r>
    </w:p>
    <w:p w14:paraId="32E81B07">
      <w:pPr>
        <w:adjustRightInd w:val="0"/>
        <w:snapToGrid w:val="0"/>
        <w:spacing w:line="288" w:lineRule="auto"/>
        <w:rPr>
          <w:rFonts w:hint="eastAsia" w:ascii="宋体" w:hAnsi="宋体" w:eastAsia="宋体" w:cs="Times New Roman"/>
          <w:szCs w:val="21"/>
        </w:rPr>
      </w:pPr>
    </w:p>
    <w:p w14:paraId="0D61B589">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787E0203">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1520249A">
      <w:pPr>
        <w:widowControl/>
        <w:adjustRightInd w:val="0"/>
        <w:snapToGrid w:val="0"/>
        <w:spacing w:line="288" w:lineRule="auto"/>
        <w:jc w:val="left"/>
        <w:rPr>
          <w:rFonts w:hint="eastAsia" w:ascii="宋体" w:hAnsi="宋体" w:eastAsia="宋体" w:cs="宋体"/>
          <w:b/>
          <w:spacing w:val="-6"/>
          <w:szCs w:val="21"/>
        </w:rPr>
      </w:pPr>
    </w:p>
    <w:p w14:paraId="0D28F700">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77986050">
      <w:pPr>
        <w:adjustRightInd w:val="0"/>
        <w:snapToGrid w:val="0"/>
        <w:spacing w:line="288" w:lineRule="auto"/>
        <w:jc w:val="left"/>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3）落实政府采购政策需满足的资格要求：无</w:t>
      </w:r>
    </w:p>
    <w:p w14:paraId="2BB3C870">
      <w:pPr>
        <w:adjustRightInd w:val="0"/>
        <w:snapToGrid w:val="0"/>
        <w:spacing w:line="288" w:lineRule="auto"/>
        <w:jc w:val="left"/>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）本项目的特定资格要求证明材料：无</w:t>
      </w:r>
    </w:p>
    <w:p w14:paraId="2B1D2F67">
      <w:pPr>
        <w:adjustRightInd w:val="0"/>
        <w:snapToGrid w:val="0"/>
        <w:spacing w:line="288" w:lineRule="auto"/>
        <w:jc w:val="left"/>
        <w:outlineLvl w:val="2"/>
        <w:rPr>
          <w:rFonts w:hint="eastAsia" w:ascii="宋体" w:hAnsi="宋体" w:eastAsia="宋体" w:cs="宋体"/>
          <w:b/>
          <w:spacing w:val="-6"/>
          <w:szCs w:val="21"/>
        </w:rPr>
      </w:pPr>
      <w:r>
        <w:rPr>
          <w:rFonts w:hint="eastAsia" w:ascii="宋体" w:hAnsi="宋体" w:eastAsia="宋体" w:cs="宋体"/>
          <w:b/>
          <w:spacing w:val="-6"/>
          <w:szCs w:val="21"/>
        </w:rPr>
        <w:t>（5）</w:t>
      </w:r>
      <w:r>
        <w:rPr>
          <w:rFonts w:hint="eastAsia" w:ascii="宋体" w:hAnsi="宋体" w:eastAsia="宋体" w:cs="宋体"/>
          <w:b/>
          <w:spacing w:val="-6"/>
          <w:szCs w:val="21"/>
          <w:lang w:val="zh-CN"/>
        </w:rPr>
        <w:t>联合协议</w:t>
      </w:r>
      <w:r>
        <w:rPr>
          <w:rFonts w:hint="eastAsia" w:ascii="宋体" w:hAnsi="宋体" w:eastAsia="宋体" w:cs="宋体"/>
          <w:b/>
          <w:spacing w:val="-6"/>
          <w:szCs w:val="21"/>
        </w:rPr>
        <w:t>（以联合体形式投标的，提供联合协议；本项目不接受联合体投标或者投标人不以联合体形式投标的，则不需要提供）</w:t>
      </w:r>
    </w:p>
    <w:p w14:paraId="19B05D89">
      <w:pPr>
        <w:adjustRightInd w:val="0"/>
        <w:snapToGrid w:val="0"/>
        <w:spacing w:line="288" w:lineRule="auto"/>
        <w:jc w:val="left"/>
        <w:outlineLvl w:val="2"/>
        <w:rPr>
          <w:rFonts w:hint="eastAsia" w:ascii="宋体" w:hAnsi="宋体" w:eastAsia="宋体" w:cs="宋体"/>
          <w:b/>
          <w:spacing w:val="-6"/>
          <w:szCs w:val="21"/>
        </w:rPr>
      </w:pPr>
    </w:p>
    <w:p w14:paraId="1E00FF74">
      <w:pPr>
        <w:adjustRightInd w:val="0"/>
        <w:snapToGrid w:val="0"/>
        <w:spacing w:line="288" w:lineRule="auto"/>
        <w:rPr>
          <w:rFonts w:hint="eastAsia" w:ascii="宋体" w:hAnsi="宋体" w:eastAsia="宋体" w:cs="Times New Roman"/>
          <w:b/>
          <w:spacing w:val="-6"/>
          <w:szCs w:val="21"/>
        </w:rPr>
      </w:pPr>
      <w:r>
        <w:rPr>
          <w:rFonts w:ascii="宋体" w:hAnsi="宋体" w:eastAsia="宋体" w:cs="Times New Roman"/>
          <w:b/>
          <w:spacing w:val="-6"/>
          <w:szCs w:val="21"/>
        </w:rPr>
        <w:br w:type="page"/>
      </w:r>
    </w:p>
    <w:p w14:paraId="2754BED6">
      <w:pPr>
        <w:overflowPunct w:val="0"/>
        <w:adjustRightInd w:val="0"/>
        <w:snapToGrid w:val="0"/>
        <w:spacing w:line="288" w:lineRule="auto"/>
        <w:jc w:val="center"/>
        <w:outlineLvl w:val="1"/>
        <w:rPr>
          <w:rFonts w:hint="eastAsia" w:ascii="宋体" w:hAnsi="宋体" w:eastAsia="宋体" w:cs="Times New Roman"/>
          <w:bCs/>
          <w:spacing w:val="-6"/>
          <w:sz w:val="84"/>
          <w:szCs w:val="84"/>
        </w:rPr>
      </w:pPr>
      <w:r>
        <w:rPr>
          <w:rFonts w:hint="eastAsia" w:ascii="宋体" w:hAnsi="宋体" w:eastAsia="宋体" w:cs="Times New Roman"/>
          <w:b/>
          <w:spacing w:val="-6"/>
          <w:sz w:val="84"/>
          <w:szCs w:val="84"/>
        </w:rPr>
        <w:t>商务和技术文件</w:t>
      </w:r>
    </w:p>
    <w:p w14:paraId="7929EC55">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585C7BDA">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（1）投标函</w:t>
      </w:r>
    </w:p>
    <w:p w14:paraId="6F084783">
      <w:pPr>
        <w:adjustRightInd w:val="0"/>
        <w:snapToGrid w:val="0"/>
        <w:spacing w:line="288" w:lineRule="auto"/>
        <w:rPr>
          <w:rFonts w:hint="eastAsia" w:ascii="宋体" w:hAnsi="宋体" w:eastAsia="宋体" w:cs="Times New Roman"/>
          <w:spacing w:val="-6"/>
          <w:szCs w:val="21"/>
        </w:rPr>
      </w:pPr>
    </w:p>
    <w:p w14:paraId="2BAC6D51">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致：浙江工商大学、浙江求是招标代理有限公司</w:t>
      </w:r>
    </w:p>
    <w:p w14:paraId="10EA98AA">
      <w:pPr>
        <w:adjustRightInd w:val="0"/>
        <w:snapToGrid w:val="0"/>
        <w:spacing w:line="288" w:lineRule="auto"/>
        <w:ind w:firstLine="396" w:firstLineChars="200"/>
        <w:rPr>
          <w:rFonts w:hint="eastAsia" w:ascii="宋体" w:hAnsi="宋体" w:eastAsia="宋体" w:cs="Times New Roman"/>
          <w:spacing w:val="-6"/>
          <w:szCs w:val="21"/>
          <w:highlight w:val="cyan"/>
        </w:rPr>
      </w:pPr>
    </w:p>
    <w:p w14:paraId="12EF7C3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我方参加</w:t>
      </w:r>
      <w:r>
        <w:rPr>
          <w:rFonts w:hint="eastAsia" w:ascii="宋体" w:hAnsi="宋体" w:eastAsia="宋体" w:cs="Times New Roman"/>
          <w:bCs/>
          <w:spacing w:val="-6"/>
          <w:szCs w:val="21"/>
          <w:u w:val="single"/>
        </w:rPr>
        <w:t>浙江工商大学未来营养健康与共同富裕计算设备更新-共同富裕计算设备（第一批）</w:t>
      </w:r>
      <w:r>
        <w:rPr>
          <w:rFonts w:hint="eastAsia" w:ascii="宋体" w:hAnsi="宋体" w:eastAsia="宋体" w:cs="Times New Roman"/>
          <w:spacing w:val="-6"/>
          <w:szCs w:val="21"/>
          <w:u w:val="single"/>
        </w:rPr>
        <w:t>（项目编号</w:t>
      </w:r>
      <w:r>
        <w:rPr>
          <w:rFonts w:hint="eastAsia" w:ascii="宋体" w:hAnsi="宋体" w:eastAsia="宋体" w:cs="Times New Roman"/>
          <w:bCs/>
          <w:spacing w:val="-6"/>
          <w:szCs w:val="21"/>
          <w:u w:val="single"/>
        </w:rPr>
        <w:t>：QSZB-Z(H)-C24374(GK)</w:t>
      </w:r>
      <w:r>
        <w:rPr>
          <w:rFonts w:hint="eastAsia" w:ascii="宋体" w:hAnsi="宋体" w:eastAsia="宋体" w:cs="Times New Roman"/>
          <w:spacing w:val="-6"/>
          <w:szCs w:val="21"/>
          <w:u w:val="single"/>
        </w:rPr>
        <w:t>）</w:t>
      </w:r>
      <w:r>
        <w:rPr>
          <w:rFonts w:hint="eastAsia" w:ascii="宋体" w:hAnsi="宋体" w:eastAsia="宋体" w:cs="Times New Roman"/>
          <w:spacing w:val="-6"/>
          <w:szCs w:val="21"/>
        </w:rPr>
        <w:t>项目，为此，我方提交电子加密投标文件一份、以介质（U盘）存储的数据电文形式的</w:t>
      </w:r>
      <w:r>
        <w:rPr>
          <w:rFonts w:hint="eastAsia" w:ascii="宋体" w:hAnsi="宋体" w:eastAsia="宋体" w:cs="Times New Roman"/>
          <w:spacing w:val="-6"/>
          <w:szCs w:val="21"/>
          <w:u w:val="single"/>
        </w:rPr>
        <w:t xml:space="preserve">备份投标文件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份</w:t>
      </w:r>
      <w:r>
        <w:rPr>
          <w:rFonts w:hint="eastAsia" w:ascii="宋体" w:hAnsi="宋体" w:eastAsia="宋体" w:cs="Times New Roman"/>
          <w:spacing w:val="-6"/>
          <w:szCs w:val="21"/>
        </w:rPr>
        <w:t>。宣布同意如下：</w:t>
      </w:r>
    </w:p>
    <w:p w14:paraId="087DF8C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我方已详细审查全部“招标文件”，包括修改文件（如有）以及全部参考资料和有关附件，已经了解我方对于招标文件、招标过程、中标结果有依法进行询问、质疑、投诉的权利及相关渠道和要求。</w:t>
      </w:r>
    </w:p>
    <w:p w14:paraId="63BD516A">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w:t>
      </w:r>
      <w:r>
        <w:rPr>
          <w:rFonts w:hint="eastAsia" w:ascii="宋体" w:hAnsi="宋体" w:eastAsia="宋体" w:cs="Times New Roman"/>
          <w:spacing w:val="-6"/>
          <w:szCs w:val="21"/>
        </w:rPr>
        <w:t>我方在投标之前已经与贵方进行了充分的沟通，完全理解并接受招标文件的各项规定和要求，对招标文件的合理性、合法性不再有异议。</w:t>
      </w:r>
    </w:p>
    <w:p w14:paraId="70E9440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pacing w:val="-6"/>
          <w:szCs w:val="21"/>
        </w:rPr>
        <w:t>投标有效期自提交投标文件的截止之日起</w:t>
      </w:r>
      <w:r>
        <w:rPr>
          <w:rFonts w:hint="eastAsia" w:ascii="宋体" w:hAnsi="宋体" w:eastAsia="宋体" w:cs="Times New Roman"/>
          <w:bCs/>
          <w:spacing w:val="-6"/>
          <w:szCs w:val="21"/>
          <w:u w:val="single"/>
        </w:rPr>
        <w:t xml:space="preserve"> 90</w:t>
      </w:r>
      <w:r>
        <w:rPr>
          <w:rFonts w:ascii="宋体" w:hAnsi="宋体" w:eastAsia="宋体" w:cs="Times New Roman"/>
          <w:bCs/>
          <w:spacing w:val="-6"/>
          <w:szCs w:val="21"/>
          <w:u w:val="single"/>
        </w:rPr>
        <w:t xml:space="preserve"> </w:t>
      </w:r>
      <w:r>
        <w:rPr>
          <w:rFonts w:hint="eastAsia" w:ascii="宋体" w:hAnsi="宋体" w:eastAsia="宋体" w:cs="Times New Roman"/>
          <w:spacing w:val="-6"/>
          <w:szCs w:val="21"/>
        </w:rPr>
        <w:t>天。</w:t>
      </w:r>
    </w:p>
    <w:p w14:paraId="3FE35EF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4</w:t>
      </w:r>
      <w:r>
        <w:rPr>
          <w:rFonts w:ascii="宋体" w:hAnsi="宋体" w:eastAsia="宋体" w:cs="Times New Roman"/>
          <w:spacing w:val="-6"/>
          <w:szCs w:val="21"/>
        </w:rPr>
        <w:t>.</w:t>
      </w:r>
      <w:r>
        <w:rPr>
          <w:rFonts w:hint="eastAsia" w:ascii="宋体" w:hAnsi="宋体" w:eastAsia="宋体" w:cs="Times New Roman"/>
          <w:spacing w:val="-6"/>
          <w:szCs w:val="21"/>
        </w:rPr>
        <w:t>如中标，本投标文件至本项目合同履行完毕止均保持有效，我方将按“招标文件”及政府采购法律、法规的规定履行合同责任和义务。关于代理服务费，我方承诺按照招标文件的规定履行并承担相应的责任。</w:t>
      </w:r>
    </w:p>
    <w:p w14:paraId="10BEF9FB">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w:t>
      </w:r>
      <w:r>
        <w:rPr>
          <w:rFonts w:hint="eastAsia" w:ascii="宋体" w:hAnsi="宋体" w:eastAsia="宋体" w:cs="Times New Roman"/>
          <w:spacing w:val="-6"/>
          <w:szCs w:val="21"/>
        </w:rPr>
        <w:t>我方同意按照贵方要求提供与投标有关的一切数据或资料。</w:t>
      </w:r>
    </w:p>
    <w:p w14:paraId="0988DA4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6</w:t>
      </w:r>
      <w:r>
        <w:rPr>
          <w:rFonts w:ascii="宋体" w:hAnsi="宋体" w:eastAsia="宋体" w:cs="Times New Roman"/>
          <w:spacing w:val="-6"/>
          <w:szCs w:val="21"/>
        </w:rPr>
        <w:t>.</w:t>
      </w:r>
      <w:r>
        <w:rPr>
          <w:rFonts w:hint="eastAsia" w:ascii="宋体" w:hAnsi="宋体" w:eastAsia="宋体" w:cs="Times New Roman"/>
          <w:spacing w:val="-6"/>
          <w:szCs w:val="21"/>
        </w:rPr>
        <w:t>与本投标有关的一切正式往来信函联系：</w:t>
      </w:r>
    </w:p>
    <w:tbl>
      <w:tblPr>
        <w:tblStyle w:val="2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14:paraId="418A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14:paraId="622A3280">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联系人：</w:t>
            </w:r>
          </w:p>
        </w:tc>
        <w:tc>
          <w:tcPr>
            <w:tcW w:w="6808" w:type="dxa"/>
          </w:tcPr>
          <w:p w14:paraId="07E04380">
            <w:pPr>
              <w:adjustRightInd w:val="0"/>
              <w:snapToGrid w:val="0"/>
              <w:spacing w:line="288" w:lineRule="auto"/>
              <w:rPr>
                <w:rFonts w:hint="eastAsia" w:ascii="宋体" w:hAnsi="宋体" w:eastAsia="宋体" w:cs="Times New Roman"/>
                <w:spacing w:val="-6"/>
                <w:szCs w:val="21"/>
              </w:rPr>
            </w:pPr>
          </w:p>
        </w:tc>
      </w:tr>
      <w:tr w14:paraId="4EDF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0EC0724">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职务：</w:t>
            </w:r>
          </w:p>
        </w:tc>
        <w:tc>
          <w:tcPr>
            <w:tcW w:w="6808" w:type="dxa"/>
          </w:tcPr>
          <w:p w14:paraId="29DAEDBC">
            <w:pPr>
              <w:adjustRightInd w:val="0"/>
              <w:snapToGrid w:val="0"/>
              <w:spacing w:line="288" w:lineRule="auto"/>
              <w:rPr>
                <w:rFonts w:hint="eastAsia" w:ascii="宋体" w:hAnsi="宋体" w:eastAsia="宋体" w:cs="Times New Roman"/>
                <w:spacing w:val="-6"/>
                <w:szCs w:val="21"/>
              </w:rPr>
            </w:pPr>
          </w:p>
        </w:tc>
      </w:tr>
      <w:tr w14:paraId="71AF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E812CFE">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手机：</w:t>
            </w:r>
          </w:p>
        </w:tc>
        <w:tc>
          <w:tcPr>
            <w:tcW w:w="6808" w:type="dxa"/>
          </w:tcPr>
          <w:p w14:paraId="1CA7F001">
            <w:pPr>
              <w:adjustRightInd w:val="0"/>
              <w:snapToGrid w:val="0"/>
              <w:spacing w:line="288" w:lineRule="auto"/>
              <w:rPr>
                <w:rFonts w:hint="eastAsia" w:ascii="宋体" w:hAnsi="宋体" w:eastAsia="宋体" w:cs="Times New Roman"/>
                <w:spacing w:val="-6"/>
                <w:szCs w:val="21"/>
              </w:rPr>
            </w:pPr>
          </w:p>
        </w:tc>
      </w:tr>
      <w:tr w14:paraId="080E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77D3C35">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电子邮箱：</w:t>
            </w:r>
          </w:p>
        </w:tc>
        <w:tc>
          <w:tcPr>
            <w:tcW w:w="6808" w:type="dxa"/>
          </w:tcPr>
          <w:p w14:paraId="4A7BBD02">
            <w:pPr>
              <w:adjustRightInd w:val="0"/>
              <w:snapToGrid w:val="0"/>
              <w:spacing w:line="288" w:lineRule="auto"/>
              <w:rPr>
                <w:rFonts w:hint="eastAsia" w:ascii="宋体" w:hAnsi="宋体" w:eastAsia="宋体" w:cs="Times New Roman"/>
                <w:spacing w:val="-6"/>
                <w:szCs w:val="21"/>
              </w:rPr>
            </w:pPr>
          </w:p>
        </w:tc>
      </w:tr>
      <w:tr w14:paraId="71EF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9803365">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地址：</w:t>
            </w:r>
          </w:p>
        </w:tc>
        <w:tc>
          <w:tcPr>
            <w:tcW w:w="6808" w:type="dxa"/>
          </w:tcPr>
          <w:p w14:paraId="064075AC">
            <w:pPr>
              <w:adjustRightInd w:val="0"/>
              <w:snapToGrid w:val="0"/>
              <w:spacing w:line="288" w:lineRule="auto"/>
              <w:rPr>
                <w:rFonts w:hint="eastAsia" w:ascii="宋体" w:hAnsi="宋体" w:eastAsia="宋体" w:cs="Times New Roman"/>
                <w:spacing w:val="-6"/>
                <w:szCs w:val="21"/>
              </w:rPr>
            </w:pPr>
          </w:p>
        </w:tc>
      </w:tr>
      <w:tr w14:paraId="5AAF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92CB4E1">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开户银行：</w:t>
            </w:r>
          </w:p>
        </w:tc>
        <w:tc>
          <w:tcPr>
            <w:tcW w:w="6808" w:type="dxa"/>
          </w:tcPr>
          <w:p w14:paraId="432417BF">
            <w:pPr>
              <w:adjustRightInd w:val="0"/>
              <w:snapToGrid w:val="0"/>
              <w:spacing w:line="288" w:lineRule="auto"/>
              <w:rPr>
                <w:rFonts w:hint="eastAsia" w:ascii="宋体" w:hAnsi="宋体" w:eastAsia="宋体" w:cs="Times New Roman"/>
                <w:spacing w:val="-6"/>
                <w:szCs w:val="21"/>
              </w:rPr>
            </w:pPr>
          </w:p>
        </w:tc>
      </w:tr>
      <w:tr w14:paraId="16CA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43A2018">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银行账号：</w:t>
            </w:r>
          </w:p>
        </w:tc>
        <w:tc>
          <w:tcPr>
            <w:tcW w:w="6808" w:type="dxa"/>
          </w:tcPr>
          <w:p w14:paraId="64EDEDD7">
            <w:pPr>
              <w:adjustRightInd w:val="0"/>
              <w:snapToGrid w:val="0"/>
              <w:spacing w:line="288" w:lineRule="auto"/>
              <w:rPr>
                <w:rFonts w:hint="eastAsia" w:ascii="宋体" w:hAnsi="宋体" w:eastAsia="宋体" w:cs="Times New Roman"/>
                <w:spacing w:val="-6"/>
                <w:szCs w:val="21"/>
              </w:rPr>
            </w:pPr>
          </w:p>
        </w:tc>
      </w:tr>
    </w:tbl>
    <w:p w14:paraId="695F03B9">
      <w:pPr>
        <w:adjustRightInd w:val="0"/>
        <w:snapToGrid w:val="0"/>
        <w:spacing w:line="288" w:lineRule="auto"/>
        <w:rPr>
          <w:rFonts w:hint="eastAsia" w:ascii="宋体" w:hAnsi="宋体" w:eastAsia="宋体" w:cs="Times New Roman"/>
          <w:spacing w:val="-6"/>
          <w:szCs w:val="21"/>
        </w:rPr>
      </w:pPr>
    </w:p>
    <w:p w14:paraId="7D1ECD09">
      <w:pPr>
        <w:adjustRightInd w:val="0"/>
        <w:snapToGrid w:val="0"/>
        <w:spacing w:line="288" w:lineRule="auto"/>
        <w:rPr>
          <w:rFonts w:hint="eastAsia" w:ascii="宋体" w:hAnsi="宋体" w:eastAsia="宋体" w:cs="Times New Roman"/>
          <w:spacing w:val="-6"/>
          <w:szCs w:val="21"/>
        </w:rPr>
      </w:pPr>
    </w:p>
    <w:p w14:paraId="21ACC3A3">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7BDA174F">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78BD1C65">
      <w:pPr>
        <w:widowControl/>
        <w:adjustRightInd w:val="0"/>
        <w:snapToGrid w:val="0"/>
        <w:spacing w:line="288" w:lineRule="auto"/>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09F741B6">
      <w:pPr>
        <w:adjustRightInd w:val="0"/>
        <w:snapToGrid w:val="0"/>
        <w:spacing w:line="288" w:lineRule="auto"/>
        <w:ind w:firstLine="498" w:firstLineChars="236"/>
        <w:jc w:val="center"/>
        <w:outlineLvl w:val="2"/>
        <w:rPr>
          <w:rFonts w:hint="eastAsia" w:ascii="宋体" w:hAnsi="宋体" w:eastAsia="宋体" w:cs="Times New Roman"/>
          <w:b/>
          <w:bCs/>
          <w:szCs w:val="21"/>
        </w:rPr>
      </w:pPr>
      <w:r>
        <w:rPr>
          <w:rFonts w:hint="eastAsia" w:ascii="宋体" w:hAnsi="宋体" w:eastAsia="宋体" w:cs="Times New Roman"/>
          <w:b/>
          <w:bCs/>
          <w:szCs w:val="21"/>
        </w:rPr>
        <w:t>（</w:t>
      </w:r>
      <w:r>
        <w:rPr>
          <w:rFonts w:ascii="宋体" w:hAnsi="宋体" w:eastAsia="宋体" w:cs="Times New Roman"/>
          <w:b/>
          <w:bCs/>
          <w:szCs w:val="21"/>
        </w:rPr>
        <w:t>2</w:t>
      </w:r>
      <w:r>
        <w:rPr>
          <w:rFonts w:hint="eastAsia" w:ascii="宋体" w:hAnsi="宋体" w:eastAsia="宋体" w:cs="Times New Roman"/>
          <w:b/>
          <w:bCs/>
          <w:szCs w:val="21"/>
        </w:rPr>
        <w:t>）授权委托书</w:t>
      </w:r>
    </w:p>
    <w:p w14:paraId="6DA08FB2">
      <w:pPr>
        <w:adjustRightInd w:val="0"/>
        <w:snapToGrid w:val="0"/>
        <w:spacing w:line="288" w:lineRule="auto"/>
        <w:rPr>
          <w:rFonts w:hint="eastAsia" w:ascii="宋体" w:hAnsi="宋体" w:eastAsia="宋体" w:cs="Times New Roman"/>
          <w:b/>
          <w:bCs/>
          <w:spacing w:val="-6"/>
          <w:szCs w:val="21"/>
        </w:rPr>
      </w:pPr>
    </w:p>
    <w:p w14:paraId="43B5A2CA">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致：浙江工商大学、浙江求是招标代理有限公司</w:t>
      </w:r>
    </w:p>
    <w:p w14:paraId="2A32F46E">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现授权委托：</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（授权代表姓名）（身份证号码：</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，手机：</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）以我方的名义参加</w:t>
      </w:r>
      <w:r>
        <w:rPr>
          <w:rFonts w:hint="eastAsia" w:ascii="宋体" w:hAnsi="宋体" w:eastAsia="宋体" w:cs="Times New Roman"/>
          <w:bCs/>
          <w:spacing w:val="-6"/>
          <w:szCs w:val="21"/>
        </w:rPr>
        <w:t>浙江工商大学未来营养健康与共同富裕计算设备更新-共同富裕计算设备（第一批）项目（项目编号：QSZB-Z(H)-C24374(GK)）</w:t>
      </w:r>
      <w:r>
        <w:rPr>
          <w:rFonts w:hint="eastAsia" w:ascii="宋体" w:hAnsi="宋体" w:eastAsia="宋体" w:cs="Times New Roman"/>
          <w:spacing w:val="-6"/>
          <w:szCs w:val="21"/>
        </w:rPr>
        <w:t>的投标活动，并代表我方全权办理针对上述项目的投标、开标、评标、签约等具体事务和签署相关文件。</w:t>
      </w:r>
    </w:p>
    <w:p w14:paraId="7FD7D9A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我方对被授权人的签名负全部责任。</w:t>
      </w:r>
    </w:p>
    <w:p w14:paraId="16C5D6A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在撤销授权的书面通知以前，本授权书一直有效。被授权人在授权书有效期内签署的所有文件不因授权的撤销而失效。</w:t>
      </w:r>
    </w:p>
    <w:p w14:paraId="3EC794D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被授权人无转委托权，特此告知。</w:t>
      </w:r>
    </w:p>
    <w:p w14:paraId="09A4BD7E">
      <w:pPr>
        <w:adjustRightInd w:val="0"/>
        <w:snapToGrid w:val="0"/>
        <w:spacing w:line="288" w:lineRule="auto"/>
        <w:ind w:firstLine="368" w:firstLineChars="186"/>
        <w:rPr>
          <w:rFonts w:hint="eastAsia" w:ascii="宋体" w:hAnsi="宋体" w:eastAsia="宋体" w:cs="Times New Roman"/>
          <w:spacing w:val="-6"/>
          <w:szCs w:val="21"/>
          <w:u w:val="single"/>
        </w:rPr>
      </w:pPr>
      <w:r>
        <w:rPr>
          <w:rFonts w:hint="eastAsia" w:ascii="宋体" w:hAnsi="宋体" w:eastAsia="宋体" w:cs="Times New Roman"/>
          <w:spacing w:val="-6"/>
          <w:szCs w:val="21"/>
          <w:u w:val="single"/>
        </w:rPr>
        <w:t>▲提供授权代表社保缴纳证明（2024年6月（含）以后任意一月）。</w:t>
      </w:r>
    </w:p>
    <w:p w14:paraId="10063AA8">
      <w:pPr>
        <w:adjustRightInd w:val="0"/>
        <w:snapToGrid w:val="0"/>
        <w:spacing w:line="288" w:lineRule="auto"/>
        <w:rPr>
          <w:rFonts w:hint="eastAsia" w:ascii="宋体" w:hAnsi="宋体" w:eastAsia="宋体" w:cs="Times New Roman"/>
          <w:spacing w:val="-6"/>
          <w:szCs w:val="21"/>
        </w:rPr>
      </w:pPr>
    </w:p>
    <w:p w14:paraId="5A04F521">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0B3CD260">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375F691E">
      <w:pPr>
        <w:adjustRightInd w:val="0"/>
        <w:snapToGrid w:val="0"/>
        <w:spacing w:line="288" w:lineRule="auto"/>
        <w:rPr>
          <w:rFonts w:hint="eastAsia" w:ascii="宋体" w:hAnsi="宋体" w:eastAsia="宋体" w:cs="Times New Roman"/>
          <w:szCs w:val="21"/>
        </w:rPr>
      </w:pPr>
    </w:p>
    <w:p w14:paraId="62507F3C">
      <w:pPr>
        <w:adjustRightInd w:val="0"/>
        <w:snapToGrid w:val="0"/>
        <w:spacing w:line="288" w:lineRule="auto"/>
        <w:rPr>
          <w:rFonts w:hint="eastAsia" w:ascii="宋体" w:hAnsi="宋体" w:eastAsia="宋体" w:cs="Times New Roman"/>
          <w:szCs w:val="21"/>
        </w:rPr>
      </w:pPr>
      <w:r>
        <w:rPr>
          <w:rFonts w:hint="eastAsia" w:ascii="宋体" w:hAnsi="宋体" w:eastAsia="宋体" w:cs="Times New Roman"/>
          <w:szCs w:val="21"/>
        </w:rPr>
        <w:t>注：</w:t>
      </w:r>
    </w:p>
    <w:p w14:paraId="452E0ABF">
      <w:pPr>
        <w:adjustRightInd w:val="0"/>
        <w:snapToGrid w:val="0"/>
        <w:spacing w:line="288" w:lineRule="auto"/>
        <w:rPr>
          <w:rFonts w:hint="eastAsia" w:ascii="宋体" w:hAnsi="宋体" w:eastAsia="宋体" w:cs="Times New Roman"/>
          <w:szCs w:val="21"/>
        </w:rPr>
      </w:pPr>
      <w:r>
        <w:rPr>
          <w:rFonts w:hint="eastAsia" w:ascii="宋体" w:hAnsi="宋体" w:eastAsia="宋体" w:cs="Times New Roman"/>
          <w:szCs w:val="21"/>
        </w:rPr>
        <w:t>1、投标人委派不在本单位缴纳社保的人员作为授权代表的，应当在投标文件中，说明具体原因、授权代表缴纳社保的单位，并附列该授权代表缴纳社保清单。</w:t>
      </w:r>
    </w:p>
    <w:p w14:paraId="125F1516">
      <w:pPr>
        <w:adjustRightInd w:val="0"/>
        <w:snapToGrid w:val="0"/>
        <w:spacing w:line="288" w:lineRule="auto"/>
        <w:rPr>
          <w:rFonts w:hint="eastAsia" w:ascii="宋体" w:hAnsi="宋体" w:eastAsia="宋体" w:cs="Times New Roman"/>
          <w:szCs w:val="21"/>
        </w:rPr>
      </w:pPr>
      <w:r>
        <w:rPr>
          <w:rFonts w:hint="eastAsia" w:ascii="宋体" w:hAnsi="宋体" w:eastAsia="宋体" w:cs="Times New Roman"/>
          <w:szCs w:val="21"/>
        </w:rPr>
        <w:t>2、投标人是联合体的，联合体各成员均应在“授权委托书”上盖章（电子签名</w:t>
      </w:r>
      <w:r>
        <w:rPr>
          <w:rFonts w:ascii="宋体" w:hAnsi="宋体" w:eastAsia="宋体" w:cs="Times New Roman"/>
          <w:szCs w:val="21"/>
        </w:rPr>
        <w:t>/公章）</w:t>
      </w:r>
      <w:r>
        <w:rPr>
          <w:rFonts w:hint="eastAsia" w:ascii="宋体" w:hAnsi="宋体" w:eastAsia="宋体" w:cs="Times New Roman"/>
          <w:szCs w:val="21"/>
        </w:rPr>
        <w:t>。</w:t>
      </w:r>
    </w:p>
    <w:p w14:paraId="64B89C58">
      <w:pPr>
        <w:adjustRightInd w:val="0"/>
        <w:snapToGrid w:val="0"/>
        <w:spacing w:line="288" w:lineRule="auto"/>
        <w:rPr>
          <w:rFonts w:hint="eastAsia" w:ascii="宋体" w:hAnsi="宋体" w:eastAsia="宋体" w:cs="Times New Roman"/>
          <w:szCs w:val="21"/>
        </w:rPr>
      </w:pPr>
    </w:p>
    <w:p w14:paraId="1952D462">
      <w:pPr>
        <w:adjustRightInd w:val="0"/>
        <w:snapToGrid w:val="0"/>
        <w:spacing w:line="288" w:lineRule="auto"/>
        <w:rPr>
          <w:rFonts w:hint="eastAsia" w:ascii="宋体" w:hAnsi="宋体" w:eastAsia="宋体" w:cs="Times New Roman"/>
          <w:szCs w:val="21"/>
        </w:rPr>
      </w:pPr>
    </w:p>
    <w:p w14:paraId="19AA631C">
      <w:pPr>
        <w:adjustRightInd w:val="0"/>
        <w:snapToGrid w:val="0"/>
        <w:spacing w:line="288" w:lineRule="auto"/>
        <w:jc w:val="center"/>
        <w:outlineLvl w:val="2"/>
        <w:rPr>
          <w:rFonts w:hint="eastAsia" w:ascii="宋体" w:hAnsi="宋体" w:eastAsia="宋体" w:cs="Times New Roman"/>
          <w:b/>
          <w:bCs/>
          <w:spacing w:val="-6"/>
          <w:szCs w:val="21"/>
        </w:rPr>
      </w:pPr>
      <w:r>
        <w:rPr>
          <w:rFonts w:hint="eastAsia" w:ascii="宋体" w:hAnsi="宋体" w:eastAsia="宋体" w:cs="Times New Roman"/>
          <w:b/>
          <w:bCs/>
          <w:szCs w:val="21"/>
        </w:rPr>
        <w:t>（2）法定代表人（单位负责人、自然人本人）</w:t>
      </w:r>
      <w:r>
        <w:rPr>
          <w:rFonts w:hint="eastAsia" w:ascii="宋体" w:hAnsi="宋体" w:eastAsia="宋体" w:cs="Times New Roman"/>
          <w:b/>
          <w:bCs/>
          <w:spacing w:val="-6"/>
          <w:szCs w:val="21"/>
        </w:rPr>
        <w:t>身份证明</w:t>
      </w:r>
    </w:p>
    <w:p w14:paraId="38A8E2CB">
      <w:pPr>
        <w:adjustRightInd w:val="0"/>
        <w:snapToGrid w:val="0"/>
        <w:spacing w:line="288" w:lineRule="auto"/>
        <w:ind w:firstLine="495" w:firstLineChars="236"/>
        <w:jc w:val="center"/>
        <w:rPr>
          <w:rFonts w:hint="eastAsia" w:ascii="宋体" w:hAnsi="宋体" w:eastAsia="宋体" w:cs="Times New Roman"/>
          <w:szCs w:val="21"/>
        </w:rPr>
      </w:pPr>
      <w:r>
        <w:rPr>
          <w:rFonts w:hint="eastAsia" w:ascii="宋体" w:hAnsi="宋体" w:eastAsia="宋体" w:cs="Times New Roman"/>
          <w:szCs w:val="21"/>
        </w:rPr>
        <w:t>（适用于：法定代表人（单位负责人、自然人本人）</w:t>
      </w:r>
      <w:r>
        <w:rPr>
          <w:rFonts w:hint="eastAsia" w:ascii="宋体" w:hAnsi="宋体" w:eastAsia="宋体" w:cs="Times New Roman"/>
          <w:spacing w:val="-6"/>
          <w:szCs w:val="21"/>
        </w:rPr>
        <w:t>代表投标人参加投标</w:t>
      </w:r>
      <w:r>
        <w:rPr>
          <w:rFonts w:hint="eastAsia" w:ascii="宋体" w:hAnsi="宋体" w:eastAsia="宋体" w:cs="Times New Roman"/>
          <w:szCs w:val="21"/>
        </w:rPr>
        <w:t>）</w:t>
      </w:r>
    </w:p>
    <w:p w14:paraId="4211535F">
      <w:pPr>
        <w:adjustRightInd w:val="0"/>
        <w:snapToGrid w:val="0"/>
        <w:spacing w:line="288" w:lineRule="auto"/>
        <w:jc w:val="left"/>
        <w:rPr>
          <w:rFonts w:hint="eastAsia" w:ascii="宋体" w:hAnsi="宋体" w:eastAsia="宋体" w:cs="Times New Roman"/>
          <w:szCs w:val="21"/>
        </w:rPr>
      </w:pPr>
      <w:r>
        <w:rPr>
          <w:rFonts w:hint="eastAsia" w:ascii="宋体" w:hAnsi="宋体" w:eastAsia="宋体" w:cs="宋体"/>
          <w:bCs/>
          <w:szCs w:val="21"/>
        </w:rPr>
        <w:t>身份证件复印件</w:t>
      </w:r>
    </w:p>
    <w:tbl>
      <w:tblPr>
        <w:tblStyle w:val="10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6A3C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14:paraId="2DB8443F">
            <w:pPr>
              <w:adjustRightInd w:val="0"/>
              <w:snapToGrid w:val="0"/>
              <w:spacing w:line="288" w:lineRule="auto"/>
              <w:rPr>
                <w:rFonts w:hint="eastAsia" w:ascii="宋体" w:hAnsi="宋体" w:eastAsia="宋体" w:cs="宋体"/>
                <w:bCs/>
                <w:szCs w:val="21"/>
              </w:rPr>
            </w:pPr>
            <w:r>
              <w:rPr>
                <w:rFonts w:hint="eastAsia" w:ascii="宋体" w:hAnsi="宋体" w:eastAsia="宋体" w:cs="宋体"/>
                <w:bCs/>
                <w:szCs w:val="21"/>
              </w:rPr>
              <w:t>正面：</w:t>
            </w:r>
          </w:p>
        </w:tc>
        <w:tc>
          <w:tcPr>
            <w:tcW w:w="4951" w:type="dxa"/>
          </w:tcPr>
          <w:p w14:paraId="111EEB79">
            <w:pPr>
              <w:adjustRightInd w:val="0"/>
              <w:snapToGrid w:val="0"/>
              <w:spacing w:line="288" w:lineRule="auto"/>
              <w:rPr>
                <w:rFonts w:hint="eastAsia" w:ascii="宋体" w:hAnsi="宋体" w:eastAsia="宋体" w:cs="宋体"/>
                <w:bCs/>
                <w:szCs w:val="21"/>
              </w:rPr>
            </w:pPr>
            <w:r>
              <w:rPr>
                <w:rFonts w:hint="eastAsia" w:ascii="宋体" w:hAnsi="宋体" w:eastAsia="宋体" w:cs="宋体"/>
                <w:bCs/>
                <w:szCs w:val="21"/>
              </w:rPr>
              <w:t>反面：</w:t>
            </w:r>
          </w:p>
        </w:tc>
      </w:tr>
    </w:tbl>
    <w:p w14:paraId="234F9104">
      <w:pPr>
        <w:adjustRightInd w:val="0"/>
        <w:snapToGrid w:val="0"/>
        <w:spacing w:line="288" w:lineRule="auto"/>
        <w:rPr>
          <w:rFonts w:ascii="Times New Roman" w:hAnsi="Times New Roman" w:eastAsia="宋体" w:cs="Times New Roman"/>
          <w:szCs w:val="21"/>
        </w:rPr>
      </w:pPr>
    </w:p>
    <w:p w14:paraId="3E7B011F">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14:paraId="0FE6E4B9">
      <w:pPr>
        <w:adjustRightInd w:val="0"/>
        <w:snapToGrid w:val="0"/>
        <w:spacing w:line="288" w:lineRule="auto"/>
        <w:jc w:val="left"/>
        <w:outlineLvl w:val="2"/>
        <w:rPr>
          <w:rFonts w:hint="eastAsia" w:ascii="宋体" w:hAnsi="宋体" w:eastAsia="宋体" w:cs="Times New Roman"/>
          <w:b/>
          <w:bCs/>
          <w:szCs w:val="21"/>
        </w:rPr>
      </w:pPr>
      <w:r>
        <w:rPr>
          <w:rFonts w:hint="eastAsia" w:ascii="宋体" w:hAnsi="宋体" w:eastAsia="宋体" w:cs="Times New Roman"/>
          <w:b/>
          <w:bCs/>
          <w:szCs w:val="21"/>
        </w:rPr>
        <w:t>附：授权代表社保缴纳证明（2024年6月（含）以后任意一月）</w:t>
      </w:r>
    </w:p>
    <w:p w14:paraId="27E1343F">
      <w:pPr>
        <w:rPr>
          <w:rFonts w:ascii="Times New Roman" w:hAnsi="Times New Roman" w:eastAsia="宋体" w:cs="Times New Roman"/>
          <w:szCs w:val="21"/>
        </w:rPr>
      </w:pPr>
    </w:p>
    <w:p w14:paraId="059E20B8">
      <w:pPr>
        <w:adjustRightInd w:val="0"/>
        <w:snapToGrid w:val="0"/>
        <w:spacing w:line="288" w:lineRule="auto"/>
        <w:jc w:val="center"/>
        <w:rPr>
          <w:rFonts w:hint="eastAsia" w:ascii="宋体" w:hAnsi="宋体" w:eastAsia="宋体" w:cs="Times New Roman"/>
          <w:b/>
          <w:spacing w:val="-6"/>
          <w:szCs w:val="21"/>
        </w:rPr>
      </w:pPr>
      <w:r>
        <w:rPr>
          <w:rFonts w:ascii="宋体" w:hAnsi="宋体" w:eastAsia="宋体" w:cs="Times New Roman"/>
          <w:b/>
          <w:spacing w:val="-6"/>
          <w:szCs w:val="21"/>
        </w:rPr>
        <w:br w:type="page"/>
      </w:r>
    </w:p>
    <w:p w14:paraId="1E59DF6E">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3</w:t>
      </w:r>
      <w:r>
        <w:rPr>
          <w:rFonts w:hint="eastAsia" w:ascii="宋体" w:hAnsi="宋体" w:eastAsia="宋体" w:cs="宋体"/>
          <w:b/>
          <w:spacing w:val="-6"/>
          <w:szCs w:val="21"/>
        </w:rPr>
        <w:t>）投标人同类合同一览表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6B7F7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8DD355B">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5954DF5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采购人</w:t>
            </w:r>
          </w:p>
        </w:tc>
        <w:tc>
          <w:tcPr>
            <w:tcW w:w="1441" w:type="dxa"/>
            <w:tcBorders>
              <w:top w:val="single" w:color="auto" w:sz="4" w:space="0"/>
              <w:left w:val="single" w:color="auto" w:sz="4" w:space="0"/>
              <w:bottom w:val="single" w:color="auto" w:sz="4" w:space="0"/>
              <w:right w:val="single" w:color="auto" w:sz="4" w:space="0"/>
            </w:tcBorders>
            <w:vAlign w:val="center"/>
          </w:tcPr>
          <w:p w14:paraId="2807F8A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54D9CF9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42FCC56B">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合同金额</w:t>
            </w:r>
          </w:p>
          <w:p w14:paraId="762E683E">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6D62129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666F7B9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5DE49F1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采购人联系人</w:t>
            </w:r>
          </w:p>
          <w:p w14:paraId="26B7929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联系方式</w:t>
            </w:r>
          </w:p>
        </w:tc>
      </w:tr>
      <w:tr w14:paraId="31BB4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47484F6">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551D9686">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6B24859E">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7326F0A9">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37EB83BF">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612A1612">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269D88A8">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04905FE3">
            <w:pPr>
              <w:adjustRightInd w:val="0"/>
              <w:snapToGrid w:val="0"/>
              <w:spacing w:line="288" w:lineRule="auto"/>
              <w:rPr>
                <w:rFonts w:hint="eastAsia" w:ascii="宋体" w:hAnsi="宋体" w:eastAsia="宋体" w:cs="宋体"/>
                <w:b/>
                <w:bCs/>
                <w:szCs w:val="21"/>
              </w:rPr>
            </w:pPr>
          </w:p>
        </w:tc>
      </w:tr>
      <w:tr w14:paraId="7FAA9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97482D4">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05CBF568">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7C9249F4">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132C182B">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1DA7ED49">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4E46BDD2">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0AECF2E4">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3F2EC0E3">
            <w:pPr>
              <w:adjustRightInd w:val="0"/>
              <w:snapToGrid w:val="0"/>
              <w:spacing w:line="288" w:lineRule="auto"/>
              <w:rPr>
                <w:rFonts w:hint="eastAsia" w:ascii="宋体" w:hAnsi="宋体" w:eastAsia="宋体" w:cs="宋体"/>
                <w:b/>
                <w:bCs/>
                <w:szCs w:val="21"/>
              </w:rPr>
            </w:pPr>
          </w:p>
        </w:tc>
      </w:tr>
      <w:tr w14:paraId="55522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E6874F1">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185B1134">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78AFAE96">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06C9A143">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003C490E">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23CB5D07">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BBC9F33">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1E343E99">
            <w:pPr>
              <w:adjustRightInd w:val="0"/>
              <w:snapToGrid w:val="0"/>
              <w:spacing w:line="288" w:lineRule="auto"/>
              <w:rPr>
                <w:rFonts w:hint="eastAsia" w:ascii="宋体" w:hAnsi="宋体" w:eastAsia="宋体" w:cs="宋体"/>
                <w:b/>
                <w:bCs/>
                <w:szCs w:val="21"/>
              </w:rPr>
            </w:pPr>
          </w:p>
        </w:tc>
      </w:tr>
      <w:tr w14:paraId="31827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C12F7B9">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0EB65AF0">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04CB5DCB">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08D9D57E">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27E004B6">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58218DF6">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1A4FFA06">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093781FD">
            <w:pPr>
              <w:adjustRightInd w:val="0"/>
              <w:snapToGrid w:val="0"/>
              <w:spacing w:line="288" w:lineRule="auto"/>
              <w:rPr>
                <w:rFonts w:hint="eastAsia" w:ascii="宋体" w:hAnsi="宋体" w:eastAsia="宋体" w:cs="宋体"/>
                <w:b/>
                <w:bCs/>
                <w:szCs w:val="21"/>
              </w:rPr>
            </w:pPr>
          </w:p>
        </w:tc>
      </w:tr>
      <w:tr w14:paraId="5B3E0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5225F32">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42AAF24E">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331E7EF7">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33F9A166">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0AB18D77">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588CC5AD">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2B886793">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tcPr>
          <w:p w14:paraId="2AFA3132">
            <w:pPr>
              <w:adjustRightInd w:val="0"/>
              <w:snapToGrid w:val="0"/>
              <w:spacing w:line="288" w:lineRule="auto"/>
              <w:rPr>
                <w:rFonts w:hint="eastAsia" w:ascii="宋体" w:hAnsi="宋体" w:eastAsia="宋体" w:cs="宋体"/>
                <w:b/>
                <w:bCs/>
                <w:szCs w:val="21"/>
              </w:rPr>
            </w:pPr>
          </w:p>
        </w:tc>
      </w:tr>
    </w:tbl>
    <w:p w14:paraId="759ADD05">
      <w:pPr>
        <w:adjustRightInd w:val="0"/>
        <w:snapToGrid w:val="0"/>
        <w:spacing w:line="288" w:lineRule="auto"/>
        <w:rPr>
          <w:rFonts w:hint="eastAsia" w:ascii="宋体" w:hAnsi="宋体" w:eastAsia="宋体" w:cs="Times New Roman"/>
          <w:szCs w:val="21"/>
        </w:rPr>
      </w:pPr>
    </w:p>
    <w:p w14:paraId="511E0F9D">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说明：</w:t>
      </w:r>
    </w:p>
    <w:p w14:paraId="0949CB30">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投标人须提供上述业绩合同扫描件；</w:t>
      </w:r>
    </w:p>
    <w:p w14:paraId="6F04990C">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所有合同扫描件应清晰，应能体现合同签订时间、双方签名盖章等内容；</w:t>
      </w:r>
    </w:p>
    <w:p w14:paraId="1E704C6F">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w:t>
      </w:r>
      <w:r>
        <w:rPr>
          <w:rFonts w:hint="eastAsia" w:ascii="宋体" w:hAnsi="宋体" w:eastAsia="宋体" w:cs="Times New Roman"/>
          <w:b/>
          <w:spacing w:val="-6"/>
          <w:szCs w:val="21"/>
        </w:rPr>
        <w:t>投标人应在不涉及商业秘密的前提下尽可能提供详细的合同扫描件内容。</w:t>
      </w:r>
    </w:p>
    <w:p w14:paraId="55310787">
      <w:pPr>
        <w:adjustRightInd w:val="0"/>
        <w:snapToGrid w:val="0"/>
        <w:spacing w:line="288" w:lineRule="auto"/>
        <w:rPr>
          <w:rFonts w:hint="eastAsia" w:ascii="宋体" w:hAnsi="宋体" w:eastAsia="宋体" w:cs="Times New Roman"/>
          <w:spacing w:val="-6"/>
          <w:szCs w:val="21"/>
        </w:rPr>
      </w:pPr>
    </w:p>
    <w:p w14:paraId="54FAB1A4">
      <w:pPr>
        <w:adjustRightInd w:val="0"/>
        <w:snapToGrid w:val="0"/>
        <w:spacing w:line="288" w:lineRule="auto"/>
        <w:rPr>
          <w:rFonts w:hint="eastAsia" w:ascii="宋体" w:hAnsi="宋体" w:eastAsia="宋体" w:cs="Times New Roman"/>
          <w:spacing w:val="-6"/>
          <w:szCs w:val="21"/>
        </w:rPr>
      </w:pPr>
    </w:p>
    <w:p w14:paraId="307DB420">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6173F768">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38E72B12">
      <w:pPr>
        <w:adjustRightInd w:val="0"/>
        <w:snapToGrid w:val="0"/>
        <w:spacing w:line="288" w:lineRule="auto"/>
        <w:jc w:val="center"/>
        <w:rPr>
          <w:rFonts w:hint="eastAsia" w:ascii="宋体" w:hAnsi="宋体" w:eastAsia="宋体" w:cs="Times New Roman"/>
          <w:b/>
          <w:szCs w:val="21"/>
        </w:rPr>
      </w:pPr>
      <w:r>
        <w:rPr>
          <w:rFonts w:hint="eastAsia" w:ascii="宋体" w:hAnsi="宋体" w:eastAsia="宋体" w:cs="Times New Roman"/>
          <w:spacing w:val="-6"/>
          <w:szCs w:val="21"/>
        </w:rPr>
        <w:br w:type="page"/>
      </w:r>
    </w:p>
    <w:p w14:paraId="176C26A9">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）采购需求偏离表</w:t>
      </w:r>
    </w:p>
    <w:p w14:paraId="2B13E20F">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采 购 人：浙江工商大学</w:t>
      </w:r>
    </w:p>
    <w:p w14:paraId="34D429EC">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项目名称：浙江工商大学未来营养健康与共同富裕计算设备更新-共同富裕计算设备（第一批）</w:t>
      </w:r>
    </w:p>
    <w:p w14:paraId="4A591FB8">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项目编号：QSZB-Z(H)-C24374(GK)</w:t>
      </w:r>
    </w:p>
    <w:p w14:paraId="5822BFA4">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标    项：</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14:paraId="0384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481EE2B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4254" w:type="dxa"/>
            <w:tcBorders>
              <w:top w:val="single" w:color="auto" w:sz="4" w:space="0"/>
              <w:left w:val="single" w:color="auto" w:sz="4" w:space="0"/>
              <w:bottom w:val="single" w:color="auto" w:sz="4" w:space="0"/>
              <w:right w:val="single" w:color="auto" w:sz="4" w:space="0"/>
            </w:tcBorders>
            <w:vAlign w:val="center"/>
          </w:tcPr>
          <w:p w14:paraId="63EBCAF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14:paraId="67D71D3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14:paraId="4288572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是否偏离（提供说明）</w:t>
            </w:r>
          </w:p>
        </w:tc>
      </w:tr>
      <w:tr w14:paraId="1B8A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1823413D">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采购资金的支付方式、时间、条件</w:t>
            </w:r>
          </w:p>
        </w:tc>
      </w:tr>
      <w:tr w14:paraId="57FA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A391C6C">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4254" w:type="dxa"/>
            <w:vAlign w:val="center"/>
          </w:tcPr>
          <w:p w14:paraId="6C042663">
            <w:pPr>
              <w:adjustRightInd w:val="0"/>
              <w:snapToGrid w:val="0"/>
              <w:spacing w:line="288" w:lineRule="auto"/>
              <w:rPr>
                <w:rFonts w:hint="eastAsia" w:ascii="宋体" w:hAnsi="宋体" w:eastAsia="宋体" w:cs="宋体"/>
                <w:szCs w:val="21"/>
              </w:rPr>
            </w:pPr>
          </w:p>
        </w:tc>
        <w:tc>
          <w:tcPr>
            <w:tcW w:w="2574" w:type="dxa"/>
            <w:vAlign w:val="center"/>
          </w:tcPr>
          <w:p w14:paraId="764184EB">
            <w:pPr>
              <w:adjustRightInd w:val="0"/>
              <w:snapToGrid w:val="0"/>
              <w:spacing w:line="288" w:lineRule="auto"/>
              <w:rPr>
                <w:rFonts w:hint="eastAsia" w:ascii="宋体" w:hAnsi="宋体" w:eastAsia="宋体" w:cs="宋体"/>
                <w:szCs w:val="21"/>
              </w:rPr>
            </w:pPr>
          </w:p>
        </w:tc>
        <w:tc>
          <w:tcPr>
            <w:tcW w:w="2124" w:type="dxa"/>
            <w:vAlign w:val="center"/>
          </w:tcPr>
          <w:p w14:paraId="4A952D5F">
            <w:pPr>
              <w:adjustRightInd w:val="0"/>
              <w:snapToGrid w:val="0"/>
              <w:spacing w:line="288" w:lineRule="auto"/>
              <w:rPr>
                <w:rFonts w:hint="eastAsia" w:ascii="宋体" w:hAnsi="宋体" w:eastAsia="宋体" w:cs="宋体"/>
                <w:szCs w:val="21"/>
              </w:rPr>
            </w:pPr>
          </w:p>
        </w:tc>
      </w:tr>
      <w:tr w14:paraId="4183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3E69178A">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4254" w:type="dxa"/>
            <w:vAlign w:val="center"/>
          </w:tcPr>
          <w:p w14:paraId="60B8DC3A">
            <w:pPr>
              <w:adjustRightInd w:val="0"/>
              <w:snapToGrid w:val="0"/>
              <w:spacing w:line="288" w:lineRule="auto"/>
              <w:rPr>
                <w:rFonts w:hint="eastAsia" w:ascii="宋体" w:hAnsi="宋体" w:eastAsia="宋体" w:cs="宋体"/>
                <w:szCs w:val="21"/>
              </w:rPr>
            </w:pPr>
          </w:p>
        </w:tc>
        <w:tc>
          <w:tcPr>
            <w:tcW w:w="2574" w:type="dxa"/>
            <w:vAlign w:val="center"/>
          </w:tcPr>
          <w:p w14:paraId="2EE587C5">
            <w:pPr>
              <w:adjustRightInd w:val="0"/>
              <w:snapToGrid w:val="0"/>
              <w:spacing w:line="288" w:lineRule="auto"/>
              <w:rPr>
                <w:rFonts w:hint="eastAsia" w:ascii="宋体" w:hAnsi="宋体" w:eastAsia="宋体" w:cs="宋体"/>
                <w:szCs w:val="21"/>
              </w:rPr>
            </w:pPr>
          </w:p>
        </w:tc>
        <w:tc>
          <w:tcPr>
            <w:tcW w:w="2124" w:type="dxa"/>
            <w:vAlign w:val="center"/>
          </w:tcPr>
          <w:p w14:paraId="36965D38">
            <w:pPr>
              <w:adjustRightInd w:val="0"/>
              <w:snapToGrid w:val="0"/>
              <w:spacing w:line="288" w:lineRule="auto"/>
              <w:rPr>
                <w:rFonts w:hint="eastAsia" w:ascii="宋体" w:hAnsi="宋体" w:eastAsia="宋体" w:cs="宋体"/>
                <w:szCs w:val="21"/>
              </w:rPr>
            </w:pPr>
          </w:p>
        </w:tc>
      </w:tr>
      <w:tr w14:paraId="40BB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9AC13C6">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w:t>
            </w:r>
          </w:p>
        </w:tc>
        <w:tc>
          <w:tcPr>
            <w:tcW w:w="4254" w:type="dxa"/>
            <w:vAlign w:val="center"/>
          </w:tcPr>
          <w:p w14:paraId="397F6BF2">
            <w:pPr>
              <w:adjustRightInd w:val="0"/>
              <w:snapToGrid w:val="0"/>
              <w:spacing w:line="288" w:lineRule="auto"/>
              <w:rPr>
                <w:rFonts w:hint="eastAsia" w:ascii="宋体" w:hAnsi="宋体" w:eastAsia="宋体" w:cs="宋体"/>
                <w:szCs w:val="21"/>
              </w:rPr>
            </w:pPr>
          </w:p>
        </w:tc>
        <w:tc>
          <w:tcPr>
            <w:tcW w:w="2574" w:type="dxa"/>
            <w:vAlign w:val="center"/>
          </w:tcPr>
          <w:p w14:paraId="685CF4A9">
            <w:pPr>
              <w:adjustRightInd w:val="0"/>
              <w:snapToGrid w:val="0"/>
              <w:spacing w:line="288" w:lineRule="auto"/>
              <w:rPr>
                <w:rFonts w:hint="eastAsia" w:ascii="宋体" w:hAnsi="宋体" w:eastAsia="宋体" w:cs="宋体"/>
                <w:szCs w:val="21"/>
              </w:rPr>
            </w:pPr>
          </w:p>
        </w:tc>
        <w:tc>
          <w:tcPr>
            <w:tcW w:w="2124" w:type="dxa"/>
            <w:vAlign w:val="center"/>
          </w:tcPr>
          <w:p w14:paraId="5122D7C0">
            <w:pPr>
              <w:adjustRightInd w:val="0"/>
              <w:snapToGrid w:val="0"/>
              <w:spacing w:line="288" w:lineRule="auto"/>
              <w:rPr>
                <w:rFonts w:hint="eastAsia" w:ascii="宋体" w:hAnsi="宋体" w:eastAsia="宋体" w:cs="宋体"/>
                <w:szCs w:val="21"/>
              </w:rPr>
            </w:pPr>
          </w:p>
        </w:tc>
      </w:tr>
      <w:tr w14:paraId="02B5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00561D7A">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服务要求</w:t>
            </w:r>
          </w:p>
        </w:tc>
      </w:tr>
      <w:tr w14:paraId="1713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61975CA">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4254" w:type="dxa"/>
            <w:vAlign w:val="center"/>
          </w:tcPr>
          <w:p w14:paraId="19C884CA">
            <w:pPr>
              <w:adjustRightInd w:val="0"/>
              <w:snapToGrid w:val="0"/>
              <w:spacing w:line="288" w:lineRule="auto"/>
              <w:jc w:val="left"/>
              <w:rPr>
                <w:rFonts w:hint="eastAsia" w:ascii="宋体" w:hAnsi="宋体" w:eastAsia="宋体" w:cs="宋体"/>
                <w:szCs w:val="21"/>
              </w:rPr>
            </w:pPr>
          </w:p>
        </w:tc>
        <w:tc>
          <w:tcPr>
            <w:tcW w:w="2574" w:type="dxa"/>
            <w:vAlign w:val="center"/>
          </w:tcPr>
          <w:p w14:paraId="3C9AF8BC">
            <w:pPr>
              <w:adjustRightInd w:val="0"/>
              <w:snapToGrid w:val="0"/>
              <w:spacing w:line="288" w:lineRule="auto"/>
              <w:jc w:val="left"/>
              <w:rPr>
                <w:rFonts w:hint="eastAsia" w:ascii="宋体" w:hAnsi="宋体" w:eastAsia="宋体" w:cs="宋体"/>
                <w:szCs w:val="21"/>
              </w:rPr>
            </w:pPr>
          </w:p>
        </w:tc>
        <w:tc>
          <w:tcPr>
            <w:tcW w:w="2124" w:type="dxa"/>
            <w:vAlign w:val="center"/>
          </w:tcPr>
          <w:p w14:paraId="20452119">
            <w:pPr>
              <w:adjustRightInd w:val="0"/>
              <w:snapToGrid w:val="0"/>
              <w:spacing w:line="288" w:lineRule="auto"/>
              <w:jc w:val="left"/>
              <w:rPr>
                <w:rFonts w:hint="eastAsia" w:ascii="宋体" w:hAnsi="宋体" w:eastAsia="宋体" w:cs="宋体"/>
                <w:szCs w:val="21"/>
              </w:rPr>
            </w:pPr>
          </w:p>
        </w:tc>
      </w:tr>
      <w:tr w14:paraId="2928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6254D3F8">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4254" w:type="dxa"/>
            <w:vAlign w:val="center"/>
          </w:tcPr>
          <w:p w14:paraId="6B54BF3C">
            <w:pPr>
              <w:adjustRightInd w:val="0"/>
              <w:snapToGrid w:val="0"/>
              <w:spacing w:line="288" w:lineRule="auto"/>
              <w:jc w:val="left"/>
              <w:rPr>
                <w:rFonts w:hint="eastAsia" w:ascii="宋体" w:hAnsi="宋体" w:eastAsia="宋体" w:cs="宋体"/>
                <w:szCs w:val="21"/>
              </w:rPr>
            </w:pPr>
          </w:p>
        </w:tc>
        <w:tc>
          <w:tcPr>
            <w:tcW w:w="2574" w:type="dxa"/>
            <w:vAlign w:val="center"/>
          </w:tcPr>
          <w:p w14:paraId="2D396173">
            <w:pPr>
              <w:adjustRightInd w:val="0"/>
              <w:snapToGrid w:val="0"/>
              <w:spacing w:line="288" w:lineRule="auto"/>
              <w:jc w:val="left"/>
              <w:rPr>
                <w:rFonts w:hint="eastAsia" w:ascii="宋体" w:hAnsi="宋体" w:eastAsia="宋体" w:cs="宋体"/>
                <w:szCs w:val="21"/>
              </w:rPr>
            </w:pPr>
          </w:p>
        </w:tc>
        <w:tc>
          <w:tcPr>
            <w:tcW w:w="2124" w:type="dxa"/>
            <w:vAlign w:val="center"/>
          </w:tcPr>
          <w:p w14:paraId="0D5C4DF9">
            <w:pPr>
              <w:adjustRightInd w:val="0"/>
              <w:snapToGrid w:val="0"/>
              <w:spacing w:line="288" w:lineRule="auto"/>
              <w:jc w:val="left"/>
              <w:rPr>
                <w:rFonts w:hint="eastAsia" w:ascii="宋体" w:hAnsi="宋体" w:eastAsia="宋体" w:cs="宋体"/>
                <w:szCs w:val="21"/>
              </w:rPr>
            </w:pPr>
          </w:p>
        </w:tc>
      </w:tr>
      <w:tr w14:paraId="03C4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1246BB6">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w:t>
            </w:r>
          </w:p>
        </w:tc>
        <w:tc>
          <w:tcPr>
            <w:tcW w:w="4254" w:type="dxa"/>
            <w:vAlign w:val="center"/>
          </w:tcPr>
          <w:p w14:paraId="6D44DC1D">
            <w:pPr>
              <w:adjustRightInd w:val="0"/>
              <w:snapToGrid w:val="0"/>
              <w:spacing w:line="288" w:lineRule="auto"/>
              <w:jc w:val="left"/>
              <w:rPr>
                <w:rFonts w:hint="eastAsia" w:ascii="宋体" w:hAnsi="宋体" w:eastAsia="宋体" w:cs="宋体"/>
                <w:szCs w:val="21"/>
              </w:rPr>
            </w:pPr>
          </w:p>
        </w:tc>
        <w:tc>
          <w:tcPr>
            <w:tcW w:w="2574" w:type="dxa"/>
            <w:vAlign w:val="center"/>
          </w:tcPr>
          <w:p w14:paraId="05BD2AD1">
            <w:pPr>
              <w:adjustRightInd w:val="0"/>
              <w:snapToGrid w:val="0"/>
              <w:spacing w:line="288" w:lineRule="auto"/>
              <w:jc w:val="left"/>
              <w:rPr>
                <w:rFonts w:hint="eastAsia" w:ascii="宋体" w:hAnsi="宋体" w:eastAsia="宋体" w:cs="宋体"/>
                <w:szCs w:val="21"/>
              </w:rPr>
            </w:pPr>
          </w:p>
        </w:tc>
        <w:tc>
          <w:tcPr>
            <w:tcW w:w="2124" w:type="dxa"/>
            <w:vAlign w:val="center"/>
          </w:tcPr>
          <w:p w14:paraId="452050B1">
            <w:pPr>
              <w:adjustRightInd w:val="0"/>
              <w:snapToGrid w:val="0"/>
              <w:spacing w:line="288" w:lineRule="auto"/>
              <w:jc w:val="left"/>
              <w:rPr>
                <w:rFonts w:hint="eastAsia" w:ascii="宋体" w:hAnsi="宋体" w:eastAsia="宋体" w:cs="宋体"/>
                <w:szCs w:val="21"/>
              </w:rPr>
            </w:pPr>
          </w:p>
        </w:tc>
      </w:tr>
      <w:tr w14:paraId="2E72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23D7F230">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技术要求</w:t>
            </w:r>
          </w:p>
        </w:tc>
      </w:tr>
      <w:tr w14:paraId="3C64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AB15C8C">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4254" w:type="dxa"/>
            <w:vAlign w:val="center"/>
          </w:tcPr>
          <w:p w14:paraId="51381BC2">
            <w:pPr>
              <w:adjustRightInd w:val="0"/>
              <w:snapToGrid w:val="0"/>
              <w:spacing w:line="288" w:lineRule="auto"/>
              <w:rPr>
                <w:rFonts w:hint="eastAsia" w:ascii="宋体" w:hAnsi="宋体" w:eastAsia="宋体" w:cs="宋体"/>
                <w:szCs w:val="21"/>
              </w:rPr>
            </w:pPr>
          </w:p>
        </w:tc>
        <w:tc>
          <w:tcPr>
            <w:tcW w:w="2574" w:type="dxa"/>
            <w:vAlign w:val="center"/>
          </w:tcPr>
          <w:p w14:paraId="708DC474">
            <w:pPr>
              <w:adjustRightInd w:val="0"/>
              <w:snapToGrid w:val="0"/>
              <w:spacing w:line="288" w:lineRule="auto"/>
              <w:rPr>
                <w:rFonts w:hint="eastAsia" w:ascii="宋体" w:hAnsi="宋体" w:eastAsia="宋体" w:cs="宋体"/>
                <w:szCs w:val="21"/>
              </w:rPr>
            </w:pPr>
          </w:p>
        </w:tc>
        <w:tc>
          <w:tcPr>
            <w:tcW w:w="2124" w:type="dxa"/>
            <w:vAlign w:val="center"/>
          </w:tcPr>
          <w:p w14:paraId="09B69453">
            <w:pPr>
              <w:adjustRightInd w:val="0"/>
              <w:snapToGrid w:val="0"/>
              <w:spacing w:line="288" w:lineRule="auto"/>
              <w:rPr>
                <w:rFonts w:hint="eastAsia" w:ascii="宋体" w:hAnsi="宋体" w:eastAsia="宋体" w:cs="宋体"/>
                <w:szCs w:val="21"/>
              </w:rPr>
            </w:pPr>
          </w:p>
        </w:tc>
      </w:tr>
      <w:tr w14:paraId="3956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56A64EC">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4254" w:type="dxa"/>
            <w:vAlign w:val="center"/>
          </w:tcPr>
          <w:p w14:paraId="5DAE75D8">
            <w:pPr>
              <w:adjustRightInd w:val="0"/>
              <w:snapToGrid w:val="0"/>
              <w:spacing w:line="288" w:lineRule="auto"/>
              <w:rPr>
                <w:rFonts w:hint="eastAsia" w:ascii="宋体" w:hAnsi="宋体" w:eastAsia="宋体" w:cs="宋体"/>
                <w:szCs w:val="21"/>
              </w:rPr>
            </w:pPr>
          </w:p>
        </w:tc>
        <w:tc>
          <w:tcPr>
            <w:tcW w:w="2574" w:type="dxa"/>
            <w:vAlign w:val="center"/>
          </w:tcPr>
          <w:p w14:paraId="08EBBD95">
            <w:pPr>
              <w:adjustRightInd w:val="0"/>
              <w:snapToGrid w:val="0"/>
              <w:spacing w:line="288" w:lineRule="auto"/>
              <w:rPr>
                <w:rFonts w:hint="eastAsia" w:ascii="宋体" w:hAnsi="宋体" w:eastAsia="宋体" w:cs="宋体"/>
                <w:szCs w:val="21"/>
              </w:rPr>
            </w:pPr>
          </w:p>
        </w:tc>
        <w:tc>
          <w:tcPr>
            <w:tcW w:w="2124" w:type="dxa"/>
            <w:vAlign w:val="center"/>
          </w:tcPr>
          <w:p w14:paraId="56D4B600">
            <w:pPr>
              <w:adjustRightInd w:val="0"/>
              <w:snapToGrid w:val="0"/>
              <w:spacing w:line="288" w:lineRule="auto"/>
              <w:rPr>
                <w:rFonts w:hint="eastAsia" w:ascii="宋体" w:hAnsi="宋体" w:eastAsia="宋体" w:cs="宋体"/>
                <w:szCs w:val="21"/>
              </w:rPr>
            </w:pPr>
          </w:p>
        </w:tc>
      </w:tr>
      <w:tr w14:paraId="5876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7A86DB3">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w:t>
            </w:r>
          </w:p>
        </w:tc>
        <w:tc>
          <w:tcPr>
            <w:tcW w:w="4254" w:type="dxa"/>
            <w:vAlign w:val="center"/>
          </w:tcPr>
          <w:p w14:paraId="73855539">
            <w:pPr>
              <w:adjustRightInd w:val="0"/>
              <w:snapToGrid w:val="0"/>
              <w:spacing w:line="288" w:lineRule="auto"/>
              <w:rPr>
                <w:rFonts w:hint="eastAsia" w:ascii="宋体" w:hAnsi="宋体" w:eastAsia="宋体" w:cs="宋体"/>
                <w:szCs w:val="21"/>
              </w:rPr>
            </w:pPr>
          </w:p>
        </w:tc>
        <w:tc>
          <w:tcPr>
            <w:tcW w:w="2574" w:type="dxa"/>
            <w:vAlign w:val="center"/>
          </w:tcPr>
          <w:p w14:paraId="5D236CCF">
            <w:pPr>
              <w:adjustRightInd w:val="0"/>
              <w:snapToGrid w:val="0"/>
              <w:spacing w:line="288" w:lineRule="auto"/>
              <w:rPr>
                <w:rFonts w:hint="eastAsia" w:ascii="宋体" w:hAnsi="宋体" w:eastAsia="宋体" w:cs="宋体"/>
                <w:szCs w:val="21"/>
              </w:rPr>
            </w:pPr>
          </w:p>
        </w:tc>
        <w:tc>
          <w:tcPr>
            <w:tcW w:w="2124" w:type="dxa"/>
            <w:vAlign w:val="center"/>
          </w:tcPr>
          <w:p w14:paraId="331219D7">
            <w:pPr>
              <w:adjustRightInd w:val="0"/>
              <w:snapToGrid w:val="0"/>
              <w:spacing w:line="288" w:lineRule="auto"/>
              <w:rPr>
                <w:rFonts w:hint="eastAsia" w:ascii="宋体" w:hAnsi="宋体" w:eastAsia="宋体" w:cs="宋体"/>
                <w:szCs w:val="21"/>
              </w:rPr>
            </w:pPr>
          </w:p>
        </w:tc>
      </w:tr>
    </w:tbl>
    <w:p w14:paraId="47118B7A">
      <w:pPr>
        <w:adjustRightInd w:val="0"/>
        <w:snapToGrid w:val="0"/>
        <w:spacing w:line="288" w:lineRule="auto"/>
        <w:rPr>
          <w:rFonts w:hint="eastAsia" w:ascii="宋体" w:hAnsi="宋体" w:eastAsia="宋体" w:cs="Times New Roman"/>
          <w:b/>
          <w:bCs/>
          <w:spacing w:val="-6"/>
          <w:szCs w:val="21"/>
        </w:rPr>
      </w:pPr>
    </w:p>
    <w:p w14:paraId="07208F8E">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说明：</w:t>
      </w:r>
    </w:p>
    <w:p w14:paraId="072FF1F6">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1</w:t>
      </w:r>
      <w:r>
        <w:rPr>
          <w:rFonts w:ascii="宋体" w:hAnsi="宋体" w:eastAsia="宋体" w:cs="Times New Roman"/>
          <w:b/>
          <w:bCs/>
          <w:spacing w:val="-6"/>
          <w:szCs w:val="21"/>
        </w:rPr>
        <w:t>.</w:t>
      </w:r>
      <w:r>
        <w:rPr>
          <w:rFonts w:hint="eastAsia" w:ascii="宋体" w:hAnsi="宋体" w:eastAsia="宋体" w:cs="Times New Roman"/>
          <w:b/>
          <w:bCs/>
          <w:spacing w:val="-6"/>
          <w:szCs w:val="21"/>
        </w:rPr>
        <w:t>逐项按照招标文件要求填写响应规格；</w:t>
      </w:r>
    </w:p>
    <w:p w14:paraId="556226C2">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偏离说明是指对招标文件要求存在不同之处的解释说明。偏离系指：正偏离（高于采购需求）、负偏离（低于采购需求）、无偏离（满足采购需求）；</w:t>
      </w:r>
    </w:p>
    <w:p w14:paraId="3175C9C1">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如不填写或未如实填写</w:t>
      </w:r>
      <w:r>
        <w:rPr>
          <w:rFonts w:hint="eastAsia" w:ascii="宋体" w:hAnsi="宋体" w:eastAsia="宋体" w:cs="Times New Roman"/>
          <w:b/>
          <w:spacing w:val="-6"/>
          <w:szCs w:val="21"/>
        </w:rPr>
        <w:t>，自行承担投标风险。</w:t>
      </w:r>
    </w:p>
    <w:p w14:paraId="0EC9AC76">
      <w:pPr>
        <w:adjustRightInd w:val="0"/>
        <w:snapToGrid w:val="0"/>
        <w:spacing w:line="288" w:lineRule="auto"/>
        <w:rPr>
          <w:rFonts w:hint="eastAsia" w:ascii="宋体" w:hAnsi="宋体" w:eastAsia="宋体" w:cs="Times New Roman"/>
          <w:spacing w:val="-6"/>
          <w:szCs w:val="21"/>
        </w:rPr>
      </w:pPr>
    </w:p>
    <w:p w14:paraId="69E9D8F2">
      <w:pPr>
        <w:adjustRightInd w:val="0"/>
        <w:snapToGrid w:val="0"/>
        <w:spacing w:line="288" w:lineRule="auto"/>
        <w:rPr>
          <w:rFonts w:hint="eastAsia" w:ascii="宋体" w:hAnsi="宋体" w:eastAsia="宋体" w:cs="Times New Roman"/>
          <w:spacing w:val="-6"/>
          <w:szCs w:val="21"/>
        </w:rPr>
      </w:pPr>
    </w:p>
    <w:p w14:paraId="4B34B0F4">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3F754FD7">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1284C4B9">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Times New Roman"/>
          <w:spacing w:val="-6"/>
          <w:szCs w:val="21"/>
        </w:rPr>
        <w:br w:type="page"/>
      </w:r>
      <w:r>
        <w:rPr>
          <w:rFonts w:hint="eastAsia" w:ascii="宋体" w:hAnsi="宋体" w:eastAsia="宋体" w:cs="宋体"/>
          <w:b/>
          <w:spacing w:val="-6"/>
          <w:szCs w:val="21"/>
        </w:rPr>
        <w:t>（</w:t>
      </w:r>
      <w:r>
        <w:rPr>
          <w:rFonts w:ascii="宋体" w:hAnsi="宋体" w:eastAsia="宋体" w:cs="宋体"/>
          <w:b/>
          <w:spacing w:val="-6"/>
          <w:szCs w:val="21"/>
        </w:rPr>
        <w:t>5</w:t>
      </w:r>
      <w:r>
        <w:rPr>
          <w:rFonts w:hint="eastAsia" w:ascii="宋体" w:hAnsi="宋体" w:eastAsia="宋体" w:cs="宋体"/>
          <w:b/>
          <w:spacing w:val="-6"/>
          <w:szCs w:val="21"/>
        </w:rPr>
        <w:t>）标的配置清单</w:t>
      </w:r>
      <w:r>
        <w:rPr>
          <w:rFonts w:hint="eastAsia" w:ascii="宋体" w:hAnsi="宋体" w:eastAsia="宋体" w:cs="宋体"/>
          <w:spacing w:val="-6"/>
          <w:szCs w:val="21"/>
        </w:rPr>
        <w:t>（不含报价）</w:t>
      </w:r>
    </w:p>
    <w:p w14:paraId="0A7BA9FA">
      <w:pPr>
        <w:adjustRightInd w:val="0"/>
        <w:snapToGrid w:val="0"/>
        <w:spacing w:line="288" w:lineRule="auto"/>
        <w:rPr>
          <w:rFonts w:hint="eastAsia" w:ascii="宋体" w:hAnsi="宋体" w:eastAsia="宋体" w:cs="宋体"/>
          <w:spacing w:val="-6"/>
          <w:szCs w:val="21"/>
        </w:rPr>
      </w:pPr>
      <w:r>
        <w:rPr>
          <w:rFonts w:hint="eastAsia" w:ascii="宋体" w:hAnsi="宋体" w:eastAsia="宋体" w:cs="宋体"/>
          <w:spacing w:val="-6"/>
          <w:szCs w:val="21"/>
        </w:rPr>
        <w:t>标项：</w:t>
      </w:r>
    </w:p>
    <w:tbl>
      <w:tblPr>
        <w:tblStyle w:val="23"/>
        <w:tblW w:w="99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591"/>
      </w:tblGrid>
      <w:tr w14:paraId="76080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5349B36">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E3333B9">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5D53F029">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p w14:paraId="78313852">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或具体服务</w:t>
            </w: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134AA36B">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数量</w:t>
            </w: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316BFCA4">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16C7DEF8">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★制造商</w:t>
            </w:r>
          </w:p>
        </w:tc>
        <w:tc>
          <w:tcPr>
            <w:tcW w:w="1012" w:type="dxa"/>
            <w:tcBorders>
              <w:top w:val="single" w:color="auto" w:sz="4" w:space="0"/>
              <w:left w:val="single" w:color="auto" w:sz="4" w:space="0"/>
              <w:bottom w:val="single" w:color="auto" w:sz="4" w:space="0"/>
              <w:right w:val="single" w:color="auto" w:sz="4" w:space="0"/>
            </w:tcBorders>
            <w:vAlign w:val="center"/>
          </w:tcPr>
          <w:p w14:paraId="0CC19D33">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1591" w:type="dxa"/>
            <w:tcBorders>
              <w:top w:val="single" w:color="auto" w:sz="4" w:space="0"/>
              <w:left w:val="single" w:color="auto" w:sz="4" w:space="0"/>
              <w:bottom w:val="single" w:color="auto" w:sz="4" w:space="0"/>
              <w:right w:val="single" w:color="auto" w:sz="4" w:space="0"/>
            </w:tcBorders>
            <w:vAlign w:val="center"/>
          </w:tcPr>
          <w:p w14:paraId="7AB85D7A">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备注</w:t>
            </w:r>
          </w:p>
          <w:p w14:paraId="0DE71B1E">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（可另附页）</w:t>
            </w:r>
          </w:p>
        </w:tc>
      </w:tr>
      <w:tr w14:paraId="04632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630EF6">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F41C736">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49844646">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7288B562">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1A35529">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7206B060">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05A952B5">
            <w:pPr>
              <w:adjustRightInd w:val="0"/>
              <w:snapToGrid w:val="0"/>
              <w:spacing w:line="360" w:lineRule="auto"/>
              <w:jc w:val="center"/>
              <w:rPr>
                <w:rFonts w:hint="eastAsia" w:ascii="宋体" w:hAnsi="宋体" w:eastAsia="宋体" w:cs="宋体"/>
                <w:b/>
                <w:bCs/>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4BD6A41F">
            <w:pPr>
              <w:adjustRightInd w:val="0"/>
              <w:snapToGrid w:val="0"/>
              <w:spacing w:line="360" w:lineRule="auto"/>
              <w:jc w:val="center"/>
              <w:rPr>
                <w:rFonts w:hint="eastAsia" w:ascii="宋体" w:hAnsi="宋体" w:eastAsia="宋体" w:cs="宋体"/>
                <w:b/>
                <w:bCs/>
                <w:szCs w:val="21"/>
              </w:rPr>
            </w:pPr>
          </w:p>
        </w:tc>
      </w:tr>
      <w:tr w14:paraId="4D64C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ABD9D23">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7423869">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27ACED1">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0C5CE406">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62A46137">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7326D2C">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449303EE">
            <w:pPr>
              <w:adjustRightInd w:val="0"/>
              <w:snapToGrid w:val="0"/>
              <w:spacing w:line="360" w:lineRule="auto"/>
              <w:jc w:val="center"/>
              <w:rPr>
                <w:rFonts w:hint="eastAsia" w:ascii="宋体" w:hAnsi="宋体" w:eastAsia="宋体" w:cs="宋体"/>
                <w:b/>
                <w:bCs/>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570A9E39">
            <w:pPr>
              <w:adjustRightInd w:val="0"/>
              <w:snapToGrid w:val="0"/>
              <w:spacing w:line="360" w:lineRule="auto"/>
              <w:jc w:val="center"/>
              <w:rPr>
                <w:rFonts w:hint="eastAsia" w:ascii="宋体" w:hAnsi="宋体" w:eastAsia="宋体" w:cs="宋体"/>
                <w:b/>
                <w:bCs/>
                <w:szCs w:val="21"/>
              </w:rPr>
            </w:pPr>
          </w:p>
        </w:tc>
      </w:tr>
      <w:tr w14:paraId="6BBE2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DFD7711">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FCDA402">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3F19E2F4">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5F2478CA">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53AC889">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B2BD982">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2C440A5F">
            <w:pPr>
              <w:adjustRightInd w:val="0"/>
              <w:snapToGrid w:val="0"/>
              <w:spacing w:line="360" w:lineRule="auto"/>
              <w:jc w:val="center"/>
              <w:rPr>
                <w:rFonts w:hint="eastAsia" w:ascii="宋体" w:hAnsi="宋体" w:eastAsia="宋体" w:cs="宋体"/>
                <w:b/>
                <w:bCs/>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494EB68D">
            <w:pPr>
              <w:adjustRightInd w:val="0"/>
              <w:snapToGrid w:val="0"/>
              <w:spacing w:line="360" w:lineRule="auto"/>
              <w:jc w:val="center"/>
              <w:rPr>
                <w:rFonts w:hint="eastAsia" w:ascii="宋体" w:hAnsi="宋体" w:eastAsia="宋体" w:cs="宋体"/>
                <w:b/>
                <w:bCs/>
                <w:szCs w:val="21"/>
              </w:rPr>
            </w:pPr>
          </w:p>
        </w:tc>
      </w:tr>
      <w:tr w14:paraId="1FC3A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949D029">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★以下（联合体其他成员）承担的部分：</w:t>
            </w:r>
          </w:p>
        </w:tc>
      </w:tr>
      <w:tr w14:paraId="4723A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EF3B544">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67DBC55">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30AEDF6C">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3FBE0435">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77B43426">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741A045">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0BAE6AAF">
            <w:pPr>
              <w:adjustRightInd w:val="0"/>
              <w:snapToGrid w:val="0"/>
              <w:spacing w:line="360" w:lineRule="auto"/>
              <w:jc w:val="center"/>
              <w:rPr>
                <w:rFonts w:hint="eastAsia" w:ascii="宋体" w:hAnsi="宋体" w:eastAsia="宋体" w:cs="宋体"/>
                <w:b/>
                <w:bCs/>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3D3F7977">
            <w:pPr>
              <w:adjustRightInd w:val="0"/>
              <w:snapToGrid w:val="0"/>
              <w:spacing w:line="360" w:lineRule="auto"/>
              <w:jc w:val="center"/>
              <w:rPr>
                <w:rFonts w:hint="eastAsia" w:ascii="宋体" w:hAnsi="宋体" w:eastAsia="宋体" w:cs="宋体"/>
                <w:b/>
                <w:bCs/>
                <w:szCs w:val="21"/>
              </w:rPr>
            </w:pPr>
          </w:p>
        </w:tc>
      </w:tr>
      <w:tr w14:paraId="05531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D8DD5E2">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★以下（分包单位）承担的部分：</w:t>
            </w:r>
          </w:p>
        </w:tc>
      </w:tr>
      <w:tr w14:paraId="7AA5F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041239A">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3DFFA409">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344C5FD">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506C30C8">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6198597F">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CAE4C1B">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35AA8206">
            <w:pPr>
              <w:adjustRightInd w:val="0"/>
              <w:snapToGrid w:val="0"/>
              <w:spacing w:line="360" w:lineRule="auto"/>
              <w:jc w:val="center"/>
              <w:rPr>
                <w:rFonts w:hint="eastAsia" w:ascii="宋体" w:hAnsi="宋体" w:eastAsia="宋体" w:cs="宋体"/>
                <w:b/>
                <w:bCs/>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694AEE54">
            <w:pPr>
              <w:adjustRightInd w:val="0"/>
              <w:snapToGrid w:val="0"/>
              <w:spacing w:line="360" w:lineRule="auto"/>
              <w:jc w:val="center"/>
              <w:rPr>
                <w:rFonts w:hint="eastAsia" w:ascii="宋体" w:hAnsi="宋体" w:eastAsia="宋体" w:cs="宋体"/>
                <w:b/>
                <w:bCs/>
                <w:szCs w:val="21"/>
              </w:rPr>
            </w:pPr>
          </w:p>
        </w:tc>
      </w:tr>
    </w:tbl>
    <w:p w14:paraId="4C1B04DB">
      <w:pPr>
        <w:adjustRightInd w:val="0"/>
        <w:snapToGrid w:val="0"/>
        <w:spacing w:line="288" w:lineRule="auto"/>
        <w:rPr>
          <w:rFonts w:hint="eastAsia" w:ascii="宋体" w:hAnsi="宋体" w:eastAsia="宋体" w:cs="宋体"/>
          <w:spacing w:val="-6"/>
          <w:szCs w:val="21"/>
        </w:rPr>
      </w:pPr>
    </w:p>
    <w:p w14:paraId="43962624">
      <w:pPr>
        <w:adjustRightInd w:val="0"/>
        <w:snapToGrid w:val="0"/>
        <w:spacing w:line="360" w:lineRule="auto"/>
        <w:rPr>
          <w:rFonts w:hint="eastAsia" w:ascii="宋体" w:hAnsi="宋体" w:eastAsia="宋体" w:cs="宋体"/>
          <w:bCs/>
          <w:spacing w:val="-6"/>
          <w:szCs w:val="21"/>
        </w:rPr>
      </w:pPr>
      <w:r>
        <w:rPr>
          <w:rFonts w:hint="eastAsia" w:ascii="宋体" w:hAnsi="宋体" w:eastAsia="宋体" w:cs="宋体"/>
          <w:bCs/>
          <w:spacing w:val="-6"/>
          <w:szCs w:val="21"/>
        </w:rPr>
        <w:t>注：</w:t>
      </w:r>
    </w:p>
    <w:p w14:paraId="72421216">
      <w:pPr>
        <w:adjustRightInd w:val="0"/>
        <w:snapToGrid w:val="0"/>
        <w:spacing w:line="288" w:lineRule="auto"/>
        <w:rPr>
          <w:rFonts w:hint="eastAsia" w:ascii="宋体" w:hAnsi="宋体" w:eastAsia="宋体" w:cs="宋体"/>
          <w:bCs/>
          <w:spacing w:val="-6"/>
          <w:szCs w:val="21"/>
        </w:rPr>
      </w:pPr>
      <w:r>
        <w:rPr>
          <w:rFonts w:hint="eastAsia" w:ascii="宋体" w:hAnsi="宋体" w:eastAsia="宋体" w:cs="宋体"/>
          <w:bCs/>
          <w:spacing w:val="-6"/>
          <w:szCs w:val="21"/>
        </w:rPr>
        <w:t>1.供应商应按照招标文件明确的标的清单填写此表；</w:t>
      </w:r>
    </w:p>
    <w:p w14:paraId="6BBCBC1E">
      <w:pPr>
        <w:adjustRightInd w:val="0"/>
        <w:snapToGrid w:val="0"/>
        <w:spacing w:line="288" w:lineRule="auto"/>
        <w:rPr>
          <w:rFonts w:hint="eastAsia" w:ascii="宋体" w:hAnsi="宋体" w:eastAsia="宋体" w:cs="宋体"/>
          <w:bCs/>
          <w:spacing w:val="-6"/>
          <w:szCs w:val="21"/>
        </w:rPr>
      </w:pPr>
      <w:r>
        <w:rPr>
          <w:rFonts w:hint="eastAsia" w:ascii="宋体" w:hAnsi="宋体" w:eastAsia="宋体" w:cs="宋体"/>
          <w:bCs/>
          <w:spacing w:val="-6"/>
          <w:szCs w:val="21"/>
        </w:rPr>
        <w:t>★2.服务项目不涉及提供货物的，规格型号、品牌、制造商、产地的可不填写；</w:t>
      </w:r>
    </w:p>
    <w:p w14:paraId="4289BAEB">
      <w:pPr>
        <w:adjustRightInd w:val="0"/>
        <w:snapToGrid w:val="0"/>
        <w:spacing w:line="288" w:lineRule="auto"/>
        <w:rPr>
          <w:rFonts w:hint="eastAsia" w:ascii="宋体" w:hAnsi="宋体" w:eastAsia="宋体" w:cs="宋体"/>
          <w:spacing w:val="-6"/>
          <w:szCs w:val="21"/>
        </w:rPr>
      </w:pPr>
      <w:r>
        <w:rPr>
          <w:rFonts w:hint="eastAsia" w:ascii="宋体" w:hAnsi="宋体" w:eastAsia="宋体" w:cs="宋体"/>
          <w:bCs/>
          <w:spacing w:val="-6"/>
          <w:szCs w:val="21"/>
        </w:rPr>
        <w:t>★3.联合体其他成员承担的部分、分包单位承担的部分，应在表中列明。</w:t>
      </w:r>
    </w:p>
    <w:p w14:paraId="38D49221">
      <w:pPr>
        <w:adjustRightInd w:val="0"/>
        <w:snapToGrid w:val="0"/>
        <w:spacing w:line="288" w:lineRule="auto"/>
        <w:rPr>
          <w:rFonts w:hint="eastAsia" w:ascii="宋体" w:hAnsi="宋体" w:eastAsia="宋体" w:cs="Times New Roman"/>
          <w:b/>
          <w:bCs/>
          <w:spacing w:val="-6"/>
          <w:szCs w:val="21"/>
        </w:rPr>
      </w:pPr>
    </w:p>
    <w:p w14:paraId="4DF6BDC6">
      <w:pPr>
        <w:adjustRightInd w:val="0"/>
        <w:snapToGrid w:val="0"/>
        <w:spacing w:line="288" w:lineRule="auto"/>
        <w:rPr>
          <w:rFonts w:hint="eastAsia" w:ascii="宋体" w:hAnsi="宋体" w:eastAsia="宋体" w:cs="Times New Roman"/>
          <w:b/>
          <w:bCs/>
          <w:spacing w:val="-6"/>
          <w:szCs w:val="21"/>
        </w:rPr>
      </w:pPr>
    </w:p>
    <w:p w14:paraId="0DDB4134">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2F612D6D">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3E1877A7">
      <w:pPr>
        <w:autoSpaceDE w:val="0"/>
        <w:autoSpaceDN w:val="0"/>
        <w:adjustRightInd w:val="0"/>
        <w:snapToGrid w:val="0"/>
        <w:spacing w:line="288" w:lineRule="auto"/>
        <w:jc w:val="left"/>
        <w:rPr>
          <w:rFonts w:hint="eastAsia" w:ascii="宋体" w:hAnsi="宋体" w:eastAsia="宋体" w:cs="宋体"/>
          <w:spacing w:val="-6"/>
          <w:kern w:val="0"/>
          <w:szCs w:val="21"/>
        </w:rPr>
      </w:pPr>
    </w:p>
    <w:p w14:paraId="4BB31F54">
      <w:pPr>
        <w:adjustRightInd w:val="0"/>
        <w:snapToGrid w:val="0"/>
        <w:spacing w:line="288" w:lineRule="auto"/>
        <w:rPr>
          <w:rFonts w:hint="eastAsia" w:ascii="宋体" w:hAnsi="宋体" w:eastAsia="宋体" w:cs="宋体"/>
          <w:szCs w:val="21"/>
        </w:rPr>
      </w:pPr>
    </w:p>
    <w:p w14:paraId="31C5B54E">
      <w:pPr>
        <w:adjustRightInd w:val="0"/>
        <w:snapToGrid w:val="0"/>
        <w:spacing w:line="288" w:lineRule="auto"/>
        <w:rPr>
          <w:rFonts w:hint="eastAsia" w:ascii="宋体" w:hAnsi="宋体" w:eastAsia="宋体" w:cs="宋体"/>
          <w:b/>
          <w:spacing w:val="-6"/>
          <w:szCs w:val="21"/>
        </w:rPr>
      </w:pPr>
      <w:r>
        <w:rPr>
          <w:rFonts w:hint="eastAsia" w:ascii="宋体" w:hAnsi="宋体" w:eastAsia="宋体" w:cs="宋体"/>
          <w:b/>
          <w:spacing w:val="-6"/>
          <w:szCs w:val="21"/>
        </w:rPr>
        <w:t>附：产品技术支持材料</w:t>
      </w:r>
    </w:p>
    <w:p w14:paraId="08C9385F">
      <w:pPr>
        <w:adjustRightInd w:val="0"/>
        <w:snapToGrid w:val="0"/>
        <w:spacing w:line="288" w:lineRule="auto"/>
        <w:jc w:val="center"/>
        <w:rPr>
          <w:rFonts w:hint="eastAsia" w:ascii="宋体" w:hAnsi="宋体" w:eastAsia="宋体" w:cs="宋体"/>
          <w:b/>
          <w:spacing w:val="-6"/>
          <w:szCs w:val="21"/>
        </w:rPr>
      </w:pPr>
      <w:r>
        <w:rPr>
          <w:rFonts w:hint="eastAsia" w:ascii="宋体" w:hAnsi="宋体" w:eastAsia="宋体" w:cs="宋体"/>
          <w:b/>
          <w:spacing w:val="-6"/>
          <w:szCs w:val="21"/>
        </w:rPr>
        <w:br w:type="page"/>
      </w:r>
    </w:p>
    <w:p w14:paraId="2A844F7B">
      <w:pPr>
        <w:adjustRightInd w:val="0"/>
        <w:snapToGrid w:val="0"/>
        <w:spacing w:line="288" w:lineRule="auto"/>
        <w:jc w:val="left"/>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6</w:t>
      </w:r>
      <w:r>
        <w:rPr>
          <w:rFonts w:hint="eastAsia" w:ascii="宋体" w:hAnsi="宋体" w:eastAsia="宋体" w:cs="宋体"/>
          <w:b/>
          <w:spacing w:val="-6"/>
          <w:szCs w:val="21"/>
        </w:rPr>
        <w:t>）技术方案</w:t>
      </w:r>
    </w:p>
    <w:p w14:paraId="30E9F9A7">
      <w:pPr>
        <w:adjustRightInd w:val="0"/>
        <w:snapToGrid w:val="0"/>
        <w:spacing w:line="288" w:lineRule="auto"/>
        <w:rPr>
          <w:rFonts w:hint="eastAsia" w:ascii="宋体" w:hAnsi="宋体" w:eastAsia="宋体" w:cs="宋体"/>
          <w:b/>
          <w:spacing w:val="-6"/>
          <w:szCs w:val="21"/>
        </w:rPr>
      </w:pPr>
    </w:p>
    <w:p w14:paraId="1B1B3896">
      <w:pPr>
        <w:adjustRightInd w:val="0"/>
        <w:snapToGrid w:val="0"/>
        <w:spacing w:line="288" w:lineRule="auto"/>
        <w:rPr>
          <w:rFonts w:hint="eastAsia" w:ascii="宋体" w:hAnsi="宋体" w:eastAsia="宋体" w:cs="宋体"/>
          <w:b/>
          <w:spacing w:val="-6"/>
          <w:szCs w:val="21"/>
        </w:rPr>
      </w:pPr>
    </w:p>
    <w:p w14:paraId="7E569FD1">
      <w:pPr>
        <w:adjustRightInd w:val="0"/>
        <w:snapToGrid w:val="0"/>
        <w:spacing w:line="288" w:lineRule="auto"/>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7</w:t>
      </w:r>
      <w:r>
        <w:rPr>
          <w:rFonts w:hint="eastAsia" w:ascii="宋体" w:hAnsi="宋体" w:eastAsia="宋体" w:cs="宋体"/>
          <w:b/>
          <w:spacing w:val="-6"/>
          <w:szCs w:val="21"/>
        </w:rPr>
        <w:t>）节能环保产品证明材料</w:t>
      </w:r>
    </w:p>
    <w:p w14:paraId="5C3E0026">
      <w:pPr>
        <w:adjustRightInd w:val="0"/>
        <w:snapToGrid w:val="0"/>
        <w:spacing w:line="288" w:lineRule="auto"/>
        <w:ind w:left="420" w:leftChars="200"/>
        <w:rPr>
          <w:rFonts w:hint="eastAsia" w:ascii="宋体" w:hAnsi="宋体" w:eastAsia="宋体" w:cs="Times New Roman"/>
          <w:b/>
          <w:szCs w:val="21"/>
        </w:rPr>
      </w:pPr>
      <w:r>
        <w:rPr>
          <w:rFonts w:hint="eastAsia" w:ascii="宋体" w:hAnsi="宋体" w:eastAsia="宋体" w:cs="Times New Roman"/>
          <w:b/>
          <w:szCs w:val="21"/>
        </w:rPr>
        <w:t>1）有效的政府强制采购节能产品的节能产品认证证书【请逐项列明产品的品牌型号及对应的节能产品认证证书】</w:t>
      </w:r>
    </w:p>
    <w:p w14:paraId="519888F2">
      <w:pPr>
        <w:adjustRightInd w:val="0"/>
        <w:snapToGrid w:val="0"/>
        <w:spacing w:line="288" w:lineRule="auto"/>
        <w:ind w:left="420" w:leftChars="200"/>
        <w:rPr>
          <w:rFonts w:hint="eastAsia" w:ascii="宋体" w:hAnsi="宋体" w:eastAsia="宋体" w:cs="Times New Roman"/>
          <w:b/>
          <w:szCs w:val="21"/>
        </w:rPr>
      </w:pPr>
    </w:p>
    <w:p w14:paraId="63CA8F44">
      <w:pPr>
        <w:adjustRightInd w:val="0"/>
        <w:snapToGrid w:val="0"/>
        <w:spacing w:line="288" w:lineRule="auto"/>
        <w:ind w:left="420" w:leftChars="200"/>
        <w:rPr>
          <w:rFonts w:hint="eastAsia" w:ascii="宋体" w:hAnsi="宋体" w:eastAsia="宋体" w:cs="Times New Roman"/>
          <w:b/>
          <w:szCs w:val="21"/>
        </w:rPr>
      </w:pPr>
    </w:p>
    <w:p w14:paraId="6CE71E5C">
      <w:pPr>
        <w:adjustRightInd w:val="0"/>
        <w:snapToGrid w:val="0"/>
        <w:spacing w:line="288" w:lineRule="auto"/>
        <w:ind w:left="420" w:leftChars="200"/>
        <w:rPr>
          <w:rFonts w:hint="eastAsia" w:ascii="宋体" w:hAnsi="宋体" w:eastAsia="宋体" w:cs="Times New Roman"/>
          <w:b/>
          <w:szCs w:val="21"/>
        </w:rPr>
      </w:pPr>
      <w:r>
        <w:rPr>
          <w:rFonts w:hint="eastAsia" w:ascii="宋体" w:hAnsi="宋体" w:eastAsia="宋体" w:cs="Times New Roman"/>
          <w:b/>
          <w:szCs w:val="21"/>
        </w:rPr>
        <w:t>2）有效的节能产品认证证书（</w:t>
      </w:r>
      <w:r>
        <w:rPr>
          <w:rFonts w:hint="eastAsia" w:ascii="宋体" w:hAnsi="宋体" w:eastAsia="宋体" w:cs="宋体"/>
          <w:b/>
          <w:bCs/>
          <w:szCs w:val="21"/>
        </w:rPr>
        <w:t>政府强制采购的节能产品的除外</w:t>
      </w:r>
      <w:r>
        <w:rPr>
          <w:rFonts w:hint="eastAsia" w:ascii="宋体" w:hAnsi="宋体" w:eastAsia="宋体" w:cs="Times New Roman"/>
          <w:b/>
          <w:szCs w:val="21"/>
        </w:rPr>
        <w:t>）</w:t>
      </w:r>
    </w:p>
    <w:p w14:paraId="79849685">
      <w:pPr>
        <w:adjustRightInd w:val="0"/>
        <w:snapToGrid w:val="0"/>
        <w:spacing w:line="288" w:lineRule="auto"/>
        <w:ind w:left="420" w:leftChars="200"/>
        <w:rPr>
          <w:rFonts w:hint="eastAsia" w:ascii="宋体" w:hAnsi="宋体" w:eastAsia="宋体" w:cs="Times New Roman"/>
          <w:b/>
          <w:szCs w:val="21"/>
        </w:rPr>
      </w:pPr>
    </w:p>
    <w:p w14:paraId="6E8F6A1E">
      <w:pPr>
        <w:adjustRightInd w:val="0"/>
        <w:snapToGrid w:val="0"/>
        <w:spacing w:line="288" w:lineRule="auto"/>
        <w:ind w:left="420" w:leftChars="200"/>
        <w:rPr>
          <w:rFonts w:hint="eastAsia" w:ascii="宋体" w:hAnsi="宋体" w:eastAsia="宋体" w:cs="Times New Roman"/>
          <w:b/>
          <w:szCs w:val="21"/>
        </w:rPr>
      </w:pPr>
    </w:p>
    <w:p w14:paraId="0EE70034">
      <w:pPr>
        <w:adjustRightInd w:val="0"/>
        <w:snapToGrid w:val="0"/>
        <w:spacing w:line="288" w:lineRule="auto"/>
        <w:ind w:left="420" w:leftChars="200"/>
        <w:rPr>
          <w:rFonts w:hint="eastAsia" w:ascii="宋体" w:hAnsi="宋体" w:eastAsia="宋体" w:cs="Times New Roman"/>
          <w:b/>
          <w:szCs w:val="21"/>
        </w:rPr>
      </w:pPr>
    </w:p>
    <w:p w14:paraId="4EFF95BE">
      <w:pPr>
        <w:adjustRightInd w:val="0"/>
        <w:snapToGrid w:val="0"/>
        <w:spacing w:line="288" w:lineRule="auto"/>
        <w:ind w:left="420" w:leftChars="200"/>
        <w:rPr>
          <w:rFonts w:hint="eastAsia" w:ascii="宋体" w:hAnsi="宋体" w:eastAsia="宋体" w:cs="Times New Roman"/>
          <w:b/>
          <w:szCs w:val="21"/>
        </w:rPr>
      </w:pPr>
      <w:r>
        <w:rPr>
          <w:rFonts w:hint="eastAsia" w:ascii="宋体" w:hAnsi="宋体" w:eastAsia="宋体" w:cs="Times New Roman"/>
          <w:b/>
          <w:szCs w:val="21"/>
        </w:rPr>
        <w:t>3）有效的环境标志产品认证证书</w:t>
      </w:r>
    </w:p>
    <w:p w14:paraId="3E208579">
      <w:pPr>
        <w:adjustRightInd w:val="0"/>
        <w:snapToGrid w:val="0"/>
        <w:spacing w:line="288" w:lineRule="auto"/>
        <w:rPr>
          <w:rFonts w:hint="eastAsia" w:ascii="宋体" w:hAnsi="宋体" w:eastAsia="宋体" w:cs="Times New Roman"/>
          <w:b/>
          <w:szCs w:val="21"/>
        </w:rPr>
      </w:pPr>
    </w:p>
    <w:p w14:paraId="00AD3892">
      <w:pPr>
        <w:adjustRightInd w:val="0"/>
        <w:snapToGrid w:val="0"/>
        <w:spacing w:line="288" w:lineRule="auto"/>
        <w:rPr>
          <w:rFonts w:hint="eastAsia" w:ascii="宋体" w:hAnsi="宋体" w:eastAsia="宋体" w:cs="Times New Roman"/>
          <w:b/>
          <w:szCs w:val="21"/>
        </w:rPr>
      </w:pPr>
    </w:p>
    <w:p w14:paraId="105FE2B4">
      <w:pPr>
        <w:adjustRightInd w:val="0"/>
        <w:snapToGrid w:val="0"/>
        <w:spacing w:line="288" w:lineRule="auto"/>
        <w:rPr>
          <w:rFonts w:hint="eastAsia" w:ascii="宋体" w:hAnsi="宋体" w:eastAsia="宋体" w:cs="Times New Roman"/>
          <w:b/>
          <w:szCs w:val="21"/>
        </w:rPr>
      </w:pPr>
    </w:p>
    <w:p w14:paraId="4988C691">
      <w:pPr>
        <w:adjustRightInd w:val="0"/>
        <w:snapToGrid w:val="0"/>
        <w:spacing w:line="288" w:lineRule="auto"/>
        <w:rPr>
          <w:rFonts w:hint="eastAsia" w:ascii="宋体" w:hAnsi="宋体" w:eastAsia="宋体" w:cs="Times New Roman"/>
          <w:b/>
          <w:szCs w:val="21"/>
        </w:rPr>
      </w:pPr>
      <w:r>
        <w:rPr>
          <w:rFonts w:hint="eastAsia" w:ascii="宋体" w:hAnsi="宋体" w:eastAsia="宋体" w:cs="Times New Roman"/>
          <w:b/>
          <w:szCs w:val="21"/>
        </w:rPr>
        <w:t>说明：投标产品属于品目清单范围且提供国家确定的认证机构出具的有效的节能产品、环境标志产品认证证书（扫描件）。</w:t>
      </w:r>
    </w:p>
    <w:p w14:paraId="1F369057">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0B4C2BBB">
      <w:pPr>
        <w:adjustRightInd w:val="0"/>
        <w:snapToGrid w:val="0"/>
        <w:spacing w:line="288" w:lineRule="auto"/>
        <w:ind w:firstLine="398" w:firstLineChars="200"/>
        <w:jc w:val="left"/>
        <w:rPr>
          <w:rFonts w:hint="eastAsia" w:ascii="宋体" w:hAnsi="宋体" w:eastAsia="宋体" w:cs="Times New Roman"/>
          <w:b/>
          <w:bCs/>
          <w:color w:val="000000" w:themeColor="text1"/>
          <w:spacing w:val="-6"/>
          <w:szCs w:val="21"/>
          <w14:textFill>
            <w14:solidFill>
              <w14:schemeClr w14:val="tx1"/>
            </w14:solidFill>
          </w14:textFill>
        </w:rPr>
      </w:pPr>
      <w:r>
        <w:rPr>
          <w:rFonts w:ascii="宋体" w:hAnsi="宋体" w:eastAsia="宋体" w:cs="Times New Roman"/>
          <w:b/>
          <w:bCs/>
          <w:color w:val="000000" w:themeColor="text1"/>
          <w:spacing w:val="-6"/>
          <w:szCs w:val="21"/>
          <w14:textFill>
            <w14:solidFill>
              <w14:schemeClr w14:val="tx1"/>
            </w14:solidFill>
          </w14:textFill>
        </w:rPr>
        <w:t>▲采购人拟采购的产品属于政府强制采购的节能产品品目清单范围的，投标人未按招标文件要求提供国家确定的认证机构出具的、有效的节能产品认证证书的，投标无效。</w:t>
      </w:r>
    </w:p>
    <w:p w14:paraId="04365B69">
      <w:pPr>
        <w:adjustRightInd w:val="0"/>
        <w:snapToGrid w:val="0"/>
        <w:spacing w:line="288" w:lineRule="auto"/>
        <w:rPr>
          <w:rFonts w:hint="eastAsia" w:ascii="宋体" w:hAnsi="宋体" w:eastAsia="宋体" w:cs="Times New Roman"/>
          <w:b/>
          <w:szCs w:val="21"/>
        </w:rPr>
      </w:pPr>
    </w:p>
    <w:p w14:paraId="345D80A5">
      <w:pPr>
        <w:rPr>
          <w:rFonts w:hint="eastAsia" w:ascii="黑体" w:hAnsi="黑体" w:eastAsia="黑体" w:cs="黑体"/>
          <w:szCs w:val="21"/>
        </w:rPr>
      </w:pPr>
      <w:r>
        <w:rPr>
          <w:rFonts w:hint="eastAsia" w:ascii="黑体" w:hAnsi="黑体" w:eastAsia="黑体" w:cs="黑体"/>
          <w:szCs w:val="21"/>
        </w:rPr>
        <w:br w:type="page"/>
      </w:r>
    </w:p>
    <w:p w14:paraId="021D07F2">
      <w:pPr>
        <w:keepNext/>
        <w:widowControl/>
        <w:rPr>
          <w:rFonts w:hint="eastAsia" w:ascii="黑体" w:hAnsi="黑体" w:eastAsia="黑体" w:cs="黑体"/>
          <w:szCs w:val="21"/>
        </w:rPr>
      </w:pPr>
      <w:r>
        <w:rPr>
          <w:rFonts w:hint="eastAsia" w:ascii="黑体" w:hAnsi="黑体" w:eastAsia="黑体" w:cs="黑体"/>
          <w:szCs w:val="21"/>
        </w:rPr>
        <w:t>附件：节能产品政府采购品目清单</w:t>
      </w:r>
    </w:p>
    <w:tbl>
      <w:tblPr>
        <w:tblStyle w:val="23"/>
        <w:tblW w:w="4999" w:type="pct"/>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autofit"/>
        <w:tblCellMar>
          <w:top w:w="0" w:type="dxa"/>
          <w:left w:w="108" w:type="dxa"/>
          <w:bottom w:w="0" w:type="dxa"/>
          <w:right w:w="108" w:type="dxa"/>
        </w:tblCellMar>
      </w:tblPr>
      <w:tblGrid>
        <w:gridCol w:w="666"/>
        <w:gridCol w:w="1872"/>
        <w:gridCol w:w="2138"/>
        <w:gridCol w:w="1753"/>
        <w:gridCol w:w="3197"/>
      </w:tblGrid>
      <w:tr w14:paraId="163478F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tblHeader/>
          <w:jc w:val="center"/>
        </w:trPr>
        <w:tc>
          <w:tcPr>
            <w:tcW w:w="346" w:type="pct"/>
            <w:tcBorders>
              <w:top w:val="single" w:color="70AD47" w:sz="4" w:space="0"/>
              <w:left w:val="single" w:color="70AD47" w:sz="4" w:space="0"/>
              <w:bottom w:val="single" w:color="70AD47" w:sz="4" w:space="0"/>
              <w:right w:val="single" w:color="70AD47" w:sz="4" w:space="0"/>
              <w:tl2br w:val="nil"/>
            </w:tcBorders>
            <w:shd w:val="clear" w:color="auto" w:fill="AAD18D"/>
            <w:vAlign w:val="center"/>
          </w:tcPr>
          <w:p w14:paraId="2EC685C3">
            <w:pPr>
              <w:jc w:val="center"/>
              <w:rPr>
                <w:rFonts w:hint="eastAsia" w:ascii="黑体" w:hAnsi="黑体" w:eastAsia="黑体" w:cs="黑体"/>
                <w:b/>
                <w:color w:val="000000"/>
                <w:w w:val="90"/>
                <w:szCs w:val="21"/>
              </w:rPr>
            </w:pPr>
            <w:r>
              <w:rPr>
                <w:rFonts w:hint="eastAsia" w:ascii="黑体" w:hAnsi="黑体" w:eastAsia="黑体" w:cs="黑体"/>
                <w:b/>
                <w:color w:val="000000"/>
                <w:w w:val="90"/>
                <w:szCs w:val="21"/>
              </w:rPr>
              <w:t>品目序号</w:t>
            </w:r>
          </w:p>
        </w:tc>
        <w:tc>
          <w:tcPr>
            <w:tcW w:w="2992" w:type="pct"/>
            <w:gridSpan w:val="3"/>
            <w:tcBorders>
              <w:top w:val="single" w:color="70AD47" w:sz="4" w:space="0"/>
              <w:left w:val="single" w:color="70AD47" w:sz="4" w:space="0"/>
              <w:bottom w:val="single" w:color="70AD47" w:sz="4" w:space="0"/>
              <w:right w:val="single" w:color="70AD47" w:sz="4" w:space="0"/>
            </w:tcBorders>
            <w:shd w:val="clear" w:color="auto" w:fill="AAD18D"/>
            <w:vAlign w:val="center"/>
          </w:tcPr>
          <w:p w14:paraId="11066230">
            <w:pPr>
              <w:jc w:val="center"/>
              <w:rPr>
                <w:rFonts w:hint="eastAsia" w:ascii="黑体" w:hAnsi="黑体" w:eastAsia="黑体" w:cs="黑体"/>
                <w:b/>
                <w:color w:val="000000"/>
                <w:w w:val="90"/>
                <w:szCs w:val="21"/>
              </w:rPr>
            </w:pPr>
            <w:r>
              <w:rPr>
                <w:rFonts w:hint="eastAsia" w:ascii="黑体" w:hAnsi="黑体" w:eastAsia="黑体" w:cs="黑体"/>
                <w:b/>
                <w:color w:val="000000"/>
                <w:w w:val="90"/>
                <w:szCs w:val="21"/>
              </w:rPr>
              <w:t>名称</w:t>
            </w:r>
          </w:p>
        </w:tc>
        <w:tc>
          <w:tcPr>
            <w:tcW w:w="1660" w:type="pct"/>
            <w:tcBorders>
              <w:top w:val="single" w:color="70AD47" w:sz="4" w:space="0"/>
              <w:left w:val="single" w:color="70AD47" w:sz="4" w:space="0"/>
              <w:bottom w:val="single" w:color="70AD47" w:sz="4" w:space="0"/>
              <w:right w:val="single" w:color="70AD47" w:sz="4" w:space="0"/>
            </w:tcBorders>
            <w:shd w:val="clear" w:color="auto" w:fill="AAD18D"/>
            <w:vAlign w:val="center"/>
          </w:tcPr>
          <w:p w14:paraId="3CF17579">
            <w:pPr>
              <w:jc w:val="center"/>
              <w:rPr>
                <w:rFonts w:hint="eastAsia" w:ascii="黑体" w:hAnsi="黑体" w:eastAsia="黑体" w:cs="黑体"/>
                <w:b/>
                <w:color w:val="000000"/>
                <w:w w:val="90"/>
                <w:szCs w:val="21"/>
              </w:rPr>
            </w:pPr>
            <w:r>
              <w:rPr>
                <w:rFonts w:hint="eastAsia" w:ascii="黑体" w:hAnsi="黑体" w:eastAsia="黑体" w:cs="黑体"/>
                <w:b/>
                <w:color w:val="000000"/>
                <w:w w:val="90"/>
                <w:szCs w:val="21"/>
              </w:rPr>
              <w:t>依据的标准</w:t>
            </w:r>
          </w:p>
        </w:tc>
      </w:tr>
      <w:tr w14:paraId="63CB50B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611D660">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255A0CA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A020101计算机设备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AA31166">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★A02010104台式计算机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CDF1D2B">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66ECD6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《微型计算机能效限定值及能效等级》（GB 28380）</w:t>
            </w:r>
          </w:p>
        </w:tc>
      </w:tr>
      <w:tr w14:paraId="141CF03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9E399CE">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B901ED7">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2FC2859">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★A02010105便携式计算</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EA4BD1D">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F7F92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《微型计算机能效限定值及能效等级》（GB 28380）</w:t>
            </w:r>
          </w:p>
        </w:tc>
      </w:tr>
      <w:tr w14:paraId="3246F6C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537E1D8">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BDFE4F9">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760059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★A02010107平板式微型计算机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9C24EBC">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E5371F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《微型计算机能效限定值及能效等级》（GB 28380）</w:t>
            </w:r>
          </w:p>
        </w:tc>
      </w:tr>
      <w:tr w14:paraId="3F8719E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7751989">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2</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2618B4B">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A020106输入输出设备</w:t>
            </w: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43296CA6">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A02010601打印设备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73A032F">
            <w:pPr>
              <w:jc w:val="left"/>
              <w:rPr>
                <w:rFonts w:hint="eastAsia" w:ascii="黑体" w:hAnsi="黑体" w:eastAsia="黑体" w:cs="黑体"/>
                <w:color w:val="000000"/>
                <w:w w:val="90"/>
                <w:szCs w:val="21"/>
              </w:rPr>
            </w:pPr>
            <w:r>
              <w:rPr>
                <w:rFonts w:hint="eastAsia" w:ascii="黑体" w:hAnsi="黑体" w:eastAsia="黑体" w:cs="黑体"/>
                <w:bCs/>
                <w:color w:val="000000"/>
                <w:w w:val="90"/>
                <w:szCs w:val="21"/>
              </w:rPr>
              <w:t>A0201060101喷墨打印机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98E49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《复印机、打印机和传真机能效限定值及能效等级》（GB 21521）</w:t>
            </w:r>
          </w:p>
        </w:tc>
      </w:tr>
      <w:tr w14:paraId="66953D6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CF975AE">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2467FB">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4B5E4DF">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11A0CF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★A0201060102激光打印机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F6F296D">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《复印机、打印机和传真机能效限定值及能效等级》（GB 21521）</w:t>
            </w:r>
          </w:p>
        </w:tc>
      </w:tr>
      <w:tr w14:paraId="3F07EDB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66237C6">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1024AC0">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FFA547B">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87DD6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★A0201060104针式打印机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444D0B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《复印机、打印机和传真机能效限定值及能效等级》（GB 21521）</w:t>
            </w:r>
          </w:p>
        </w:tc>
      </w:tr>
      <w:tr w14:paraId="67103ED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E36B11D">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3356B26">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35C3A7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A02010604显示设备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43BC0C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★A0201060401液晶显示器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35F38BB">
            <w:pPr>
              <w:jc w:val="left"/>
              <w:rPr>
                <w:rFonts w:hint="eastAsia" w:ascii="黑体" w:hAnsi="黑体" w:eastAsia="黑体" w:cs="黑体"/>
                <w:color w:val="000000"/>
                <w:w w:val="90"/>
                <w:szCs w:val="21"/>
              </w:rPr>
            </w:pPr>
            <w:r>
              <w:rPr>
                <w:rFonts w:hint="eastAsia" w:ascii="黑体" w:hAnsi="黑体" w:eastAsia="黑体" w:cs="黑体"/>
                <w:color w:val="000000"/>
                <w:w w:val="90"/>
                <w:szCs w:val="21"/>
              </w:rPr>
              <w:t>《计算机显示器能效限定值及能效等级》（GB 21520）</w:t>
            </w:r>
          </w:p>
        </w:tc>
      </w:tr>
      <w:tr w14:paraId="6087F90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546AC71">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352670F">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487599">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A02010609图形图像输入设备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D475E8">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A0201060901扫描仪</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2BBFA8E">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参照《复印机、打印机和传真机能效限定值及能效等级》（GB 21521中打印速度为 15 页/分的针式打印机相关要求</w:t>
            </w:r>
          </w:p>
        </w:tc>
      </w:tr>
      <w:tr w14:paraId="7197A98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B6A0492">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3</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D3E2C4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A020202投影仪</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34A3F0">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F81FE5C">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07F6E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《投影机能效限定值及能效等级（GB 32028）</w:t>
            </w:r>
          </w:p>
        </w:tc>
      </w:tr>
      <w:tr w14:paraId="1D4BAD1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2505173">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4</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E5190B4">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A020204352多功能一体机</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A2920C1">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6DA845F">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8151ECF">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《复印机、打印机和传真机能效限定值及能效等级》（GB 21521）</w:t>
            </w:r>
          </w:p>
        </w:tc>
      </w:tr>
      <w:tr w14:paraId="17DF850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3B0BB0">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5</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33C46B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A020519泵</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A71A3F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A02051901离心泵</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4ACDBA7">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6737F19">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《清水离心泵能效限定值及节能评价值》（GB 19762）</w:t>
            </w:r>
          </w:p>
        </w:tc>
      </w:tr>
      <w:tr w14:paraId="108DF11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4FE1D33">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6</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53B3235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A020523制冷空调设备</w:t>
            </w: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A5EA296">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★A02052301制冷压缩机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B9004E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冷水机组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F18AC1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《冷水机组能效限定值及能效等级》（GB 19577），《低环境温度空气源热泵（冷水）机组能效限定值及能效等级》（GB 37480）</w:t>
            </w:r>
          </w:p>
        </w:tc>
      </w:tr>
      <w:tr w14:paraId="50B039A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0664B22">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F5D1A09">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BCBE70">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E28923">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水源热泵机组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DB3AAE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《水（地）源热泵机组能效限定值及能效等级》（GB 30721）</w:t>
            </w:r>
          </w:p>
        </w:tc>
      </w:tr>
      <w:tr w14:paraId="5AAB8C0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3A1B948">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E4DB64E">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6579C30">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A0FACB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溴化锂吸收式冷水机组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661A2B3">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《溴化锂吸收式冷水机组能效限定值及能效等级》（GB 29540）</w:t>
            </w:r>
          </w:p>
        </w:tc>
      </w:tr>
      <w:tr w14:paraId="48865B0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2281B67">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7AFE1A2">
            <w:pPr>
              <w:jc w:val="left"/>
              <w:rPr>
                <w:rFonts w:hint="eastAsia" w:ascii="黑体" w:hAnsi="黑体" w:eastAsia="黑体" w:cs="黑体"/>
                <w:color w:val="000000"/>
                <w:w w:val="90"/>
                <w:szCs w:val="21"/>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16FEBEF">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★A02052305空调机组</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DBADF68">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多联式空调（热泵）机组(制冷量&gt;14000W)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519595E">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《多联式空调（热泵）机组能效限定值及能源效率等级》（GB 21454）</w:t>
            </w:r>
          </w:p>
        </w:tc>
      </w:tr>
      <w:tr w14:paraId="02CFD62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5E898F">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6D01C5F">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8DD5828">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E8BC2E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单元式空气调节机(制冷量&gt;14000W)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2C03576">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《单元式空气调节机能效限定值及能效等级》（GB 19576）《风管送风式空调机组能效限定值及能效等级》（GB 37479）</w:t>
            </w:r>
          </w:p>
        </w:tc>
      </w:tr>
      <w:tr w14:paraId="7F48FCB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A5720F4">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B9836D6">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97CACCD">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★A02052309专用制冷、空调设备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EFDEE1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机房空调</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EA3DC58">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《单元式空气调节机能效限定值及能效等级》（GB 19576）</w:t>
            </w:r>
          </w:p>
        </w:tc>
      </w:tr>
      <w:tr w14:paraId="67B5E33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E134BF9">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5566D7E">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FB3530A">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A02052399其他制冷空调设备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D857F6D">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冷却塔</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576357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《机械通风冷却塔 第 1 部分：中小型开式冷却塔》（GB/T 7190.1）</w:t>
            </w:r>
          </w:p>
          <w:p w14:paraId="52ECF668">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《机械通风冷却塔 第 2 部分：大型开式冷却塔》（GB/T 7190.2）</w:t>
            </w:r>
          </w:p>
        </w:tc>
      </w:tr>
      <w:tr w14:paraId="0298794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7D9F930">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7</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39823A">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A020601电机</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945B21B">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CE70C7">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C95A4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《中小型三相异步电动机能效限定值及能效等级》（GB 18613）</w:t>
            </w:r>
          </w:p>
        </w:tc>
      </w:tr>
      <w:tr w14:paraId="3C48A82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E70A661">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8</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2ABA31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A020602变压器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D9BAD1F">
            <w:pPr>
              <w:jc w:val="left"/>
              <w:rPr>
                <w:rFonts w:hint="eastAsia" w:ascii="黑体" w:hAnsi="黑体" w:eastAsia="黑体" w:cs="黑体"/>
                <w:color w:val="000000"/>
                <w:w w:val="90"/>
                <w:szCs w:val="21"/>
              </w:rPr>
            </w:pPr>
            <w:r>
              <w:rPr>
                <w:rFonts w:hint="eastAsia" w:ascii="黑体" w:hAnsi="黑体" w:eastAsia="黑体" w:cs="黑体"/>
                <w:color w:val="000000"/>
                <w:w w:val="90"/>
                <w:szCs w:val="21"/>
              </w:rPr>
              <w:t>配电变压器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84D7852">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F0DB79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《三相配电变压器能效限定值及能效等级》（GB 20052）</w:t>
            </w:r>
          </w:p>
        </w:tc>
      </w:tr>
      <w:tr w14:paraId="256F30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A676530">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9</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A1C2CB">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★A020609镇流器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7BAD638">
            <w:pPr>
              <w:jc w:val="left"/>
              <w:rPr>
                <w:rFonts w:hint="eastAsia" w:ascii="黑体" w:hAnsi="黑体" w:eastAsia="黑体" w:cs="黑体"/>
                <w:color w:val="000000"/>
                <w:w w:val="90"/>
                <w:szCs w:val="21"/>
              </w:rPr>
            </w:pPr>
            <w:r>
              <w:rPr>
                <w:rFonts w:hint="eastAsia" w:ascii="黑体" w:hAnsi="黑体" w:eastAsia="黑体" w:cs="黑体"/>
                <w:color w:val="000000"/>
                <w:w w:val="90"/>
                <w:szCs w:val="21"/>
              </w:rPr>
              <w:t>管型荧光灯镇流器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B8C82F">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CE4828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《管形荧光灯镇流器能效限定值及能效等级》（GB 17896）</w:t>
            </w:r>
          </w:p>
        </w:tc>
      </w:tr>
      <w:tr w14:paraId="0DA90E7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5AA73CD">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10</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7293FF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A020618 生活用电器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4888F73">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A0206180101电冰箱</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5F3EDA4">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9F095A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《家用电冰箱耗电量限定值及能效等级》（GB</w:t>
            </w:r>
            <w:r>
              <w:rPr>
                <w:rFonts w:hint="eastAsia" w:ascii="黑体" w:hAnsi="黑体" w:eastAsia="黑体" w:cs="黑体"/>
                <w:color w:val="000000"/>
                <w:w w:val="90"/>
                <w:szCs w:val="21"/>
              </w:rPr>
              <w:tab/>
            </w:r>
            <w:r>
              <w:rPr>
                <w:rFonts w:hint="eastAsia" w:ascii="黑体" w:hAnsi="黑体" w:eastAsia="黑体" w:cs="黑体"/>
                <w:color w:val="000000"/>
                <w:w w:val="90"/>
                <w:szCs w:val="21"/>
              </w:rPr>
              <w:t>12021.2）</w:t>
            </w:r>
          </w:p>
        </w:tc>
      </w:tr>
      <w:tr w14:paraId="5840B8C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99BCD6F">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924E0A2">
            <w:pPr>
              <w:jc w:val="left"/>
              <w:rPr>
                <w:rFonts w:hint="eastAsia" w:ascii="黑体" w:hAnsi="黑体" w:eastAsia="黑体" w:cs="黑体"/>
                <w:color w:val="000000"/>
                <w:w w:val="90"/>
                <w:szCs w:val="21"/>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6CA815D">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★A0206180203空调机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D1B6CF">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房间空气调节器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55EFDEF">
            <w:pPr>
              <w:jc w:val="left"/>
              <w:rPr>
                <w:rFonts w:hint="eastAsia" w:ascii="黑体" w:hAnsi="黑体" w:eastAsia="黑体" w:cs="黑体"/>
                <w:color w:val="000000"/>
                <w:w w:val="90"/>
                <w:szCs w:val="21"/>
              </w:rPr>
            </w:pPr>
            <w:r>
              <w:rPr>
                <w:rFonts w:hint="eastAsia" w:ascii="黑体" w:hAnsi="黑体" w:eastAsia="黑体" w:cs="黑体"/>
                <w:color w:val="000000"/>
                <w:w w:val="90"/>
                <w:szCs w:val="21"/>
              </w:rPr>
              <w:t>《转速可控型房间空气调节器能效限定值及能效等级》（GB 21455-2013），待2019年修订发布后，按《房间空气调节器能效限定值及能效等级》（GB21455-2019）实施。</w:t>
            </w:r>
          </w:p>
        </w:tc>
      </w:tr>
      <w:tr w14:paraId="7F59A61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5FC9290">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58F7EF9">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D06D612">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A4F528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多联式空调（热泵）机组（制冷量≤ 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1E8ED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《多联式空调（热泵）机组能效限定值及能源效率等级》（GB 21454）</w:t>
            </w:r>
          </w:p>
        </w:tc>
      </w:tr>
      <w:tr w14:paraId="019212C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D469D99">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918C230">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5DE697B">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815673">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单元式空气调节机(制冷量≤14000W)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CDE272F">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《单元式空气调节机能效限定值及能源效率等级》（GB 19576）《风管送风式空调机组能效限定值及能效等级》（GB 37479）</w:t>
            </w:r>
          </w:p>
        </w:tc>
      </w:tr>
      <w:tr w14:paraId="7A472AF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BE690C4">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74C8573">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DA84E58">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A0206180301洗衣机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CD236FA">
            <w:pPr>
              <w:jc w:val="left"/>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93C05A">
            <w:pPr>
              <w:jc w:val="left"/>
              <w:rPr>
                <w:rFonts w:hint="eastAsia" w:ascii="黑体" w:hAnsi="黑体" w:eastAsia="黑体" w:cs="黑体"/>
                <w:color w:val="000000"/>
                <w:w w:val="90"/>
                <w:szCs w:val="21"/>
              </w:rPr>
            </w:pPr>
            <w:r>
              <w:rPr>
                <w:rFonts w:hint="eastAsia" w:ascii="黑体" w:hAnsi="黑体" w:eastAsia="黑体" w:cs="黑体"/>
                <w:color w:val="000000"/>
                <w:w w:val="90"/>
                <w:szCs w:val="21"/>
              </w:rPr>
              <w:t>《电动洗衣机能效水效限定值及等级》（GB 12021.4）</w:t>
            </w:r>
          </w:p>
        </w:tc>
      </w:tr>
      <w:tr w14:paraId="08024D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491423">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9964FAA">
            <w:pPr>
              <w:jc w:val="left"/>
              <w:rPr>
                <w:rFonts w:hint="eastAsia" w:ascii="黑体" w:hAnsi="黑体" w:eastAsia="黑体" w:cs="黑体"/>
                <w:color w:val="000000"/>
                <w:w w:val="90"/>
                <w:szCs w:val="21"/>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467B1B8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A02061808热水器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BDAE92B">
            <w:pPr>
              <w:jc w:val="left"/>
              <w:rPr>
                <w:rFonts w:hint="eastAsia" w:ascii="黑体" w:hAnsi="黑体" w:eastAsia="黑体" w:cs="黑体"/>
                <w:color w:val="000000"/>
                <w:w w:val="90"/>
                <w:szCs w:val="21"/>
              </w:rPr>
            </w:pPr>
            <w:r>
              <w:rPr>
                <w:rFonts w:hint="eastAsia" w:ascii="黑体" w:hAnsi="黑体" w:eastAsia="黑体" w:cs="黑体"/>
                <w:color w:val="000000"/>
                <w:w w:val="90"/>
                <w:szCs w:val="21"/>
              </w:rPr>
              <w:t>★电热水器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830178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《储水式电热水器能效限定值及能效等级》（GB 21519）</w:t>
            </w:r>
          </w:p>
        </w:tc>
      </w:tr>
      <w:tr w14:paraId="04FA4C6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B56F88E">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28A578C">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04D6849">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4A6648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燃气热水器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E6A743D">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《家用燃气快速热水器和燃气采暖热水炉能效限定值及能效等级（GB 20665）</w:t>
            </w:r>
          </w:p>
        </w:tc>
      </w:tr>
      <w:tr w14:paraId="7627749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52228D">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043CDD">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89FA242">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F208BC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热泵热水器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E9E336B">
            <w:pPr>
              <w:jc w:val="left"/>
              <w:rPr>
                <w:rFonts w:hint="eastAsia" w:ascii="黑体" w:hAnsi="黑体" w:eastAsia="黑体" w:cs="黑体"/>
                <w:color w:val="000000"/>
                <w:w w:val="90"/>
                <w:szCs w:val="21"/>
              </w:rPr>
            </w:pPr>
            <w:r>
              <w:rPr>
                <w:rFonts w:hint="eastAsia" w:ascii="黑体" w:hAnsi="黑体" w:eastAsia="黑体" w:cs="黑体"/>
                <w:color w:val="000000"/>
                <w:w w:val="90"/>
                <w:szCs w:val="21"/>
              </w:rPr>
              <w:t>《热泵热水机（器）能效限定值及能效等级》（GB 29541）</w:t>
            </w:r>
          </w:p>
        </w:tc>
      </w:tr>
      <w:tr w14:paraId="6C82C8A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B00A09">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67DE4FF">
            <w:pPr>
              <w:jc w:val="left"/>
              <w:rPr>
                <w:rFonts w:hint="eastAsia" w:ascii="黑体" w:hAnsi="黑体" w:eastAsia="黑体" w:cs="黑体"/>
                <w:color w:val="000000"/>
                <w:w w:val="90"/>
                <w:szCs w:val="21"/>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6C6C96C">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32A3CAE">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太阳能热水系统</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666B03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《家用太阳能热水系统能效限定值及能效等级》（GB 26969）</w:t>
            </w:r>
          </w:p>
        </w:tc>
      </w:tr>
      <w:tr w14:paraId="5FABD11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058A1FB">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11</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34B090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A020619 照明设备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0A537B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★普通照明用双端荧光灯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D5744D8">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7F8D26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《普通照明用双端荧光灯能效限定值及能效等级》（GB 19043）</w:t>
            </w:r>
          </w:p>
        </w:tc>
      </w:tr>
      <w:tr w14:paraId="1D98397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D824BBB">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AA02AFC">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D9DEE86">
            <w:pPr>
              <w:jc w:val="left"/>
              <w:rPr>
                <w:rFonts w:hint="eastAsia" w:ascii="黑体" w:hAnsi="黑体" w:eastAsia="黑体" w:cs="黑体"/>
                <w:color w:val="000000"/>
                <w:w w:val="90"/>
                <w:szCs w:val="21"/>
              </w:rPr>
            </w:pPr>
            <w:r>
              <w:rPr>
                <w:rFonts w:hint="eastAsia" w:ascii="黑体" w:hAnsi="黑体" w:eastAsia="黑体" w:cs="黑体"/>
                <w:color w:val="000000"/>
                <w:w w:val="90"/>
                <w:szCs w:val="21"/>
              </w:rPr>
              <w:t>LED道路/隧道照明产品</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ED45083">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221968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《道路和隧道照明用LED灯具能效限定值及能效等级》（GB 37478）</w:t>
            </w:r>
          </w:p>
        </w:tc>
      </w:tr>
      <w:tr w14:paraId="5AC7880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3E2740E">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18B42C2">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68CE81D">
            <w:pPr>
              <w:jc w:val="left"/>
              <w:rPr>
                <w:rFonts w:hint="eastAsia" w:ascii="黑体" w:hAnsi="黑体" w:eastAsia="黑体" w:cs="黑体"/>
                <w:color w:val="000000"/>
                <w:w w:val="90"/>
                <w:szCs w:val="21"/>
              </w:rPr>
            </w:pPr>
            <w:r>
              <w:rPr>
                <w:rFonts w:hint="eastAsia" w:ascii="黑体" w:hAnsi="黑体" w:eastAsia="黑体" w:cs="黑体"/>
                <w:color w:val="000000"/>
                <w:w w:val="90"/>
                <w:szCs w:val="21"/>
              </w:rPr>
              <w:t>LED筒灯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6B17FFE">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2881CD9">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《室内照明用LED产品能效限定值及能效等级》（GB 30255）</w:t>
            </w:r>
          </w:p>
        </w:tc>
      </w:tr>
      <w:tr w14:paraId="71810DA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3BB1EAF">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C94EFC0">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8BE59D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普通照明用非定向自镇流LED灯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8A4734">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8DA8083">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《室内照明用LED产品能效限定值及能效等级》（GB 30255）</w:t>
            </w:r>
          </w:p>
        </w:tc>
      </w:tr>
      <w:tr w14:paraId="454708E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EF4FD5A">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12</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7A86F7E">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★A020910电视设备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3C9E9C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A02091001普通电视设备（电视机）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4192E55">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5136CF0">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《平板电视能效限定值及能效等级》（GB 24850）</w:t>
            </w:r>
          </w:p>
        </w:tc>
      </w:tr>
      <w:tr w14:paraId="1186B57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2D7E54">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13</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954326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★A020911视频设备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E1DB997">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A02091107视频监控设备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657D1F">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监视器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17DC8A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以射频信号为主要信号输入的监视器应符合《平板电视能效限定值及能效等级》（GB 24850），以数字信号为主要信号输入的监视器应符合《计算机显示器能效限定值及能效等级》（GB 21520）</w:t>
            </w:r>
          </w:p>
        </w:tc>
      </w:tr>
      <w:tr w14:paraId="252C89D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EB4135">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14</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7317EF3">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A031210饮食炊事机械</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0DFEAF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商用燃气灶具</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9452860">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D2A91EA">
            <w:pPr>
              <w:jc w:val="left"/>
              <w:rPr>
                <w:rFonts w:hint="eastAsia" w:ascii="黑体" w:hAnsi="黑体" w:eastAsia="黑体" w:cs="黑体"/>
                <w:color w:val="000000"/>
                <w:w w:val="90"/>
                <w:szCs w:val="21"/>
              </w:rPr>
            </w:pPr>
          </w:p>
        </w:tc>
      </w:tr>
      <w:tr w14:paraId="05CD98D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8B0A9B0">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15</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C6AA1B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★A060805便器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CA24E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坐便器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2F743EE">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2F5E543">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《坐便器水效限定值及水效等级</w:t>
            </w:r>
          </w:p>
          <w:p w14:paraId="5E69397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（GB 25502）</w:t>
            </w:r>
          </w:p>
        </w:tc>
      </w:tr>
      <w:tr w14:paraId="5FCFCB4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B6E36F1">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E3EA188">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3C79A0D">
            <w:pPr>
              <w:jc w:val="left"/>
              <w:rPr>
                <w:rFonts w:hint="eastAsia" w:ascii="黑体" w:hAnsi="黑体" w:eastAsia="黑体" w:cs="黑体"/>
                <w:color w:val="000000"/>
                <w:w w:val="90"/>
                <w:szCs w:val="21"/>
              </w:rPr>
            </w:pPr>
            <w:r>
              <w:rPr>
                <w:rFonts w:hint="eastAsia" w:ascii="黑体" w:hAnsi="黑体" w:eastAsia="黑体" w:cs="黑体"/>
                <w:color w:val="000000"/>
                <w:w w:val="90"/>
                <w:szCs w:val="21"/>
              </w:rPr>
              <w:t>蹲便器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B6DAEAD">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D30766">
            <w:pPr>
              <w:jc w:val="left"/>
              <w:rPr>
                <w:rFonts w:hint="eastAsia" w:ascii="黑体" w:hAnsi="黑体" w:eastAsia="黑体" w:cs="黑体"/>
                <w:color w:val="000000"/>
                <w:w w:val="90"/>
                <w:szCs w:val="21"/>
              </w:rPr>
            </w:pPr>
            <w:r>
              <w:rPr>
                <w:rFonts w:hint="eastAsia" w:ascii="黑体" w:hAnsi="黑体" w:eastAsia="黑体" w:cs="黑体"/>
                <w:color w:val="000000"/>
                <w:w w:val="90"/>
                <w:szCs w:val="21"/>
              </w:rPr>
              <w:t>《蹲便器用水效率限定值及用水效率等级》（GB 30717）</w:t>
            </w:r>
          </w:p>
        </w:tc>
      </w:tr>
      <w:tr w14:paraId="1024502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1B5C92B">
            <w:pPr>
              <w:jc w:val="center"/>
              <w:rPr>
                <w:rFonts w:hint="eastAsia" w:ascii="黑体" w:hAnsi="黑体" w:eastAsia="黑体" w:cs="黑体"/>
                <w:color w:val="000000"/>
                <w:w w:val="90"/>
                <w:szCs w:val="21"/>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5F34BD0">
            <w:pPr>
              <w:jc w:val="left"/>
              <w:rPr>
                <w:rFonts w:hint="eastAsia" w:ascii="黑体" w:hAnsi="黑体" w:eastAsia="黑体" w:cs="黑体"/>
                <w:color w:val="000000"/>
                <w:w w:val="90"/>
                <w:szCs w:val="21"/>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1B0588F">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小便器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542324D">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790915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《小便器用水效率限定值及用水效率等级》（GB 28377）</w:t>
            </w:r>
          </w:p>
        </w:tc>
      </w:tr>
      <w:tr w14:paraId="546FBED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C23E60C">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16</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83D3A31">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★A060806水嘴</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FEE4FDB">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47A472B">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20928D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《水嘴用水效率限定值及用水效率等级》（GB 25501）</w:t>
            </w:r>
          </w:p>
        </w:tc>
      </w:tr>
      <w:tr w14:paraId="699DED3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DF9A4BC">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17</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D319D9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A060807便器冲洗阀</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3773C71">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567054">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F1FFF9C">
            <w:pPr>
              <w:jc w:val="left"/>
              <w:rPr>
                <w:rFonts w:hint="eastAsia" w:ascii="黑体" w:hAnsi="黑体" w:eastAsia="黑体" w:cs="黑体"/>
                <w:color w:val="000000"/>
                <w:w w:val="90"/>
                <w:szCs w:val="21"/>
              </w:rPr>
            </w:pPr>
            <w:r>
              <w:rPr>
                <w:rFonts w:hint="eastAsia" w:ascii="黑体" w:hAnsi="黑体" w:eastAsia="黑体" w:cs="黑体"/>
                <w:color w:val="000000"/>
                <w:w w:val="90"/>
                <w:szCs w:val="21"/>
              </w:rPr>
              <w:t>《便器冲洗阀用水效率限定值及用水效率等级》（GB 28379）</w:t>
            </w:r>
          </w:p>
        </w:tc>
      </w:tr>
      <w:tr w14:paraId="304CBA7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AA3611A">
            <w:pPr>
              <w:jc w:val="center"/>
              <w:rPr>
                <w:rFonts w:hint="eastAsia" w:ascii="黑体" w:hAnsi="黑体" w:eastAsia="黑体" w:cs="黑体"/>
                <w:color w:val="000000"/>
                <w:w w:val="90"/>
                <w:szCs w:val="21"/>
              </w:rPr>
            </w:pPr>
            <w:r>
              <w:rPr>
                <w:rFonts w:hint="eastAsia" w:ascii="黑体" w:hAnsi="黑体" w:eastAsia="黑体" w:cs="黑体"/>
                <w:color w:val="000000"/>
                <w:w w:val="90"/>
                <w:szCs w:val="21"/>
              </w:rPr>
              <w:t>18</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8D10CC5">
            <w:pPr>
              <w:jc w:val="left"/>
              <w:rPr>
                <w:rFonts w:hint="eastAsia" w:ascii="黑体" w:hAnsi="黑体" w:eastAsia="黑体" w:cs="黑体"/>
                <w:color w:val="000000"/>
                <w:w w:val="90"/>
                <w:szCs w:val="21"/>
              </w:rPr>
            </w:pPr>
            <w:r>
              <w:rPr>
                <w:rFonts w:hint="eastAsia" w:ascii="黑体" w:hAnsi="黑体" w:eastAsia="黑体" w:cs="黑体"/>
                <w:color w:val="000000"/>
                <w:w w:val="90"/>
                <w:szCs w:val="21"/>
              </w:rPr>
              <w:t>A060810淋浴器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6E3B1BE">
            <w:pPr>
              <w:jc w:val="left"/>
              <w:rPr>
                <w:rFonts w:hint="eastAsia" w:ascii="黑体" w:hAnsi="黑体" w:eastAsia="黑体" w:cs="黑体"/>
                <w:color w:val="000000"/>
                <w:w w:val="90"/>
                <w:szCs w:val="21"/>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8268724">
            <w:pPr>
              <w:jc w:val="center"/>
              <w:rPr>
                <w:rFonts w:hint="eastAsia" w:ascii="黑体" w:hAnsi="黑体" w:eastAsia="黑体" w:cs="黑体"/>
                <w:color w:val="000000"/>
                <w:w w:val="90"/>
                <w:szCs w:val="21"/>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91B1DA2">
            <w:pPr>
              <w:jc w:val="left"/>
              <w:rPr>
                <w:rFonts w:hint="eastAsia" w:ascii="黑体" w:hAnsi="黑体" w:eastAsia="黑体" w:cs="黑体"/>
                <w:color w:val="000000"/>
                <w:w w:val="90"/>
                <w:szCs w:val="21"/>
              </w:rPr>
            </w:pPr>
            <w:r>
              <w:rPr>
                <w:rFonts w:hint="eastAsia" w:ascii="黑体" w:hAnsi="黑体" w:eastAsia="黑体" w:cs="黑体"/>
                <w:color w:val="000000"/>
                <w:w w:val="90"/>
                <w:szCs w:val="21"/>
              </w:rPr>
              <w:t>《淋浴器用水效率限定值及用水效率等级》（GB 28378）</w:t>
            </w:r>
          </w:p>
        </w:tc>
      </w:tr>
    </w:tbl>
    <w:p w14:paraId="0A9AA002">
      <w:pPr>
        <w:rPr>
          <w:rFonts w:hint="eastAsia" w:ascii="黑体" w:hAnsi="黑体" w:eastAsia="黑体" w:cs="黑体"/>
          <w:b/>
          <w:w w:val="90"/>
          <w:szCs w:val="21"/>
        </w:rPr>
      </w:pPr>
      <w:r>
        <w:rPr>
          <w:rFonts w:hint="eastAsia" w:ascii="黑体" w:hAnsi="黑体" w:eastAsia="黑体" w:cs="黑体"/>
          <w:b/>
          <w:w w:val="90"/>
          <w:szCs w:val="21"/>
        </w:rPr>
        <w:t>注：</w:t>
      </w:r>
    </w:p>
    <w:p w14:paraId="68F91D5A">
      <w:pPr>
        <w:rPr>
          <w:rFonts w:hint="eastAsia" w:ascii="黑体" w:hAnsi="黑体" w:eastAsia="黑体" w:cs="黑体"/>
          <w:b/>
          <w:w w:val="90"/>
          <w:szCs w:val="21"/>
        </w:rPr>
      </w:pPr>
      <w:r>
        <w:rPr>
          <w:rFonts w:hint="eastAsia" w:ascii="黑体" w:hAnsi="黑体" w:eastAsia="黑体" w:cs="黑体"/>
          <w:b/>
          <w:w w:val="90"/>
          <w:szCs w:val="21"/>
        </w:rPr>
        <w:t>1、节能产品认证应依据相关国家标准的最新版本，依据国家标准中二级能效（水效）指标。</w:t>
      </w:r>
    </w:p>
    <w:p w14:paraId="37E8017A">
      <w:pPr>
        <w:rPr>
          <w:rFonts w:hint="eastAsia" w:ascii="黑体" w:hAnsi="黑体" w:eastAsia="黑体" w:cs="黑体"/>
          <w:b/>
          <w:w w:val="90"/>
          <w:szCs w:val="21"/>
        </w:rPr>
      </w:pPr>
      <w:r>
        <w:rPr>
          <w:rFonts w:hint="eastAsia" w:ascii="黑体" w:hAnsi="黑体" w:eastAsia="黑体" w:cs="黑体"/>
          <w:b/>
          <w:w w:val="90"/>
          <w:szCs w:val="21"/>
        </w:rPr>
        <w:t>2、上述产品中认证标准发生变更的，依据原认证标准获得的、仍在有效期内的认证证书可使用至2019年6月1日。</w:t>
      </w:r>
    </w:p>
    <w:p w14:paraId="5A8D81DB">
      <w:pPr>
        <w:rPr>
          <w:rFonts w:hint="eastAsia" w:ascii="黑体" w:hAnsi="黑体" w:eastAsia="黑体" w:cs="黑体"/>
          <w:b/>
          <w:w w:val="90"/>
          <w:szCs w:val="21"/>
        </w:rPr>
      </w:pPr>
      <w:r>
        <w:rPr>
          <w:rFonts w:hint="eastAsia" w:ascii="黑体" w:hAnsi="黑体" w:eastAsia="黑体" w:cs="黑体"/>
          <w:b/>
          <w:w w:val="90"/>
          <w:szCs w:val="21"/>
        </w:rPr>
        <w:t>3、以“★”标注的为政府强制采购产品。</w:t>
      </w:r>
    </w:p>
    <w:p w14:paraId="01BB94EA">
      <w:pPr>
        <w:adjustRightInd w:val="0"/>
        <w:snapToGrid w:val="0"/>
        <w:rPr>
          <w:rFonts w:hint="eastAsia" w:ascii="黑体" w:hAnsi="黑体" w:eastAsia="黑体" w:cs="黑体"/>
          <w:b/>
          <w:szCs w:val="21"/>
        </w:rPr>
      </w:pPr>
    </w:p>
    <w:p w14:paraId="144C8D22">
      <w:pPr>
        <w:rPr>
          <w:rFonts w:hint="eastAsia" w:ascii="黑体" w:hAnsi="黑体" w:eastAsia="黑体" w:cs="黑体"/>
          <w:b/>
          <w:bCs/>
          <w:szCs w:val="21"/>
        </w:rPr>
      </w:pPr>
      <w:r>
        <w:rPr>
          <w:rFonts w:hint="eastAsia" w:ascii="黑体" w:hAnsi="黑体" w:eastAsia="黑体" w:cs="黑体"/>
          <w:b/>
          <w:bCs/>
          <w:szCs w:val="21"/>
        </w:rPr>
        <w:br w:type="page"/>
      </w:r>
    </w:p>
    <w:p w14:paraId="57CF06B4">
      <w:pPr>
        <w:keepNext/>
        <w:widowControl/>
        <w:rPr>
          <w:rFonts w:hint="eastAsia" w:ascii="黑体" w:hAnsi="黑体" w:eastAsia="黑体" w:cs="黑体"/>
          <w:b/>
          <w:bCs/>
          <w:szCs w:val="21"/>
        </w:rPr>
      </w:pPr>
      <w:r>
        <w:rPr>
          <w:rFonts w:hint="eastAsia" w:ascii="黑体" w:hAnsi="黑体" w:eastAsia="黑体" w:cs="黑体"/>
          <w:b/>
          <w:bCs/>
          <w:szCs w:val="21"/>
        </w:rPr>
        <w:t>附件：环境标志产品政府采购品目清单</w:t>
      </w:r>
    </w:p>
    <w:tbl>
      <w:tblPr>
        <w:tblStyle w:val="23"/>
        <w:tblW w:w="5000" w:type="pct"/>
        <w:tblInd w:w="0" w:type="dxa"/>
        <w:tblLayout w:type="autofit"/>
        <w:tblCellMar>
          <w:top w:w="0" w:type="dxa"/>
          <w:left w:w="108" w:type="dxa"/>
          <w:bottom w:w="0" w:type="dxa"/>
          <w:right w:w="108" w:type="dxa"/>
        </w:tblCellMar>
      </w:tblPr>
      <w:tblGrid>
        <w:gridCol w:w="770"/>
        <w:gridCol w:w="1181"/>
        <w:gridCol w:w="2444"/>
        <w:gridCol w:w="1934"/>
        <w:gridCol w:w="3299"/>
      </w:tblGrid>
      <w:tr w14:paraId="1A01C241">
        <w:trPr>
          <w:trHeight w:val="638" w:hRule="atLeast"/>
          <w:tblHeader/>
        </w:trPr>
        <w:tc>
          <w:tcPr>
            <w:tcW w:w="400" w:type="pct"/>
            <w:tcBorders>
              <w:top w:val="single" w:color="70AD47" w:sz="4" w:space="0"/>
              <w:left w:val="single" w:color="70AD47" w:sz="4" w:space="0"/>
              <w:bottom w:val="single" w:color="70AD47" w:sz="4" w:space="0"/>
              <w:right w:val="single" w:color="70AD47" w:sz="4" w:space="0"/>
              <w:tl2br w:val="nil"/>
            </w:tcBorders>
            <w:shd w:val="clear" w:color="auto" w:fill="AAD18D"/>
            <w:vAlign w:val="center"/>
          </w:tcPr>
          <w:p w14:paraId="3C40FE75">
            <w:pPr>
              <w:widowControl/>
              <w:jc w:val="left"/>
              <w:rPr>
                <w:rFonts w:hint="eastAsia" w:ascii="黑体" w:hAnsi="黑体" w:eastAsia="黑体" w:cs="黑体"/>
                <w:b/>
                <w:bCs/>
                <w:color w:val="000000"/>
                <w:kern w:val="0"/>
                <w:szCs w:val="21"/>
              </w:rPr>
            </w:pPr>
            <w:bookmarkStart w:id="65" w:name="_Hlk171952688"/>
            <w:r>
              <w:rPr>
                <w:rFonts w:hint="eastAsia" w:ascii="黑体" w:hAnsi="黑体" w:eastAsia="黑体" w:cs="黑体"/>
                <w:b/>
                <w:bCs/>
                <w:color w:val="000000"/>
                <w:kern w:val="0"/>
                <w:szCs w:val="21"/>
              </w:rPr>
              <w:t>品目</w:t>
            </w:r>
            <w:r>
              <w:rPr>
                <w:rFonts w:hint="eastAsia" w:ascii="黑体" w:hAnsi="黑体" w:eastAsia="黑体" w:cs="黑体"/>
                <w:b/>
                <w:bCs/>
                <w:color w:val="000000"/>
                <w:kern w:val="0"/>
                <w:szCs w:val="21"/>
              </w:rPr>
              <w:br w:type="textWrapping"/>
            </w:r>
            <w:r>
              <w:rPr>
                <w:rFonts w:hint="eastAsia" w:ascii="黑体" w:hAnsi="黑体" w:eastAsia="黑体" w:cs="黑体"/>
                <w:b/>
                <w:bCs/>
                <w:color w:val="000000"/>
                <w:kern w:val="0"/>
                <w:szCs w:val="21"/>
              </w:rPr>
              <w:t>序号</w:t>
            </w:r>
          </w:p>
        </w:tc>
        <w:tc>
          <w:tcPr>
            <w:tcW w:w="2885" w:type="pct"/>
            <w:gridSpan w:val="3"/>
            <w:tcBorders>
              <w:top w:val="single" w:color="70AD47" w:sz="4" w:space="0"/>
              <w:left w:val="single" w:color="70AD47" w:sz="4" w:space="0"/>
              <w:bottom w:val="single" w:color="70AD47" w:sz="4" w:space="0"/>
              <w:right w:val="single" w:color="70AD47" w:sz="4" w:space="0"/>
            </w:tcBorders>
            <w:shd w:val="clear" w:color="auto" w:fill="AAD18D"/>
            <w:vAlign w:val="center"/>
          </w:tcPr>
          <w:p w14:paraId="246EAAE4">
            <w:pPr>
              <w:widowControl/>
              <w:jc w:val="center"/>
              <w:rPr>
                <w:rFonts w:hint="eastAsia" w:ascii="黑体" w:hAnsi="黑体" w:eastAsia="黑体" w:cs="黑体"/>
                <w:b/>
                <w:bCs/>
                <w:color w:val="000000"/>
                <w:kern w:val="0"/>
                <w:szCs w:val="21"/>
              </w:rPr>
            </w:pPr>
            <w:r>
              <w:rPr>
                <w:rFonts w:hint="eastAsia" w:ascii="黑体" w:hAnsi="黑体" w:eastAsia="黑体" w:cs="黑体"/>
                <w:b/>
                <w:bCs/>
                <w:color w:val="000000"/>
                <w:kern w:val="0"/>
                <w:szCs w:val="21"/>
              </w:rPr>
              <w:t>名称</w:t>
            </w:r>
          </w:p>
        </w:tc>
        <w:tc>
          <w:tcPr>
            <w:tcW w:w="1713" w:type="pct"/>
            <w:tcBorders>
              <w:top w:val="single" w:color="70AD47" w:sz="4" w:space="0"/>
              <w:left w:val="single" w:color="70AD47" w:sz="4" w:space="0"/>
              <w:bottom w:val="single" w:color="70AD47" w:sz="4" w:space="0"/>
              <w:right w:val="single" w:color="70AD47" w:sz="4" w:space="0"/>
            </w:tcBorders>
            <w:shd w:val="clear" w:color="auto" w:fill="AAD18D"/>
            <w:vAlign w:val="center"/>
          </w:tcPr>
          <w:p w14:paraId="449EC53E">
            <w:pPr>
              <w:widowControl/>
              <w:jc w:val="center"/>
              <w:rPr>
                <w:rFonts w:hint="eastAsia" w:ascii="黑体" w:hAnsi="黑体" w:eastAsia="黑体" w:cs="黑体"/>
                <w:b/>
                <w:bCs/>
                <w:color w:val="000000"/>
                <w:kern w:val="0"/>
                <w:szCs w:val="21"/>
              </w:rPr>
            </w:pPr>
            <w:r>
              <w:rPr>
                <w:rFonts w:hint="eastAsia" w:ascii="黑体" w:hAnsi="黑体" w:eastAsia="黑体" w:cs="黑体"/>
                <w:b/>
                <w:bCs/>
                <w:color w:val="000000"/>
                <w:kern w:val="0"/>
                <w:szCs w:val="21"/>
              </w:rPr>
              <w:t>依据的标准</w:t>
            </w:r>
          </w:p>
        </w:tc>
      </w:tr>
      <w:tr w14:paraId="209B68E5">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085EC3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CC3C11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 计算机设备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CD3514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A02010103 服务器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1E27E18">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90C1C0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HJ2507 网络服务器</w:t>
            </w:r>
          </w:p>
        </w:tc>
      </w:tr>
      <w:tr w14:paraId="4590AD70">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513EFD0">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8E3B123">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20F7CD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A02010104 台式计算机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735C20A">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461C35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2371125C">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A5A75AE">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B6185CD">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756F16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A02010105 便携式计算机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D77AD6B">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344DA2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7B749C23">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3DA1C41">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17AB25F">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B19A84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A02010107 平板式微型计算机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25A57E2">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EEA3EB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005CB02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396EA9E">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FB38BA3">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600B6B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A02010108 网络计算机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46D9346">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AB7985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7A7A6FE7">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EDF955F">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725459">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71AC5B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A02010109 计算机工作站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91F6F65">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0149D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09902CC7">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623F6F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CC639EB">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BA8E48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A02010199 其他计算机设备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95502E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D5D90F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4B29EC7E">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B12934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2A9D5F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 输入输出设备</w:t>
            </w:r>
          </w:p>
        </w:tc>
        <w:tc>
          <w:tcPr>
            <w:tcW w:w="1269"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882ABF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A02010601 打印设备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80BFBE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A0201060101 喷墨打印机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ECB5FE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HJ2512 打印机、传真机及多功能一体机</w:t>
            </w:r>
          </w:p>
        </w:tc>
      </w:tr>
      <w:tr w14:paraId="1C2DB811">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26268A1">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454AD93">
            <w:pPr>
              <w:widowControl/>
              <w:jc w:val="left"/>
              <w:rPr>
                <w:rFonts w:hint="eastAsia" w:ascii="黑体" w:hAnsi="黑体" w:eastAsia="黑体" w:cs="黑体"/>
                <w:color w:val="000000"/>
                <w:kern w:val="0"/>
                <w:szCs w:val="21"/>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F93A603">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E54911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A0201060102 激光打印机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D4FDF1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HJ2512 打印机、传真机及多功能一体机</w:t>
            </w:r>
          </w:p>
        </w:tc>
      </w:tr>
      <w:tr w14:paraId="4B2D6C97">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0FB27B0">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E2E57AA">
            <w:pPr>
              <w:widowControl/>
              <w:jc w:val="left"/>
              <w:rPr>
                <w:rFonts w:hint="eastAsia" w:ascii="黑体" w:hAnsi="黑体" w:eastAsia="黑体" w:cs="黑体"/>
                <w:color w:val="000000"/>
                <w:kern w:val="0"/>
                <w:szCs w:val="21"/>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2E5EE99">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9FF354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A0201060103 热式打印机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EAAD80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HJ2512 打印机、传真机及多功能一体机</w:t>
            </w:r>
          </w:p>
        </w:tc>
      </w:tr>
      <w:tr w14:paraId="5261AD62">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8ABA89C">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C7034A6">
            <w:pPr>
              <w:widowControl/>
              <w:jc w:val="left"/>
              <w:rPr>
                <w:rFonts w:hint="eastAsia" w:ascii="黑体" w:hAnsi="黑体" w:eastAsia="黑体" w:cs="黑体"/>
                <w:color w:val="000000"/>
                <w:kern w:val="0"/>
                <w:szCs w:val="21"/>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7A0A530">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8EDF6F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A0201060104 针式打印机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C27EAA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HJ2512 打印机、传真机及多功能一体机</w:t>
            </w:r>
          </w:p>
        </w:tc>
      </w:tr>
      <w:tr w14:paraId="354A1F3F">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84562BE">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8E9DA34">
            <w:pPr>
              <w:widowControl/>
              <w:jc w:val="left"/>
              <w:rPr>
                <w:rFonts w:hint="eastAsia" w:ascii="黑体" w:hAnsi="黑体" w:eastAsia="黑体" w:cs="黑体"/>
                <w:color w:val="000000"/>
                <w:kern w:val="0"/>
                <w:szCs w:val="21"/>
              </w:rPr>
            </w:pPr>
          </w:p>
        </w:tc>
        <w:tc>
          <w:tcPr>
            <w:tcW w:w="1269"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E64EC2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A02010604 显示设备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0C4B09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A0201060401 液晶显示器</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4B8816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5BFAEFB6">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79D75E5">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EC0D35E">
            <w:pPr>
              <w:widowControl/>
              <w:jc w:val="left"/>
              <w:rPr>
                <w:rFonts w:hint="eastAsia" w:ascii="黑体" w:hAnsi="黑体" w:eastAsia="黑体" w:cs="黑体"/>
                <w:color w:val="000000"/>
                <w:kern w:val="0"/>
                <w:szCs w:val="21"/>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6799CAE">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27CAFD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A0201060499 其他显示器</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472322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HJ2536 微型计算机、显示器</w:t>
            </w:r>
          </w:p>
        </w:tc>
      </w:tr>
      <w:tr w14:paraId="623C12E0">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4CB0889">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C134D6E">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B8E50B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A02010609 图形图像输入设备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DBC9CC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A0201060901 扫描仪</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7D785F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HJ2517 扫描仪</w:t>
            </w:r>
          </w:p>
        </w:tc>
      </w:tr>
      <w:tr w14:paraId="574C0AE0">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5ACFEA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8B2405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A020202 投影仪</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95BCE47">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205773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6BBA23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HJ2516 投影仪</w:t>
            </w:r>
          </w:p>
        </w:tc>
      </w:tr>
      <w:tr w14:paraId="7DC4C932">
        <w:tblPrEx>
          <w:tblCellMar>
            <w:top w:w="0" w:type="dxa"/>
            <w:left w:w="108" w:type="dxa"/>
            <w:bottom w:w="0" w:type="dxa"/>
            <w:right w:w="108" w:type="dxa"/>
          </w:tblCellMar>
        </w:tblPrEx>
        <w:trPr>
          <w:trHeight w:val="322"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B4A11D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39C00A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A020201 复印机</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2D12D48">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DC2E23E">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86E627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HJ424 数字式复印（包括多功能）设备</w:t>
            </w:r>
          </w:p>
        </w:tc>
      </w:tr>
      <w:tr w14:paraId="38AE064A">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1676C1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7A9870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A020204 多功能一体机</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DAE73AF">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898D8EA">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AC668C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HJ424 数字式复印（包括多功能）设备</w:t>
            </w:r>
          </w:p>
        </w:tc>
      </w:tr>
      <w:tr w14:paraId="689A70E9">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7340B9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2AE71D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A020210 文印设备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952C70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A02021001 速印机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7A979A8">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BAD0B6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HJ472 数字式一体化速印机</w:t>
            </w:r>
          </w:p>
        </w:tc>
      </w:tr>
      <w:tr w14:paraId="316DBDC4">
        <w:tblPrEx>
          <w:tblCellMar>
            <w:top w:w="0" w:type="dxa"/>
            <w:left w:w="108" w:type="dxa"/>
            <w:bottom w:w="0" w:type="dxa"/>
            <w:right w:w="108" w:type="dxa"/>
          </w:tblCellMar>
        </w:tblPrEx>
        <w:trPr>
          <w:trHeight w:val="67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7EA916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CD918C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A020301 载货汽车（含自卸汽车）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F993808">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407504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7A0085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HJ2532 轻型汽车</w:t>
            </w:r>
          </w:p>
        </w:tc>
      </w:tr>
      <w:tr w14:paraId="4B1FD9C3">
        <w:tblPrEx>
          <w:tblCellMar>
            <w:top w:w="0" w:type="dxa"/>
            <w:left w:w="108" w:type="dxa"/>
            <w:bottom w:w="0" w:type="dxa"/>
            <w:right w:w="108" w:type="dxa"/>
          </w:tblCellMar>
        </w:tblPrEx>
        <w:trPr>
          <w:trHeight w:val="401"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A15C3D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00725C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A020305 乘用车</w:t>
            </w:r>
            <w:r>
              <w:rPr>
                <w:rFonts w:hint="eastAsia" w:ascii="黑体" w:hAnsi="黑体" w:eastAsia="黑体" w:cs="黑体"/>
                <w:color w:val="000000"/>
                <w:kern w:val="0"/>
                <w:szCs w:val="21"/>
              </w:rPr>
              <w:br w:type="textWrapping"/>
            </w:r>
            <w:r>
              <w:rPr>
                <w:rFonts w:hint="eastAsia" w:ascii="黑体" w:hAnsi="黑体" w:eastAsia="黑体" w:cs="黑体"/>
                <w:color w:val="000000"/>
                <w:kern w:val="0"/>
                <w:szCs w:val="21"/>
              </w:rPr>
              <w:t>（轿车）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D41749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A02030501 轿车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321FC1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9D13D0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HJ2532 轻型汽车</w:t>
            </w:r>
          </w:p>
        </w:tc>
      </w:tr>
      <w:tr w14:paraId="6E348A01">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FF1F6F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09C3581">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3BD4C3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A02030599 其他乘用车（轿车）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0209B5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DF5150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HJ2532 轻型汽车</w:t>
            </w:r>
          </w:p>
        </w:tc>
      </w:tr>
      <w:tr w14:paraId="796DD39A">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09F27E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4CA6CD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A020306 客车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4BD1B5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A02030601 小型客车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5CE9FC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2D4D14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HJ2532 轻型汽车</w:t>
            </w:r>
          </w:p>
        </w:tc>
      </w:tr>
      <w:tr w14:paraId="078081D5">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55BC55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CAE60F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A020307 专用车辆</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8CAACB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A02030799 其他专用汽车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25098CF">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9031D1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HJ2532 轻型汽车</w:t>
            </w:r>
          </w:p>
        </w:tc>
      </w:tr>
      <w:tr w14:paraId="62A920E7">
        <w:tblPrEx>
          <w:tblCellMar>
            <w:top w:w="0" w:type="dxa"/>
            <w:left w:w="108" w:type="dxa"/>
            <w:bottom w:w="0" w:type="dxa"/>
            <w:right w:w="108" w:type="dxa"/>
          </w:tblCellMar>
        </w:tblPrEx>
        <w:trPr>
          <w:trHeight w:val="32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80186F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DA2BF1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A020523 制冷空调设备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789B2A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A02052301 制冷压缩机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8971CE3">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83C0C1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HJ2531 工商用制冷设备</w:t>
            </w:r>
          </w:p>
        </w:tc>
      </w:tr>
      <w:tr w14:paraId="1C834DF6">
        <w:tblPrEx>
          <w:tblCellMar>
            <w:top w:w="0" w:type="dxa"/>
            <w:left w:w="108" w:type="dxa"/>
            <w:bottom w:w="0" w:type="dxa"/>
            <w:right w:w="108" w:type="dxa"/>
          </w:tblCellMar>
        </w:tblPrEx>
        <w:trPr>
          <w:trHeight w:val="322"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D60277F">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CD7E3FE">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1524B3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A02052305 空调机组</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D1D0CF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E876D9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HJ2531 工商用制冷设备</w:t>
            </w:r>
          </w:p>
        </w:tc>
      </w:tr>
      <w:tr w14:paraId="13E35D6D">
        <w:tblPrEx>
          <w:tblCellMar>
            <w:top w:w="0" w:type="dxa"/>
            <w:left w:w="108" w:type="dxa"/>
            <w:bottom w:w="0" w:type="dxa"/>
            <w:right w:w="108" w:type="dxa"/>
          </w:tblCellMar>
        </w:tblPrEx>
        <w:trPr>
          <w:trHeight w:val="322"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4529AA0">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002D82D">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82BE72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A02052309 专用制冷、空调设备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74E99FB">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D76067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HJ2531 工商用制冷设备</w:t>
            </w:r>
          </w:p>
        </w:tc>
      </w:tr>
      <w:tr w14:paraId="38CD0797">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483CFA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FC2F8B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A020618 生活用电器</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5CC484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A02061802 空气调节电器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8FE277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A0206180203 空调机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93D896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HJ2535 房间空气调节器</w:t>
            </w:r>
          </w:p>
        </w:tc>
      </w:tr>
      <w:tr w14:paraId="09823EF3">
        <w:tblPrEx>
          <w:tblCellMar>
            <w:top w:w="0" w:type="dxa"/>
            <w:left w:w="108" w:type="dxa"/>
            <w:bottom w:w="0" w:type="dxa"/>
            <w:right w:w="108" w:type="dxa"/>
          </w:tblCellMar>
        </w:tblPrEx>
        <w:trPr>
          <w:trHeight w:val="415"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CA8F729">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91EA86C">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83030D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A02061808 热水器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BCEA0B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0F95D6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HJ/T362 太阳能集热器</w:t>
            </w:r>
          </w:p>
        </w:tc>
      </w:tr>
      <w:tr w14:paraId="70D59C86">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4B598A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5AE87E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A020619 照 明设备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3A1649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A02061908 室内照明灯具</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19CD85C">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92523A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HJ2518 照明光源</w:t>
            </w:r>
          </w:p>
        </w:tc>
      </w:tr>
      <w:tr w14:paraId="476195A9">
        <w:tblPrEx>
          <w:tblCellMar>
            <w:top w:w="0" w:type="dxa"/>
            <w:left w:w="108" w:type="dxa"/>
            <w:bottom w:w="0" w:type="dxa"/>
            <w:right w:w="108" w:type="dxa"/>
          </w:tblCellMar>
        </w:tblPrEx>
        <w:trPr>
          <w:trHeight w:val="94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4DE2BF3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0ECF32B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A020810 传真及数据数字通信设备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DD89E9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A02081001 传真通信设备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A491572">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0C8834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HJ2512 打印机、传真机及多功能一体机</w:t>
            </w:r>
          </w:p>
        </w:tc>
      </w:tr>
      <w:tr w14:paraId="3ED0360B">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5B73DD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15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1CBA1C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A020910 电视设备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C0AAFE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A02091001 普通电视设备（电视机）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10C065E">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55D13D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HJ2506 彩色电视广播接收机</w:t>
            </w:r>
          </w:p>
        </w:tc>
      </w:tr>
      <w:tr w14:paraId="5510858A">
        <w:tblPrEx>
          <w:tblCellMar>
            <w:top w:w="0" w:type="dxa"/>
            <w:left w:w="108" w:type="dxa"/>
            <w:bottom w:w="0" w:type="dxa"/>
            <w:right w:w="108" w:type="dxa"/>
          </w:tblCellMar>
        </w:tblPrEx>
        <w:trPr>
          <w:trHeight w:val="636"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4B60A4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6B52E2B">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FB9026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A02091003 特殊功能应用电视设备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79F3BD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2C8311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HJ2506 彩色电视广播接收机</w:t>
            </w:r>
          </w:p>
        </w:tc>
      </w:tr>
      <w:tr w14:paraId="2E886429">
        <w:tblPrEx>
          <w:tblCellMar>
            <w:top w:w="0" w:type="dxa"/>
            <w:left w:w="108" w:type="dxa"/>
            <w:bottom w:w="0" w:type="dxa"/>
            <w:right w:w="108" w:type="dxa"/>
          </w:tblCellMar>
        </w:tblPrEx>
        <w:trPr>
          <w:trHeight w:val="410"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5DFE9D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16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A1A740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A0601 床类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3E2473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A060101 钢木床类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AD33A43">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46EED0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248A28A3">
        <w:tblPrEx>
          <w:tblCellMar>
            <w:top w:w="0" w:type="dxa"/>
            <w:left w:w="108" w:type="dxa"/>
            <w:bottom w:w="0" w:type="dxa"/>
            <w:right w:w="108" w:type="dxa"/>
          </w:tblCellMar>
        </w:tblPrEx>
        <w:trPr>
          <w:trHeight w:val="389"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1775655">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A37C1C4">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811293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A060104 木制床类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567C300">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8B0DFE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2F09FBE8">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345C3E3">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678D108">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3F7D32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A060199 其他床类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56C88AA">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FC3A12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28C5561A">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D11C99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17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E6FD60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A0602 台、桌类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3720C5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A060201 钢木台、桌类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950BBAE">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93CB3A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6DBB6AD3">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584F91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54B26F">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14E265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A060205 木制台、桌类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E20AAAC">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4059A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339657A8">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FE0BB9">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214A7C7">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D75428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A060299 其他台、桌类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6860896">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F0450A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18E0B610">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9AD84B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0C98BF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A0603 椅凳类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F0C607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A060301 金属骨架为主的椅凳类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8DEBE15">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42EF7A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35375E7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FB55435">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A6C71A2">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D5041C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A060302 木骨架为主的椅凳类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AF80E50">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949F48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02EF8BAC">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83029F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AC6B2AF">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3C1C82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A060399 其他椅凳类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C276AB1">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F34AD7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258827AB">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ACDE60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19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07FD87C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A0604 沙发类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44E14B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A060499 其他沙发类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27C7D66">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CE3AD9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486CEA11">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366977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20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1CDDA5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A0605 柜类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13D3BD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A060501 木质柜类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52DFFA5">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0B55AE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056E705D">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55C7714">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510499">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A2A1C4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A060503 金属质柜类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C8AA5B4">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E03DE2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741B92C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8D94C5D">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3538EE9">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79E55A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A060599 其他柜类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04A2100">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E0AB6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1E4B3604">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0DB0E1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EB8B04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A0606 架类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E4F231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A060601 木质架类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D019234">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052A9D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499BC80A">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663E9CE">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20D6014">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62B836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A060602 金属质架类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E5C0F35">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CC0557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17F96D63">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856139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93AF15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A0607 屏风类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549236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A060701 木质屏风类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1E09C08">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0CEC8C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234DCEA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6E62271">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C42639">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0FB40B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A060702 金属质屏风类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1EE3E17">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BD0C62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5AA8B2ED">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AFDE7B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9AFF5E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A060804 水池</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E7A952F">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FBA114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036A01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HJ/T296 卫生陶瓷</w:t>
            </w:r>
          </w:p>
        </w:tc>
      </w:tr>
      <w:tr w14:paraId="48ACCAF0">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4E511C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2E6E2E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A060805 便器</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E9C27FD">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7B6EDDA">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FCF8EF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HJ/T296 卫生陶瓷</w:t>
            </w:r>
          </w:p>
        </w:tc>
      </w:tr>
      <w:tr w14:paraId="5DEE2599">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7F222E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0F32610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A060806 水嘴</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AC0D9E1">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3735724">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AE2E81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HJ/T411 水嘴</w:t>
            </w:r>
          </w:p>
        </w:tc>
      </w:tr>
      <w:tr w14:paraId="62DE3D26">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42552B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6E34B8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A0609 组合家具</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8D4C54C">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5A1ACE1">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721D6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2DD879C2">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2DCC10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9E53A4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A0610 家用家具零配件</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9F97364">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1CC734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B6F749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7B3BA14A">
        <w:tblPrEx>
          <w:tblCellMar>
            <w:top w:w="0" w:type="dxa"/>
            <w:left w:w="108" w:type="dxa"/>
            <w:bottom w:w="0" w:type="dxa"/>
            <w:right w:w="108" w:type="dxa"/>
          </w:tblCellMar>
        </w:tblPrEx>
        <w:trPr>
          <w:trHeight w:val="63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4C3C43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28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54C644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A0699 其他家具用具</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EAFC4E6">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8215B82">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2C06DA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HJ2547 家具/HJ2540 木塑制品</w:t>
            </w:r>
          </w:p>
        </w:tc>
      </w:tr>
      <w:tr w14:paraId="1290EF7B">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9A79D3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29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E4791F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A070101 棉、化纤纺织及印染原料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AB766AE">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8EAF2A8">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86C01E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HJ2546 纺织产品</w:t>
            </w:r>
          </w:p>
        </w:tc>
      </w:tr>
      <w:tr w14:paraId="65AF968D">
        <w:tblPrEx>
          <w:tblCellMar>
            <w:top w:w="0" w:type="dxa"/>
            <w:left w:w="108" w:type="dxa"/>
            <w:bottom w:w="0" w:type="dxa"/>
            <w:right w:w="108" w:type="dxa"/>
          </w:tblCellMar>
        </w:tblPrEx>
        <w:trPr>
          <w:trHeight w:val="95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D3FF3E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97C19C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A090101 复 印纸（包括再生复印纸）</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8F546ED">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4AEB9F4">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E20A6E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HJ410 文化用纸</w:t>
            </w:r>
          </w:p>
        </w:tc>
      </w:tr>
      <w:tr w14:paraId="5B6416E2">
        <w:tblPrEx>
          <w:tblCellMar>
            <w:top w:w="0" w:type="dxa"/>
            <w:left w:w="108" w:type="dxa"/>
            <w:bottom w:w="0" w:type="dxa"/>
            <w:right w:w="108" w:type="dxa"/>
          </w:tblCellMar>
        </w:tblPrEx>
        <w:trPr>
          <w:trHeight w:val="94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C2F86A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31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64C7513">
            <w:pPr>
              <w:widowControl/>
              <w:jc w:val="left"/>
              <w:rPr>
                <w:rFonts w:hint="eastAsia" w:ascii="黑体" w:hAnsi="黑体" w:eastAsia="黑体" w:cs="黑体"/>
                <w:color w:val="000000"/>
                <w:kern w:val="0"/>
                <w:szCs w:val="21"/>
                <w:lang w:val="pt-BR"/>
              </w:rPr>
            </w:pPr>
            <w:r>
              <w:rPr>
                <w:rFonts w:hint="eastAsia" w:ascii="黑体" w:hAnsi="黑体" w:eastAsia="黑体" w:cs="黑体"/>
                <w:color w:val="000000"/>
                <w:kern w:val="0"/>
                <w:szCs w:val="21"/>
                <w:lang w:val="pt-BR"/>
              </w:rPr>
              <w:t xml:space="preserve">A090201 </w:t>
            </w:r>
            <w:r>
              <w:rPr>
                <w:rFonts w:hint="eastAsia" w:ascii="黑体" w:hAnsi="黑体" w:eastAsia="黑体" w:cs="黑体"/>
                <w:color w:val="000000"/>
                <w:kern w:val="0"/>
                <w:szCs w:val="21"/>
              </w:rPr>
              <w:t>鼓粉盒</w:t>
            </w:r>
            <w:r>
              <w:rPr>
                <w:rFonts w:hint="eastAsia" w:ascii="黑体" w:hAnsi="黑体" w:eastAsia="黑体" w:cs="黑体"/>
                <w:color w:val="000000"/>
                <w:kern w:val="0"/>
                <w:szCs w:val="21"/>
                <w:lang w:val="pt-BR"/>
              </w:rPr>
              <w:t>（</w:t>
            </w:r>
            <w:r>
              <w:rPr>
                <w:rFonts w:hint="eastAsia" w:ascii="黑体" w:hAnsi="黑体" w:eastAsia="黑体" w:cs="黑体"/>
                <w:color w:val="000000"/>
                <w:kern w:val="0"/>
                <w:szCs w:val="21"/>
              </w:rPr>
              <w:t>包括再生鼓粉盒</w:t>
            </w:r>
            <w:r>
              <w:rPr>
                <w:rFonts w:hint="eastAsia" w:ascii="黑体" w:hAnsi="黑体" w:eastAsia="黑体" w:cs="黑体"/>
                <w:color w:val="000000"/>
                <w:kern w:val="0"/>
                <w:szCs w:val="21"/>
                <w:lang w:val="pt-BR"/>
              </w:rPr>
              <w:t>）</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E3448A6">
            <w:pPr>
              <w:widowControl/>
              <w:jc w:val="left"/>
              <w:rPr>
                <w:rFonts w:hint="eastAsia" w:ascii="黑体" w:hAnsi="黑体" w:eastAsia="黑体" w:cs="黑体"/>
                <w:color w:val="000000"/>
                <w:kern w:val="0"/>
                <w:szCs w:val="21"/>
                <w:lang w:val="pt-BR"/>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6D3CD9D">
            <w:pPr>
              <w:widowControl/>
              <w:jc w:val="left"/>
              <w:rPr>
                <w:rFonts w:hint="eastAsia" w:ascii="黑体" w:hAnsi="黑体" w:eastAsia="黑体" w:cs="黑体"/>
                <w:color w:val="000000"/>
                <w:kern w:val="0"/>
                <w:szCs w:val="21"/>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683DA8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HJ/T413 再生鼓粉盒</w:t>
            </w:r>
          </w:p>
        </w:tc>
      </w:tr>
      <w:tr w14:paraId="568D20F5">
        <w:tblPrEx>
          <w:tblCellMar>
            <w:top w:w="0" w:type="dxa"/>
            <w:left w:w="108" w:type="dxa"/>
            <w:bottom w:w="0" w:type="dxa"/>
            <w:right w:w="108" w:type="dxa"/>
          </w:tblCellMar>
        </w:tblPrEx>
        <w:trPr>
          <w:trHeight w:val="466"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9CEB6C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A464EC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A100203 人造板</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649E0E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A10020301 胶合板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B45838B">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4D4109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HJ571 人造板及其制品</w:t>
            </w:r>
          </w:p>
        </w:tc>
      </w:tr>
      <w:tr w14:paraId="46A3DD98">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F36485E">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0833788">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4F6402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A10020302 纤维板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6074F7E">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18140E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HJ571 人造板及其制品</w:t>
            </w:r>
          </w:p>
        </w:tc>
      </w:tr>
      <w:tr w14:paraId="72D6A830">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78FDD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AEF0FB">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D5F98C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A10020303 刨花板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7753B6C">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775875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HJ571 人造板及其制品</w:t>
            </w:r>
          </w:p>
        </w:tc>
      </w:tr>
      <w:tr w14:paraId="3F98E13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FFF3CA3">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DC61526">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3264E2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A10020304 细木工板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F906DF4">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2D7104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HJ571 人造板及其制品</w:t>
            </w:r>
          </w:p>
        </w:tc>
      </w:tr>
      <w:tr w14:paraId="7C0AEFF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705D2D3">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75D78B">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4DAE91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A10020399 其他人造板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D2D8315">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60A813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HJ571 人造板及其制品</w:t>
            </w:r>
          </w:p>
        </w:tc>
      </w:tr>
      <w:tr w14:paraId="727A8E74">
        <w:tblPrEx>
          <w:tblCellMar>
            <w:top w:w="0" w:type="dxa"/>
            <w:left w:w="108" w:type="dxa"/>
            <w:bottom w:w="0" w:type="dxa"/>
            <w:right w:w="108" w:type="dxa"/>
          </w:tblCellMar>
        </w:tblPrEx>
        <w:trPr>
          <w:trHeight w:val="578"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AA5D02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33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62EF26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A100204 二次加工材,相关板材</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21761B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A10020404 人造板表面装饰板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60D9290">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1BC5E4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HJ571 人造板及其制品/HJ2540 木塑制品</w:t>
            </w:r>
          </w:p>
        </w:tc>
      </w:tr>
      <w:tr w14:paraId="11DCE702">
        <w:tblPrEx>
          <w:tblCellMar>
            <w:top w:w="0" w:type="dxa"/>
            <w:left w:w="108" w:type="dxa"/>
            <w:bottom w:w="0" w:type="dxa"/>
            <w:right w:w="108" w:type="dxa"/>
          </w:tblCellMar>
        </w:tblPrEx>
        <w:trPr>
          <w:trHeight w:val="636"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B7FA3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706F668">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127D93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A10020404 人造板表面装饰板（地板）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0C5AA64">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A267ED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HJ571 人造板及其制品/HJ2540 木塑制品</w:t>
            </w:r>
          </w:p>
        </w:tc>
      </w:tr>
      <w:tr w14:paraId="05DD9E01">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296F69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47EE7E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A100301 水泥熟料及水泥</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3937C1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A10030102 水泥</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C0C126F">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62C203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HJ2519 水泥</w:t>
            </w:r>
          </w:p>
        </w:tc>
      </w:tr>
      <w:tr w14:paraId="64D7763E">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220337A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07B9ADF">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A100303 水泥混凝土制品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0F1519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A10030301 商品混凝土</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4D44CB2">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F8F3B0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HJ/T412 预拌混凝土</w:t>
            </w:r>
          </w:p>
        </w:tc>
      </w:tr>
      <w:tr w14:paraId="3F3FF5D3">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8E0237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36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9BE024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A100304 纤维增强水泥制品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96AE49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A10030402 纤维增强硅酸钙板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4CF690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3FD80B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HJ/T223 轻质墙体板材</w:t>
            </w:r>
          </w:p>
        </w:tc>
      </w:tr>
      <w:tr w14:paraId="5C2DE82E">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3C67779">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FE20BF0">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DF0CBC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A10030403 无石棉纤维水泥制品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9C59595">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C08799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HJ/T223 轻质墙体板材</w:t>
            </w:r>
          </w:p>
        </w:tc>
      </w:tr>
      <w:tr w14:paraId="10D48900">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831016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37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B0EC9D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A100305 轻质建筑材料及制品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161402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A10030501 石膏板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AE5E65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0C3565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HJ/T223 轻质墙体板材</w:t>
            </w:r>
          </w:p>
        </w:tc>
      </w:tr>
      <w:tr w14:paraId="1E5C84BF">
        <w:tblPrEx>
          <w:tblCellMar>
            <w:top w:w="0" w:type="dxa"/>
            <w:left w:w="108" w:type="dxa"/>
            <w:bottom w:w="0" w:type="dxa"/>
            <w:right w:w="108" w:type="dxa"/>
          </w:tblCellMar>
        </w:tblPrEx>
        <w:trPr>
          <w:trHeight w:val="40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498716F">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7447E27">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9A854F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A10030503 轻质隔墙条板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9CF72E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678AB9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HJ/T223 轻质墙体板材</w:t>
            </w:r>
          </w:p>
        </w:tc>
      </w:tr>
      <w:tr w14:paraId="7A664F28">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E5D5DA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EDE36A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A100307 建筑 陶瓷制品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DE3182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A10030701 瓷质砖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C22838F">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31DD44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HJ/T297 陶瓷砖</w:t>
            </w:r>
          </w:p>
        </w:tc>
      </w:tr>
      <w:tr w14:paraId="5C32101C">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1F7B2C8">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692893B">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EA78FD3">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A10030704 炻质砖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D456101">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9A7248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HJ/T297 陶瓷砖</w:t>
            </w:r>
          </w:p>
        </w:tc>
      </w:tr>
      <w:tr w14:paraId="276602F9">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7A0E8AD">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30AFAE8">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74869C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A10030705 陶质砖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00DD1E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D3B4F8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HJ/T297 陶瓷砖</w:t>
            </w:r>
          </w:p>
        </w:tc>
      </w:tr>
      <w:tr w14:paraId="76A99766">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F8CCEA5">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7E04EA8">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3365E2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A10030799 其他建筑陶瓷制品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7C6867C">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622231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HJ/T297 陶瓷砖</w:t>
            </w:r>
          </w:p>
        </w:tc>
      </w:tr>
      <w:tr w14:paraId="143BA9A6">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322270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39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04024DD">
            <w:pPr>
              <w:widowControl/>
              <w:jc w:val="left"/>
              <w:rPr>
                <w:rFonts w:hint="eastAsia" w:ascii="黑体" w:hAnsi="黑体" w:eastAsia="黑体" w:cs="黑体"/>
                <w:color w:val="000000"/>
                <w:kern w:val="0"/>
                <w:szCs w:val="21"/>
                <w:lang w:val="pt-BR"/>
              </w:rPr>
            </w:pPr>
            <w:r>
              <w:rPr>
                <w:rFonts w:hint="eastAsia" w:ascii="黑体" w:hAnsi="黑体" w:eastAsia="黑体" w:cs="黑体"/>
                <w:color w:val="000000"/>
                <w:kern w:val="0"/>
                <w:szCs w:val="21"/>
                <w:lang w:val="pt-BR"/>
              </w:rPr>
              <w:t xml:space="preserve">A100309 </w:t>
            </w:r>
            <w:r>
              <w:rPr>
                <w:rFonts w:hint="eastAsia" w:ascii="黑体" w:hAnsi="黑体" w:eastAsia="黑体" w:cs="黑体"/>
                <w:color w:val="000000"/>
                <w:kern w:val="0"/>
                <w:szCs w:val="21"/>
              </w:rPr>
              <w:t>建筑</w:t>
            </w:r>
            <w:r>
              <w:rPr>
                <w:rFonts w:hint="eastAsia" w:ascii="黑体" w:hAnsi="黑体" w:eastAsia="黑体" w:cs="黑体"/>
                <w:color w:val="000000"/>
                <w:kern w:val="0"/>
                <w:szCs w:val="21"/>
                <w:lang w:val="pt-BR"/>
              </w:rPr>
              <w:t xml:space="preserve"> </w:t>
            </w:r>
            <w:r>
              <w:rPr>
                <w:rFonts w:hint="eastAsia" w:ascii="黑体" w:hAnsi="黑体" w:eastAsia="黑体" w:cs="黑体"/>
                <w:color w:val="000000"/>
                <w:kern w:val="0"/>
                <w:szCs w:val="21"/>
              </w:rPr>
              <w:t>防水卷材及制品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7D30CA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A10030901 沥青和改性沥青防水卷材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6991864">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A49973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HJ455 防水卷材</w:t>
            </w:r>
          </w:p>
        </w:tc>
      </w:tr>
      <w:tr w14:paraId="27C0D7C8">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FE7F868">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3182FA">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37A787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A10030903 自粘防水卷材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C6BC67D">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DAAAD2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HJ455 防水卷材</w:t>
            </w:r>
          </w:p>
        </w:tc>
      </w:tr>
      <w:tr w14:paraId="14D1C9FC">
        <w:tblPrEx>
          <w:tblCellMar>
            <w:top w:w="0" w:type="dxa"/>
            <w:left w:w="108" w:type="dxa"/>
            <w:bottom w:w="0" w:type="dxa"/>
            <w:right w:w="108" w:type="dxa"/>
          </w:tblCellMar>
        </w:tblPrEx>
        <w:trPr>
          <w:trHeight w:val="634"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C22D2BF">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EFBC0FA">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B271DA0">
            <w:pPr>
              <w:widowControl/>
              <w:jc w:val="left"/>
              <w:rPr>
                <w:rFonts w:hint="eastAsia" w:ascii="黑体" w:hAnsi="黑体" w:eastAsia="黑体" w:cs="黑体"/>
                <w:color w:val="000000"/>
                <w:kern w:val="0"/>
                <w:szCs w:val="21"/>
                <w:lang w:val="pt-BR"/>
              </w:rPr>
            </w:pPr>
            <w:r>
              <w:rPr>
                <w:rFonts w:hint="eastAsia" w:ascii="黑体" w:hAnsi="黑体" w:eastAsia="黑体" w:cs="黑体"/>
                <w:color w:val="000000"/>
                <w:kern w:val="0"/>
                <w:szCs w:val="21"/>
                <w:lang w:val="pt-BR"/>
              </w:rPr>
              <w:t xml:space="preserve">A10030906 </w:t>
            </w:r>
            <w:r>
              <w:rPr>
                <w:rFonts w:hint="eastAsia" w:ascii="黑体" w:hAnsi="黑体" w:eastAsia="黑体" w:cs="黑体"/>
                <w:color w:val="000000"/>
                <w:kern w:val="0"/>
                <w:szCs w:val="21"/>
              </w:rPr>
              <w:t>高分子防水卷</w:t>
            </w:r>
            <w:r>
              <w:rPr>
                <w:rFonts w:hint="eastAsia" w:ascii="黑体" w:hAnsi="黑体" w:eastAsia="黑体" w:cs="黑体"/>
                <w:color w:val="000000"/>
                <w:kern w:val="0"/>
                <w:szCs w:val="21"/>
                <w:lang w:val="pt-BR"/>
              </w:rPr>
              <w:t>（</w:t>
            </w:r>
            <w:r>
              <w:rPr>
                <w:rFonts w:hint="eastAsia" w:ascii="黑体" w:hAnsi="黑体" w:eastAsia="黑体" w:cs="黑体"/>
                <w:color w:val="000000"/>
                <w:kern w:val="0"/>
                <w:szCs w:val="21"/>
              </w:rPr>
              <w:t>片</w:t>
            </w:r>
            <w:r>
              <w:rPr>
                <w:rFonts w:hint="eastAsia" w:ascii="黑体" w:hAnsi="黑体" w:eastAsia="黑体" w:cs="黑体"/>
                <w:color w:val="000000"/>
                <w:kern w:val="0"/>
                <w:szCs w:val="21"/>
                <w:lang w:val="pt-BR"/>
              </w:rPr>
              <w:t>）</w:t>
            </w:r>
            <w:r>
              <w:rPr>
                <w:rFonts w:hint="eastAsia" w:ascii="黑体" w:hAnsi="黑体" w:eastAsia="黑体" w:cs="黑体"/>
                <w:color w:val="000000"/>
                <w:kern w:val="0"/>
                <w:szCs w:val="21"/>
              </w:rPr>
              <w:t>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6A83EB2">
            <w:pPr>
              <w:widowControl/>
              <w:jc w:val="left"/>
              <w:rPr>
                <w:rFonts w:hint="eastAsia" w:ascii="黑体" w:hAnsi="黑体" w:eastAsia="黑体" w:cs="黑体"/>
                <w:color w:val="000000"/>
                <w:kern w:val="0"/>
                <w:szCs w:val="21"/>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F79F5A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HJ455 防水卷材</w:t>
            </w:r>
          </w:p>
        </w:tc>
      </w:tr>
      <w:tr w14:paraId="04A1FD72">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F3E728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40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9BBB44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A100310 隔热、隔音人造矿物材料及其制品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0FFD37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A10031001 矿物绝热和吸声材料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1608DF8">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03321B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HJ/T223 轻质墙体板材</w:t>
            </w:r>
          </w:p>
        </w:tc>
      </w:tr>
      <w:tr w14:paraId="3D37BAED">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84B137">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E8F6AAA">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EFBD3E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A10031002 矿物材料制品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DFC033A">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814B38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HJ/T223 轻质墙体板材</w:t>
            </w:r>
          </w:p>
        </w:tc>
      </w:tr>
      <w:tr w14:paraId="2E7C1973">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E0AE62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41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32B0CC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A100601 功能性建筑涂料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596F0A2">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A9A60BA">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F7D8C4D">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HJ2537 水性涂料</w:t>
            </w:r>
          </w:p>
        </w:tc>
      </w:tr>
      <w:tr w14:paraId="675DF479">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9E9227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42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FDB6F2B">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A100399 其他非金属矿物制品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04492D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A10039901 其他非金属建筑材料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1C25A96">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819F87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HJ456 刚性防水材料</w:t>
            </w:r>
          </w:p>
        </w:tc>
      </w:tr>
      <w:tr w14:paraId="1532F69B">
        <w:tblPrEx>
          <w:tblCellMar>
            <w:top w:w="0" w:type="dxa"/>
            <w:left w:w="108" w:type="dxa"/>
            <w:bottom w:w="0" w:type="dxa"/>
            <w:right w:w="108" w:type="dxa"/>
          </w:tblCellMar>
        </w:tblPrEx>
        <w:trPr>
          <w:trHeight w:val="638"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A78C0D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43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58ACDC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A100602 墙面涂料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90409D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A10060202 合成树脂乳液内墙涂料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AF9E402">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FACD9F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HJ2537 水性涂料</w:t>
            </w:r>
          </w:p>
        </w:tc>
      </w:tr>
      <w:tr w14:paraId="1A50A4C1">
        <w:tblPrEx>
          <w:tblCellMar>
            <w:top w:w="0" w:type="dxa"/>
            <w:left w:w="108" w:type="dxa"/>
            <w:bottom w:w="0" w:type="dxa"/>
            <w:right w:w="108" w:type="dxa"/>
          </w:tblCellMar>
        </w:tblPrEx>
        <w:trPr>
          <w:trHeight w:val="634"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F2B6748">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F26203B">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4AF4091">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A10060203 合成树脂乳液外墙涂料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24CB8F1">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45FCD3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HJ2537 水性涂料</w:t>
            </w:r>
          </w:p>
        </w:tc>
      </w:tr>
      <w:tr w14:paraId="746BB8B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2CD37A3">
            <w:pPr>
              <w:widowControl/>
              <w:jc w:val="left"/>
              <w:rPr>
                <w:rFonts w:hint="eastAsia" w:ascii="黑体" w:hAnsi="黑体" w:eastAsia="黑体" w:cs="黑体"/>
                <w:color w:val="000000"/>
                <w:kern w:val="0"/>
                <w:szCs w:val="21"/>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5DC328B">
            <w:pPr>
              <w:widowControl/>
              <w:jc w:val="left"/>
              <w:rPr>
                <w:rFonts w:hint="eastAsia" w:ascii="黑体" w:hAnsi="黑体" w:eastAsia="黑体" w:cs="黑体"/>
                <w:color w:val="000000"/>
                <w:kern w:val="0"/>
                <w:szCs w:val="21"/>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B8BDF8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A10060299 其他墙面涂料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00B2080">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5EA9BE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HJ2537 水性涂料</w:t>
            </w:r>
          </w:p>
        </w:tc>
      </w:tr>
      <w:tr w14:paraId="15198BAE">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39B4A55">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77F7BB7">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A100604 防水涂料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0B9F75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A10060499 其他防水涂料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952B8F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58EDF4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HJ2537 水性涂料</w:t>
            </w:r>
          </w:p>
        </w:tc>
      </w:tr>
      <w:tr w14:paraId="14CB3E6D">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0104B9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C31586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A100699 其他建筑涂料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C18E16C">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18CD80F">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349799C">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HJ2537 水性涂料</w:t>
            </w:r>
          </w:p>
        </w:tc>
      </w:tr>
      <w:tr w14:paraId="0A757ADB">
        <w:tblPrEx>
          <w:tblCellMar>
            <w:top w:w="0" w:type="dxa"/>
            <w:left w:w="108" w:type="dxa"/>
            <w:bottom w:w="0" w:type="dxa"/>
            <w:right w:w="108" w:type="dxa"/>
          </w:tblCellMar>
        </w:tblPrEx>
        <w:trPr>
          <w:trHeight w:val="451"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4268C8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5E9E1F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A100701 门、门槛</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88ED982">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B3B3813">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9E327A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 237 塑料门窗/HJ459 木质门和钢质门</w:t>
            </w:r>
          </w:p>
        </w:tc>
      </w:tr>
      <w:tr w14:paraId="4F982D77">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7F6CBB8">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1F2397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A100702 窗</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4939273">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C662829">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61F7354">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HJ/T237 塑料门窗</w:t>
            </w:r>
          </w:p>
        </w:tc>
      </w:tr>
      <w:tr w14:paraId="6E3E5966">
        <w:tblPrEx>
          <w:tblCellMar>
            <w:top w:w="0" w:type="dxa"/>
            <w:left w:w="108" w:type="dxa"/>
            <w:bottom w:w="0" w:type="dxa"/>
            <w:right w:w="108" w:type="dxa"/>
          </w:tblCellMar>
        </w:tblPrEx>
        <w:trPr>
          <w:trHeight w:val="63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C1500C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48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CCC98C1">
            <w:pPr>
              <w:widowControl/>
              <w:jc w:val="left"/>
              <w:rPr>
                <w:rFonts w:hint="eastAsia" w:ascii="黑体" w:hAnsi="黑体" w:eastAsia="黑体" w:cs="黑体"/>
                <w:color w:val="000000"/>
                <w:kern w:val="0"/>
                <w:szCs w:val="21"/>
                <w:lang w:val="pt-BR"/>
              </w:rPr>
            </w:pPr>
            <w:r>
              <w:rPr>
                <w:rFonts w:hint="eastAsia" w:ascii="黑体" w:hAnsi="黑体" w:eastAsia="黑体" w:cs="黑体"/>
                <w:color w:val="000000"/>
                <w:kern w:val="0"/>
                <w:szCs w:val="21"/>
                <w:lang w:val="pt-BR"/>
              </w:rPr>
              <w:t xml:space="preserve">A170108 </w:t>
            </w:r>
            <w:r>
              <w:rPr>
                <w:rFonts w:hint="eastAsia" w:ascii="黑体" w:hAnsi="黑体" w:eastAsia="黑体" w:cs="黑体"/>
                <w:color w:val="000000"/>
                <w:kern w:val="0"/>
                <w:szCs w:val="21"/>
              </w:rPr>
              <w:t>涂料</w:t>
            </w:r>
            <w:r>
              <w:rPr>
                <w:rFonts w:hint="eastAsia" w:ascii="黑体" w:hAnsi="黑体" w:eastAsia="黑体" w:cs="黑体"/>
                <w:color w:val="000000"/>
                <w:kern w:val="0"/>
                <w:szCs w:val="21"/>
                <w:lang w:val="pt-BR"/>
              </w:rPr>
              <w:t>（</w:t>
            </w:r>
            <w:r>
              <w:rPr>
                <w:rFonts w:hint="eastAsia" w:ascii="黑体" w:hAnsi="黑体" w:eastAsia="黑体" w:cs="黑体"/>
                <w:color w:val="000000"/>
                <w:kern w:val="0"/>
                <w:szCs w:val="21"/>
              </w:rPr>
              <w:t>建筑涂料除外</w:t>
            </w:r>
            <w:r>
              <w:rPr>
                <w:rFonts w:hint="eastAsia" w:ascii="黑体" w:hAnsi="黑体" w:eastAsia="黑体" w:cs="黑体"/>
                <w:color w:val="000000"/>
                <w:kern w:val="0"/>
                <w:szCs w:val="21"/>
                <w:lang w:val="pt-BR"/>
              </w:rPr>
              <w:t>）</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00D0D9E">
            <w:pPr>
              <w:widowControl/>
              <w:jc w:val="left"/>
              <w:rPr>
                <w:rFonts w:hint="eastAsia" w:ascii="黑体" w:hAnsi="黑体" w:eastAsia="黑体" w:cs="黑体"/>
                <w:color w:val="000000"/>
                <w:kern w:val="0"/>
                <w:szCs w:val="21"/>
                <w:lang w:val="pt-BR"/>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FD01049">
            <w:pPr>
              <w:widowControl/>
              <w:jc w:val="left"/>
              <w:rPr>
                <w:rFonts w:hint="eastAsia" w:ascii="黑体" w:hAnsi="黑体" w:eastAsia="黑体" w:cs="黑体"/>
                <w:color w:val="000000"/>
                <w:kern w:val="0"/>
                <w:szCs w:val="21"/>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C0D889A">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HJ2537 水性涂料</w:t>
            </w:r>
          </w:p>
        </w:tc>
      </w:tr>
      <w:tr w14:paraId="3A3D16EA">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8F8836E">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49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0D70A06">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A170112 密封用填料及类似品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4A853B4">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8A02430">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29932C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HJ2541 胶粘剂</w:t>
            </w:r>
          </w:p>
        </w:tc>
      </w:tr>
      <w:tr w14:paraId="7AA9E755">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4A4F210">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 xml:space="preserve">50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6E72E99">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A180201 塑料制品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DF374CD">
            <w:pPr>
              <w:widowControl/>
              <w:jc w:val="left"/>
              <w:rPr>
                <w:rFonts w:hint="eastAsia" w:ascii="黑体" w:hAnsi="黑体" w:eastAsia="黑体" w:cs="黑体"/>
                <w:color w:val="000000"/>
                <w:kern w:val="0"/>
                <w:szCs w:val="21"/>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FD4D8C6">
            <w:pPr>
              <w:widowControl/>
              <w:jc w:val="left"/>
              <w:rPr>
                <w:rFonts w:hint="eastAsia" w:ascii="黑体" w:hAnsi="黑体" w:eastAsia="黑体" w:cs="黑体"/>
                <w:color w:val="000000"/>
                <w:kern w:val="0"/>
                <w:szCs w:val="21"/>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38D3152">
            <w:pPr>
              <w:widowControl/>
              <w:jc w:val="left"/>
              <w:rPr>
                <w:rFonts w:hint="eastAsia" w:ascii="黑体" w:hAnsi="黑体" w:eastAsia="黑体" w:cs="黑体"/>
                <w:color w:val="000000"/>
                <w:kern w:val="0"/>
                <w:szCs w:val="21"/>
              </w:rPr>
            </w:pPr>
            <w:r>
              <w:rPr>
                <w:rFonts w:hint="eastAsia" w:ascii="黑体" w:hAnsi="黑体" w:eastAsia="黑体" w:cs="黑体"/>
                <w:color w:val="000000"/>
                <w:kern w:val="0"/>
                <w:szCs w:val="21"/>
              </w:rPr>
              <w:t>HJ/T226 建筑用塑料管材/HJ/T231 再生塑料制品</w:t>
            </w:r>
          </w:p>
        </w:tc>
      </w:tr>
      <w:tr w14:paraId="473E9D58">
        <w:tblPrEx>
          <w:tblCellMar>
            <w:top w:w="0" w:type="dxa"/>
            <w:left w:w="108" w:type="dxa"/>
            <w:bottom w:w="0" w:type="dxa"/>
            <w:right w:w="108" w:type="dxa"/>
          </w:tblCellMar>
        </w:tblPrEx>
        <w:trPr>
          <w:trHeight w:val="375" w:hRule="atLeast"/>
          <w:tblHeader/>
        </w:trPr>
        <w:tc>
          <w:tcPr>
            <w:tcW w:w="3286" w:type="pct"/>
            <w:gridSpan w:val="4"/>
            <w:tcBorders>
              <w:top w:val="single" w:color="70AD47" w:sz="4" w:space="0"/>
              <w:left w:val="single" w:color="70AD47" w:sz="4" w:space="0"/>
              <w:bottom w:val="single" w:color="70AD47" w:sz="4" w:space="0"/>
              <w:right w:val="single" w:color="70AD47" w:sz="4" w:space="0"/>
            </w:tcBorders>
            <w:shd w:val="clear" w:color="auto" w:fill="FFFFFF"/>
          </w:tcPr>
          <w:p w14:paraId="631CB232">
            <w:pPr>
              <w:adjustRightInd w:val="0"/>
              <w:snapToGrid w:val="0"/>
              <w:ind w:firstLine="396" w:firstLineChars="200"/>
              <w:jc w:val="left"/>
              <w:rPr>
                <w:rFonts w:hint="eastAsia" w:ascii="黑体" w:hAnsi="黑体" w:eastAsia="黑体" w:cs="黑体"/>
                <w:color w:val="000000"/>
                <w:spacing w:val="-6"/>
                <w:szCs w:val="21"/>
              </w:rPr>
            </w:pPr>
            <w:r>
              <w:rPr>
                <w:rFonts w:hint="eastAsia" w:ascii="黑体" w:hAnsi="黑体" w:eastAsia="黑体" w:cs="黑体"/>
                <w:color w:val="000000"/>
                <w:spacing w:val="-6"/>
                <w:szCs w:val="21"/>
              </w:rPr>
              <w:t>注：环境标志产品认证应依据相关标准的最新版本</w:t>
            </w:r>
          </w:p>
        </w:tc>
        <w:tc>
          <w:tcPr>
            <w:tcW w:w="1713" w:type="pct"/>
            <w:tcBorders>
              <w:top w:val="single" w:color="70AD47" w:sz="4" w:space="0"/>
              <w:left w:val="single" w:color="70AD47" w:sz="4" w:space="0"/>
              <w:bottom w:val="single" w:color="70AD47" w:sz="4" w:space="0"/>
              <w:right w:val="single" w:color="70AD47" w:sz="4" w:space="0"/>
            </w:tcBorders>
            <w:shd w:val="clear" w:color="auto" w:fill="FFFFFF"/>
            <w:noWrap/>
            <w:vAlign w:val="bottom"/>
          </w:tcPr>
          <w:p w14:paraId="5EED0DFD">
            <w:pPr>
              <w:adjustRightInd w:val="0"/>
              <w:snapToGrid w:val="0"/>
              <w:ind w:firstLine="396" w:firstLineChars="200"/>
              <w:jc w:val="left"/>
              <w:rPr>
                <w:rFonts w:hint="eastAsia" w:ascii="黑体" w:hAnsi="黑体" w:eastAsia="黑体" w:cs="黑体"/>
                <w:color w:val="000000"/>
                <w:spacing w:val="-6"/>
                <w:szCs w:val="21"/>
              </w:rPr>
            </w:pPr>
          </w:p>
        </w:tc>
      </w:tr>
      <w:bookmarkEnd w:id="65"/>
    </w:tbl>
    <w:p w14:paraId="48270B2A">
      <w:pPr>
        <w:rPr>
          <w:rFonts w:hint="eastAsia" w:ascii="宋体" w:hAnsi="宋体" w:eastAsia="宋体" w:cs="Times New Roman"/>
          <w:b/>
          <w:szCs w:val="21"/>
        </w:rPr>
      </w:pPr>
      <w:r>
        <w:rPr>
          <w:rFonts w:ascii="宋体" w:hAnsi="宋体" w:eastAsia="宋体" w:cs="Times New Roman"/>
          <w:b/>
          <w:szCs w:val="21"/>
        </w:rPr>
        <w:br w:type="page"/>
      </w:r>
    </w:p>
    <w:p w14:paraId="1CE42E11">
      <w:pPr>
        <w:adjustRightInd w:val="0"/>
        <w:snapToGrid w:val="0"/>
        <w:spacing w:line="288" w:lineRule="auto"/>
        <w:rPr>
          <w:rFonts w:hint="eastAsia" w:ascii="宋体" w:hAnsi="宋体" w:eastAsia="宋体" w:cs="Times New Roman"/>
          <w:b/>
          <w:szCs w:val="21"/>
        </w:rPr>
      </w:pPr>
    </w:p>
    <w:p w14:paraId="78C7F38D">
      <w:pPr>
        <w:adjustRightInd w:val="0"/>
        <w:snapToGrid w:val="0"/>
        <w:spacing w:line="288" w:lineRule="auto"/>
        <w:outlineLvl w:val="2"/>
        <w:rPr>
          <w:rFonts w:hint="eastAsia" w:ascii="宋体" w:hAnsi="宋体" w:eastAsia="宋体" w:cs="宋体"/>
          <w:b/>
          <w:spacing w:val="-6"/>
          <w:szCs w:val="21"/>
        </w:rPr>
      </w:pPr>
      <w:r>
        <w:rPr>
          <w:rFonts w:hint="eastAsia" w:ascii="宋体" w:hAnsi="宋体" w:eastAsia="宋体" w:cs="宋体"/>
          <w:b/>
          <w:spacing w:val="-6"/>
          <w:szCs w:val="21"/>
        </w:rPr>
        <w:t>（8）科技创新相关证明材料</w:t>
      </w:r>
    </w:p>
    <w:p w14:paraId="29D75CF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优先推荐专精特新中小企业、创新产品参加政府采购活动。对省级以上主管部门认定的首台套产品，自纳入《省推广应用指导目录》起三年内参加政府采购活动时视同已具备相应销售业绩，业绩分为满分。</w:t>
      </w:r>
    </w:p>
    <w:p w14:paraId="46162335">
      <w:pPr>
        <w:adjustRightInd w:val="0"/>
        <w:snapToGrid w:val="0"/>
        <w:spacing w:line="288" w:lineRule="auto"/>
        <w:rPr>
          <w:rFonts w:hint="eastAsia" w:ascii="宋体" w:hAnsi="宋体" w:eastAsia="宋体" w:cs="宋体"/>
          <w:b/>
          <w:spacing w:val="-6"/>
          <w:szCs w:val="21"/>
        </w:rPr>
      </w:pPr>
    </w:p>
    <w:p w14:paraId="5A5179ED">
      <w:pPr>
        <w:adjustRightInd w:val="0"/>
        <w:snapToGrid w:val="0"/>
        <w:spacing w:line="288" w:lineRule="auto"/>
        <w:outlineLvl w:val="2"/>
        <w:rPr>
          <w:rFonts w:hint="eastAsia" w:ascii="宋体" w:hAnsi="宋体" w:eastAsia="宋体" w:cs="宋体"/>
          <w:b/>
          <w:spacing w:val="-6"/>
          <w:szCs w:val="21"/>
        </w:rPr>
      </w:pPr>
      <w:r>
        <w:rPr>
          <w:rFonts w:hint="eastAsia" w:ascii="宋体" w:hAnsi="宋体" w:eastAsia="宋体" w:cs="宋体"/>
          <w:b/>
          <w:spacing w:val="-6"/>
          <w:szCs w:val="21"/>
        </w:rPr>
        <w:t>（……）投标人需要说明的其他文件和材料。</w:t>
      </w:r>
    </w:p>
    <w:p w14:paraId="02BF527E">
      <w:pPr>
        <w:widowControl/>
        <w:adjustRightInd w:val="0"/>
        <w:snapToGrid w:val="0"/>
        <w:spacing w:line="288" w:lineRule="auto"/>
        <w:jc w:val="left"/>
        <w:rPr>
          <w:rFonts w:hint="eastAsia" w:ascii="宋体" w:hAnsi="宋体" w:eastAsia="宋体" w:cs="宋体"/>
          <w:b/>
          <w:spacing w:val="-6"/>
          <w:szCs w:val="21"/>
        </w:rPr>
      </w:pPr>
    </w:p>
    <w:p w14:paraId="00CC53A4">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39B15FF8">
      <w:pPr>
        <w:overflowPunct w:val="0"/>
        <w:adjustRightInd w:val="0"/>
        <w:snapToGrid w:val="0"/>
        <w:spacing w:line="288" w:lineRule="auto"/>
        <w:jc w:val="center"/>
        <w:outlineLvl w:val="1"/>
        <w:rPr>
          <w:rFonts w:hint="eastAsia" w:ascii="宋体" w:hAnsi="宋体" w:eastAsia="宋体" w:cs="Times New Roman"/>
          <w:b/>
          <w:spacing w:val="-6"/>
          <w:sz w:val="84"/>
          <w:szCs w:val="84"/>
        </w:rPr>
      </w:pPr>
      <w:r>
        <w:rPr>
          <w:rFonts w:hint="eastAsia" w:ascii="宋体" w:hAnsi="宋体" w:eastAsia="宋体" w:cs="Times New Roman"/>
          <w:b/>
          <w:spacing w:val="-6"/>
          <w:sz w:val="84"/>
          <w:szCs w:val="84"/>
        </w:rPr>
        <w:t>报价文件</w:t>
      </w:r>
    </w:p>
    <w:p w14:paraId="64BB9011">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0A92C740">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）开标一览表（标项一）</w:t>
      </w:r>
    </w:p>
    <w:p w14:paraId="3BF2AB61">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采 购 人：浙江工商大学</w:t>
      </w:r>
    </w:p>
    <w:p w14:paraId="67A58CDD">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项目名称：浙江工商大学未来营养健康与共同富裕计算设备更新-共同富裕计算设备（第一批）</w:t>
      </w:r>
    </w:p>
    <w:p w14:paraId="5519F850">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项目编号：QSZB-Z(H)-C24374(GK)</w:t>
      </w:r>
    </w:p>
    <w:p w14:paraId="605802D5">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标    项：1</w:t>
      </w:r>
    </w:p>
    <w:tbl>
      <w:tblPr>
        <w:tblStyle w:val="23"/>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1682"/>
        <w:gridCol w:w="1591"/>
        <w:gridCol w:w="802"/>
        <w:gridCol w:w="870"/>
        <w:gridCol w:w="544"/>
        <w:gridCol w:w="544"/>
        <w:gridCol w:w="924"/>
        <w:gridCol w:w="1016"/>
        <w:gridCol w:w="1001"/>
      </w:tblGrid>
      <w:tr w14:paraId="18D40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B718331">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3CC2B229">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标的名称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1439B40D">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4BD1272">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647949F9">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1C17B5E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54A9BCE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480" w:type="pct"/>
            <w:tcBorders>
              <w:top w:val="single" w:color="auto" w:sz="4" w:space="0"/>
              <w:left w:val="single" w:color="auto" w:sz="4" w:space="0"/>
              <w:bottom w:val="single" w:color="auto" w:sz="4" w:space="0"/>
              <w:right w:val="single" w:color="auto" w:sz="4" w:space="0"/>
            </w:tcBorders>
            <w:vAlign w:val="center"/>
          </w:tcPr>
          <w:p w14:paraId="0EC0B1ED">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28" w:type="pct"/>
            <w:tcBorders>
              <w:top w:val="single" w:color="auto" w:sz="4" w:space="0"/>
              <w:left w:val="single" w:color="auto" w:sz="4" w:space="0"/>
              <w:bottom w:val="single" w:color="auto" w:sz="4" w:space="0"/>
              <w:right w:val="single" w:color="auto" w:sz="4" w:space="0"/>
            </w:tcBorders>
            <w:vAlign w:val="center"/>
          </w:tcPr>
          <w:p w14:paraId="117699EE">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c>
          <w:tcPr>
            <w:tcW w:w="515" w:type="pct"/>
            <w:tcBorders>
              <w:top w:val="single" w:color="auto" w:sz="4" w:space="0"/>
              <w:left w:val="single" w:color="auto" w:sz="4" w:space="0"/>
              <w:bottom w:val="single" w:color="auto" w:sz="4" w:space="0"/>
              <w:right w:val="single" w:color="auto" w:sz="4" w:space="0"/>
            </w:tcBorders>
            <w:vAlign w:val="center"/>
          </w:tcPr>
          <w:p w14:paraId="0DFC083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6AC3B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A2EF443">
            <w:pPr>
              <w:adjustRightInd w:val="0"/>
              <w:snapToGrid w:val="0"/>
              <w:jc w:val="center"/>
              <w:rPr>
                <w:rFonts w:hint="eastAsia" w:ascii="黑体" w:hAnsi="黑体" w:eastAsia="黑体" w:cs="黑体"/>
                <w:szCs w:val="21"/>
              </w:rPr>
            </w:pPr>
            <w:r>
              <w:rPr>
                <w:rFonts w:hint="eastAsia" w:ascii="黑体" w:hAnsi="黑体" w:eastAsia="黑体" w:cs="黑体"/>
                <w:szCs w:val="21"/>
              </w:rPr>
              <w:t>1</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165D73E0">
            <w:pPr>
              <w:adjustRightInd w:val="0"/>
              <w:snapToGrid w:val="0"/>
              <w:jc w:val="center"/>
              <w:rPr>
                <w:rFonts w:hint="eastAsia" w:ascii="黑体" w:hAnsi="黑体" w:eastAsia="黑体" w:cs="黑体"/>
                <w:szCs w:val="21"/>
              </w:rPr>
            </w:pPr>
            <w:r>
              <w:rPr>
                <w:rFonts w:hint="eastAsia" w:ascii="黑体" w:hAnsi="黑体" w:eastAsia="黑体" w:cs="黑体"/>
                <w:szCs w:val="21"/>
                <w:lang w:bidi="ar"/>
              </w:rPr>
              <w:t>超模态行为洞察平台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1A33216F">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3696569F">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085ED8D">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CF7014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AF7FBF2">
            <w:pPr>
              <w:jc w:val="center"/>
              <w:textAlignment w:val="center"/>
              <w:rPr>
                <w:rFonts w:ascii="Times New Roman" w:hAnsi="Times New Roman" w:cs="Times New Roman"/>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76894AF4">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0C0D5CE4">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77B1602E">
            <w:pPr>
              <w:adjustRightInd w:val="0"/>
              <w:snapToGrid w:val="0"/>
              <w:spacing w:line="360" w:lineRule="auto"/>
              <w:jc w:val="center"/>
              <w:rPr>
                <w:rFonts w:hint="eastAsia" w:ascii="宋体" w:hAnsi="宋体" w:eastAsia="宋体" w:cs="宋体"/>
                <w:b/>
                <w:bCs/>
                <w:szCs w:val="21"/>
              </w:rPr>
            </w:pPr>
          </w:p>
        </w:tc>
      </w:tr>
      <w:tr w14:paraId="15E1F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2664256">
            <w:pPr>
              <w:adjustRightInd w:val="0"/>
              <w:snapToGrid w:val="0"/>
              <w:jc w:val="center"/>
              <w:rPr>
                <w:rFonts w:hint="eastAsia" w:ascii="黑体" w:hAnsi="黑体" w:eastAsia="黑体" w:cs="黑体"/>
                <w:szCs w:val="21"/>
              </w:rPr>
            </w:pPr>
            <w:r>
              <w:rPr>
                <w:rFonts w:hint="eastAsia" w:ascii="黑体" w:hAnsi="黑体" w:eastAsia="黑体" w:cs="黑体"/>
                <w:szCs w:val="21"/>
              </w:rPr>
              <w:t>2</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580BDA12">
            <w:pPr>
              <w:adjustRightInd w:val="0"/>
              <w:snapToGrid w:val="0"/>
              <w:jc w:val="center"/>
              <w:rPr>
                <w:rFonts w:hint="eastAsia" w:ascii="黑体" w:hAnsi="黑体" w:eastAsia="黑体" w:cs="黑体"/>
                <w:szCs w:val="21"/>
              </w:rPr>
            </w:pPr>
            <w:r>
              <w:rPr>
                <w:rFonts w:hint="eastAsia" w:ascii="黑体" w:hAnsi="黑体" w:eastAsia="黑体" w:cs="黑体"/>
                <w:szCs w:val="21"/>
                <w:lang w:bidi="ar"/>
              </w:rPr>
              <w:t>便携式行为观察记录分析系统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59B9D60E">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4955B80B">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7882597B">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3BAFBB9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FBB9B7E">
            <w:pPr>
              <w:jc w:val="center"/>
              <w:textAlignment w:val="center"/>
              <w:rPr>
                <w:rFonts w:ascii="Times New Roman" w:hAnsi="Times New Roman" w:cs="Times New Roman"/>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3B49073E">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7BA7A086">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68C62E10">
            <w:pPr>
              <w:adjustRightInd w:val="0"/>
              <w:snapToGrid w:val="0"/>
              <w:spacing w:line="360" w:lineRule="auto"/>
              <w:jc w:val="center"/>
              <w:rPr>
                <w:rFonts w:hint="eastAsia" w:ascii="宋体" w:hAnsi="宋体" w:eastAsia="宋体" w:cs="宋体"/>
                <w:b/>
                <w:bCs/>
                <w:szCs w:val="21"/>
              </w:rPr>
            </w:pPr>
          </w:p>
        </w:tc>
      </w:tr>
      <w:tr w14:paraId="7C437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A154845">
            <w:pPr>
              <w:adjustRightInd w:val="0"/>
              <w:snapToGrid w:val="0"/>
              <w:jc w:val="center"/>
              <w:rPr>
                <w:rFonts w:hint="eastAsia" w:ascii="黑体" w:hAnsi="黑体" w:eastAsia="黑体" w:cs="黑体"/>
                <w:szCs w:val="21"/>
              </w:rPr>
            </w:pPr>
            <w:r>
              <w:rPr>
                <w:rFonts w:hint="eastAsia" w:ascii="黑体" w:hAnsi="黑体" w:eastAsia="黑体" w:cs="黑体"/>
                <w:szCs w:val="21"/>
              </w:rPr>
              <w:t>3</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3D825190">
            <w:pPr>
              <w:adjustRightInd w:val="0"/>
              <w:snapToGrid w:val="0"/>
              <w:jc w:val="center"/>
              <w:rPr>
                <w:rFonts w:hint="eastAsia" w:ascii="黑体" w:hAnsi="黑体" w:eastAsia="黑体" w:cs="黑体"/>
                <w:szCs w:val="21"/>
              </w:rPr>
            </w:pPr>
            <w:r>
              <w:rPr>
                <w:rFonts w:hint="eastAsia" w:ascii="黑体" w:hAnsi="黑体" w:eastAsia="黑体" w:cs="黑体"/>
                <w:szCs w:val="21"/>
                <w:lang w:bidi="ar"/>
              </w:rPr>
              <w:t>视觉动态追踪系统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4B7FDAA0">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2F319C0">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32F8443">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10F1C9F3">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26DD1DF6">
            <w:pPr>
              <w:jc w:val="center"/>
              <w:textAlignment w:val="center"/>
              <w:rPr>
                <w:rFonts w:ascii="Times New Roman" w:hAnsi="Times New Roman" w:cs="Times New Roman"/>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0BD32011">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3D81DA68">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9A4A465">
            <w:pPr>
              <w:adjustRightInd w:val="0"/>
              <w:snapToGrid w:val="0"/>
              <w:spacing w:line="360" w:lineRule="auto"/>
              <w:jc w:val="center"/>
              <w:rPr>
                <w:rFonts w:hint="eastAsia" w:ascii="宋体" w:hAnsi="宋体" w:eastAsia="宋体" w:cs="宋体"/>
                <w:b/>
                <w:bCs/>
                <w:szCs w:val="21"/>
              </w:rPr>
            </w:pPr>
          </w:p>
        </w:tc>
      </w:tr>
      <w:tr w14:paraId="4C1CD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443823AB">
            <w:pPr>
              <w:adjustRightInd w:val="0"/>
              <w:snapToGrid w:val="0"/>
              <w:jc w:val="center"/>
              <w:rPr>
                <w:rFonts w:hint="eastAsia" w:ascii="黑体" w:hAnsi="黑体" w:eastAsia="黑体" w:cs="黑体"/>
                <w:szCs w:val="21"/>
              </w:rPr>
            </w:pPr>
            <w:r>
              <w:rPr>
                <w:rFonts w:hint="eastAsia" w:ascii="黑体" w:hAnsi="黑体" w:eastAsia="黑体" w:cs="黑体"/>
                <w:szCs w:val="21"/>
              </w:rPr>
              <w:t>4</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38BD335C">
            <w:pPr>
              <w:adjustRightInd w:val="0"/>
              <w:snapToGrid w:val="0"/>
              <w:jc w:val="center"/>
              <w:rPr>
                <w:rFonts w:hint="eastAsia" w:ascii="黑体" w:hAnsi="黑体" w:eastAsia="黑体" w:cs="黑体"/>
                <w:szCs w:val="21"/>
                <w:lang w:bidi="ar"/>
              </w:rPr>
            </w:pPr>
            <w:r>
              <w:rPr>
                <w:rFonts w:hint="eastAsia" w:ascii="黑体" w:hAnsi="黑体" w:eastAsia="黑体" w:cs="黑体"/>
                <w:szCs w:val="21"/>
                <w:lang w:bidi="ar"/>
              </w:rPr>
              <w:t>遥测式生理信号采集分析系统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4D681AE6">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2DDCD886">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0C6B66E6">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0F572D5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1E734DC1">
            <w:pPr>
              <w:jc w:val="center"/>
              <w:textAlignment w:val="center"/>
              <w:rPr>
                <w:rFonts w:ascii="Times New Roman" w:hAnsi="Times New Roman" w:cs="Times New Roman"/>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487AB536">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2686B920">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1978D8AB">
            <w:pPr>
              <w:adjustRightInd w:val="0"/>
              <w:snapToGrid w:val="0"/>
              <w:spacing w:line="360" w:lineRule="auto"/>
              <w:jc w:val="center"/>
              <w:rPr>
                <w:rFonts w:hint="eastAsia" w:ascii="宋体" w:hAnsi="宋体" w:eastAsia="宋体" w:cs="宋体"/>
                <w:b/>
                <w:bCs/>
                <w:szCs w:val="21"/>
              </w:rPr>
            </w:pPr>
          </w:p>
        </w:tc>
      </w:tr>
      <w:tr w14:paraId="1523F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A3101EF">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★以下（联合体其他成员）承担的部分：</w:t>
            </w:r>
          </w:p>
        </w:tc>
      </w:tr>
      <w:tr w14:paraId="16FEE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F3059FF">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1CF9536C">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24020A29">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7D4C9C02">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7F0A061D">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3E997D72">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16E6272">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22C375B3">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3F87160A">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C655872">
            <w:pPr>
              <w:adjustRightInd w:val="0"/>
              <w:snapToGrid w:val="0"/>
              <w:spacing w:line="360" w:lineRule="auto"/>
              <w:jc w:val="center"/>
              <w:rPr>
                <w:rFonts w:hint="eastAsia" w:ascii="宋体" w:hAnsi="宋体" w:eastAsia="宋体" w:cs="宋体"/>
                <w:b/>
                <w:bCs/>
                <w:szCs w:val="21"/>
              </w:rPr>
            </w:pPr>
          </w:p>
        </w:tc>
      </w:tr>
      <w:tr w14:paraId="20198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CD4F075">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★以下（分包单位）承担的部分：</w:t>
            </w:r>
          </w:p>
        </w:tc>
      </w:tr>
      <w:tr w14:paraId="149BF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0F0D5749">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0DDA31D0">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06B5A513">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18A7956">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385D8AE5">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77A644F0">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40AF9702">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2B411041">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7A194FFF">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81EE74B">
            <w:pPr>
              <w:adjustRightInd w:val="0"/>
              <w:snapToGrid w:val="0"/>
              <w:spacing w:line="360" w:lineRule="auto"/>
              <w:jc w:val="center"/>
              <w:rPr>
                <w:rFonts w:hint="eastAsia" w:ascii="宋体" w:hAnsi="宋体" w:eastAsia="宋体" w:cs="宋体"/>
                <w:b/>
                <w:bCs/>
                <w:szCs w:val="21"/>
              </w:rPr>
            </w:pPr>
          </w:p>
        </w:tc>
      </w:tr>
      <w:tr w14:paraId="32416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DCFB14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投标总价（人民币元）</w:t>
            </w:r>
          </w:p>
          <w:p w14:paraId="63D087CB">
            <w:pPr>
              <w:adjustRightInd w:val="0"/>
              <w:snapToGrid w:val="0"/>
              <w:spacing w:line="288" w:lineRule="auto"/>
              <w:rPr>
                <w:rFonts w:hint="eastAsia" w:ascii="宋体" w:hAnsi="宋体" w:eastAsia="宋体" w:cs="宋体"/>
                <w:b/>
                <w:bCs/>
                <w:szCs w:val="21"/>
              </w:rPr>
            </w:pPr>
          </w:p>
          <w:p w14:paraId="51F66DE2">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小写：_________________________</w:t>
            </w:r>
          </w:p>
          <w:p w14:paraId="75E24998">
            <w:pPr>
              <w:adjustRightInd w:val="0"/>
              <w:snapToGrid w:val="0"/>
              <w:spacing w:line="288" w:lineRule="auto"/>
              <w:rPr>
                <w:rFonts w:hint="eastAsia" w:ascii="宋体" w:hAnsi="宋体" w:eastAsia="宋体" w:cs="宋体"/>
                <w:b/>
                <w:bCs/>
                <w:szCs w:val="21"/>
              </w:rPr>
            </w:pPr>
          </w:p>
          <w:p w14:paraId="052E4BE7">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大写：_________________________</w:t>
            </w:r>
          </w:p>
          <w:p w14:paraId="5C227DCF">
            <w:pPr>
              <w:adjustRightInd w:val="0"/>
              <w:snapToGrid w:val="0"/>
              <w:spacing w:line="288" w:lineRule="auto"/>
              <w:rPr>
                <w:rFonts w:hint="eastAsia" w:ascii="宋体" w:hAnsi="宋体" w:eastAsia="宋体" w:cs="宋体"/>
                <w:b/>
                <w:bCs/>
                <w:szCs w:val="21"/>
              </w:rPr>
            </w:pPr>
          </w:p>
        </w:tc>
      </w:tr>
    </w:tbl>
    <w:p w14:paraId="11B6E84B">
      <w:pPr>
        <w:adjustRightInd w:val="0"/>
        <w:snapToGrid w:val="0"/>
        <w:spacing w:line="288" w:lineRule="auto"/>
        <w:rPr>
          <w:rFonts w:hint="eastAsia" w:ascii="宋体" w:hAnsi="宋体" w:eastAsia="宋体" w:cs="Times New Roman"/>
          <w:spacing w:val="-6"/>
          <w:szCs w:val="21"/>
        </w:rPr>
      </w:pPr>
    </w:p>
    <w:p w14:paraId="30FA434A">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说明：</w:t>
      </w:r>
    </w:p>
    <w:p w14:paraId="0BF430A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1.开标一览表应按照本招标文件“第三章 投标人须知”关于“投标报价”的规定填写；</w:t>
      </w:r>
    </w:p>
    <w:p w14:paraId="31FAFDB6">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★2.联合体其他成员承担的部分、分包单位承担的部分，应在表中列明。</w:t>
      </w:r>
    </w:p>
    <w:p w14:paraId="657D62DB">
      <w:pPr>
        <w:adjustRightInd w:val="0"/>
        <w:snapToGrid w:val="0"/>
        <w:spacing w:line="288" w:lineRule="auto"/>
        <w:rPr>
          <w:rFonts w:hint="default" w:ascii="宋体" w:hAnsi="宋体" w:eastAsia="宋体" w:cs="宋体"/>
          <w:b/>
          <w:bCs/>
          <w:szCs w:val="21"/>
          <w:lang w:val="en-US" w:eastAsia="zh-CN"/>
        </w:rPr>
      </w:pPr>
      <w:r>
        <w:rPr>
          <w:rFonts w:ascii="宋体" w:hAnsi="宋体" w:eastAsia="宋体" w:cs="Times New Roman"/>
          <w:b/>
          <w:bCs/>
          <w:color w:val="000000" w:themeColor="text1"/>
          <w:spacing w:val="-6"/>
          <w:szCs w:val="21"/>
          <w14:textFill>
            <w14:solidFill>
              <w14:schemeClr w14:val="tx1"/>
            </w14:solidFill>
          </w14:textFill>
        </w:rPr>
        <w:t>▲</w:t>
      </w:r>
      <w:r>
        <w:rPr>
          <w:rFonts w:hint="eastAsia" w:ascii="宋体" w:hAnsi="宋体" w:eastAsia="宋体" w:cs="宋体"/>
          <w:b/>
          <w:bCs/>
          <w:szCs w:val="21"/>
          <w:lang w:val="en-US" w:eastAsia="zh-CN"/>
        </w:rPr>
        <w:t>3.单价不得超过采购需求中规定的单价最高限价，总价不得超过采购需求中规定预算金额。</w:t>
      </w:r>
    </w:p>
    <w:p w14:paraId="04E40BCF">
      <w:pPr>
        <w:adjustRightInd w:val="0"/>
        <w:snapToGrid w:val="0"/>
        <w:spacing w:line="288" w:lineRule="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.后附组成明细表。</w:t>
      </w:r>
    </w:p>
    <w:p w14:paraId="3BA5ABC3">
      <w:pPr>
        <w:adjustRightInd w:val="0"/>
        <w:snapToGrid w:val="0"/>
        <w:spacing w:line="288" w:lineRule="auto"/>
        <w:rPr>
          <w:rFonts w:hint="eastAsia" w:ascii="宋体" w:hAnsi="宋体" w:eastAsia="宋体" w:cs="Times New Roman"/>
          <w:szCs w:val="21"/>
        </w:rPr>
      </w:pPr>
    </w:p>
    <w:p w14:paraId="5DBB2E15">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70E3B816">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6B1A29BD">
      <w:pPr>
        <w:rPr>
          <w:rFonts w:hint="eastAsia" w:ascii="宋体" w:hAnsi="宋体" w:eastAsia="宋体" w:cs="Times New Roman"/>
          <w:b/>
          <w:bCs/>
          <w:spacing w:val="-6"/>
          <w:szCs w:val="21"/>
        </w:rPr>
      </w:pPr>
      <w:r>
        <w:rPr>
          <w:rFonts w:hint="eastAsia" w:ascii="宋体" w:hAnsi="宋体" w:eastAsia="宋体" w:cs="Times New Roman"/>
          <w:b/>
          <w:bCs/>
          <w:spacing w:val="-6"/>
          <w:szCs w:val="21"/>
        </w:rPr>
        <w:br w:type="page"/>
      </w:r>
    </w:p>
    <w:p w14:paraId="65C01A57">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附1：超模态行为洞察平台组成明细表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7"/>
        <w:gridCol w:w="1363"/>
        <w:gridCol w:w="1286"/>
        <w:gridCol w:w="960"/>
        <w:gridCol w:w="605"/>
        <w:gridCol w:w="605"/>
        <w:gridCol w:w="1039"/>
        <w:gridCol w:w="1149"/>
      </w:tblGrid>
      <w:tr w14:paraId="69857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15BF5DFD">
            <w:pPr>
              <w:adjustRightInd w:val="0"/>
              <w:snapToGrid w:val="0"/>
              <w:jc w:val="center"/>
              <w:rPr>
                <w:rFonts w:hint="eastAsia" w:ascii="宋体" w:hAnsi="宋体" w:eastAsia="宋体" w:cs="宋体"/>
                <w:b/>
                <w:bCs/>
                <w:szCs w:val="21"/>
              </w:rPr>
            </w:pPr>
            <w:r>
              <w:rPr>
                <w:rFonts w:hint="eastAsia" w:ascii="宋体" w:hAnsi="宋体" w:eastAsia="宋体" w:cs="Times New Roman"/>
                <w:b/>
                <w:bCs/>
                <w:spacing w:val="-6"/>
                <w:szCs w:val="21"/>
              </w:rPr>
              <w:t>超模态行为洞察平台组成明细表</w:t>
            </w:r>
          </w:p>
        </w:tc>
      </w:tr>
      <w:tr w14:paraId="0D28D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408CF4EB">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7A9CADF0">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67C9D6D5">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454392F4">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4C6971DB">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0441C8E3">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6AC4564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538" w:type="pct"/>
            <w:tcBorders>
              <w:top w:val="single" w:color="auto" w:sz="4" w:space="0"/>
              <w:left w:val="single" w:color="auto" w:sz="4" w:space="0"/>
              <w:bottom w:val="single" w:color="auto" w:sz="4" w:space="0"/>
              <w:right w:val="single" w:color="auto" w:sz="4" w:space="0"/>
            </w:tcBorders>
            <w:vAlign w:val="center"/>
          </w:tcPr>
          <w:p w14:paraId="092EA2E9">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98" w:type="pct"/>
            <w:tcBorders>
              <w:top w:val="single" w:color="auto" w:sz="4" w:space="0"/>
              <w:left w:val="single" w:color="auto" w:sz="4" w:space="0"/>
              <w:bottom w:val="single" w:color="auto" w:sz="4" w:space="0"/>
              <w:right w:val="single" w:color="auto" w:sz="4" w:space="0"/>
            </w:tcBorders>
            <w:vAlign w:val="center"/>
          </w:tcPr>
          <w:p w14:paraId="5D2C724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r>
      <w:tr w14:paraId="267B9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731A7CBD">
            <w:pPr>
              <w:adjustRightInd w:val="0"/>
              <w:snapToGrid w:val="0"/>
              <w:jc w:val="center"/>
              <w:rPr>
                <w:rFonts w:hint="eastAsia" w:ascii="黑体" w:hAnsi="黑体" w:eastAsia="黑体" w:cs="黑体"/>
                <w:szCs w:val="21"/>
              </w:rPr>
            </w:pPr>
            <w:r>
              <w:rPr>
                <w:rFonts w:hint="eastAsia" w:ascii="黑体" w:hAnsi="黑体" w:eastAsia="黑体" w:cs="黑体"/>
                <w:szCs w:val="21"/>
              </w:rPr>
              <w:t>（1）</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5A305C63">
            <w:pPr>
              <w:adjustRightInd w:val="0"/>
              <w:snapToGrid w:val="0"/>
              <w:jc w:val="center"/>
              <w:rPr>
                <w:rFonts w:hint="eastAsia" w:ascii="黑体" w:hAnsi="黑体" w:eastAsia="黑体" w:cs="黑体"/>
                <w:szCs w:val="21"/>
              </w:rPr>
            </w:pPr>
            <w:r>
              <w:rPr>
                <w:rFonts w:hint="eastAsia" w:ascii="黑体" w:hAnsi="黑体" w:eastAsia="黑体" w:cs="黑体"/>
                <w:szCs w:val="21"/>
              </w:rPr>
              <w:t>超模态行为洞察平台</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0C553A61">
            <w:pPr>
              <w:adjustRightInd w:val="0"/>
              <w:snapToGrid w:val="0"/>
              <w:spacing w:line="360" w:lineRule="auto"/>
              <w:jc w:val="center"/>
              <w:rPr>
                <w:rFonts w:hint="eastAsia" w:ascii="宋体" w:hAnsi="宋体" w:eastAsia="宋体" w:cs="宋体"/>
                <w:b/>
                <w:bCs/>
                <w:szCs w:val="21"/>
              </w:rPr>
            </w:pP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3CAD4ABE">
            <w:pPr>
              <w:adjustRightInd w:val="0"/>
              <w:snapToGrid w:val="0"/>
              <w:spacing w:line="360" w:lineRule="auto"/>
              <w:jc w:val="center"/>
              <w:rPr>
                <w:rFonts w:hint="eastAsia" w:ascii="宋体" w:hAnsi="宋体" w:eastAsia="宋体" w:cs="宋体"/>
                <w:b/>
                <w:bCs/>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5F193B01">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65F9895A">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117226E">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38" w:type="pct"/>
            <w:tcBorders>
              <w:top w:val="single" w:color="auto" w:sz="4" w:space="0"/>
              <w:left w:val="single" w:color="auto" w:sz="4" w:space="0"/>
              <w:bottom w:val="single" w:color="auto" w:sz="4" w:space="0"/>
              <w:right w:val="single" w:color="auto" w:sz="4" w:space="0"/>
            </w:tcBorders>
            <w:vAlign w:val="center"/>
          </w:tcPr>
          <w:p w14:paraId="5F909C8B">
            <w:pPr>
              <w:adjustRightInd w:val="0"/>
              <w:snapToGrid w:val="0"/>
              <w:spacing w:line="360" w:lineRule="auto"/>
              <w:jc w:val="center"/>
              <w:rPr>
                <w:rFonts w:hint="eastAsia" w:ascii="宋体" w:hAnsi="宋体" w:eastAsia="宋体" w:cs="宋体"/>
                <w:b/>
                <w:bCs/>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49D25E62">
            <w:pPr>
              <w:adjustRightInd w:val="0"/>
              <w:snapToGrid w:val="0"/>
              <w:spacing w:line="360" w:lineRule="auto"/>
              <w:jc w:val="center"/>
              <w:rPr>
                <w:rFonts w:hint="eastAsia" w:ascii="宋体" w:hAnsi="宋体" w:eastAsia="宋体" w:cs="宋体"/>
                <w:b/>
                <w:bCs/>
                <w:szCs w:val="21"/>
              </w:rPr>
            </w:pPr>
          </w:p>
        </w:tc>
      </w:tr>
      <w:tr w14:paraId="73656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6FB34E7E">
            <w:pPr>
              <w:adjustRightInd w:val="0"/>
              <w:snapToGrid w:val="0"/>
              <w:jc w:val="center"/>
              <w:rPr>
                <w:rFonts w:hint="eastAsia" w:ascii="黑体" w:hAnsi="黑体" w:eastAsia="黑体" w:cs="黑体"/>
                <w:szCs w:val="21"/>
              </w:rPr>
            </w:pPr>
            <w:r>
              <w:rPr>
                <w:rFonts w:hint="eastAsia" w:ascii="黑体" w:hAnsi="黑体" w:eastAsia="黑体" w:cs="黑体"/>
                <w:szCs w:val="21"/>
              </w:rPr>
              <w:t>（2）</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4CD71A3B">
            <w:pPr>
              <w:adjustRightInd w:val="0"/>
              <w:snapToGrid w:val="0"/>
              <w:jc w:val="center"/>
              <w:rPr>
                <w:rFonts w:hint="eastAsia" w:ascii="黑体" w:hAnsi="黑体" w:eastAsia="黑体" w:cs="黑体"/>
                <w:szCs w:val="21"/>
              </w:rPr>
            </w:pPr>
            <w:r>
              <w:rPr>
                <w:rStyle w:val="109"/>
                <w:rFonts w:ascii="Times New Roman" w:hAnsi="Times New Roman" w:cs="Times New Roman"/>
                <w:szCs w:val="21"/>
                <w:lang w:bidi="ar"/>
              </w:rPr>
              <w:t>专用台式工作站</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731616FB">
            <w:pPr>
              <w:adjustRightInd w:val="0"/>
              <w:snapToGrid w:val="0"/>
              <w:spacing w:line="360" w:lineRule="auto"/>
              <w:jc w:val="center"/>
              <w:rPr>
                <w:rFonts w:hint="eastAsia" w:ascii="宋体" w:hAnsi="宋体" w:eastAsia="宋体" w:cs="宋体"/>
                <w:b/>
                <w:bCs/>
                <w:szCs w:val="21"/>
              </w:rPr>
            </w:pP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317C9B50">
            <w:pPr>
              <w:adjustRightInd w:val="0"/>
              <w:snapToGrid w:val="0"/>
              <w:spacing w:line="360" w:lineRule="auto"/>
              <w:jc w:val="center"/>
              <w:rPr>
                <w:rFonts w:hint="eastAsia" w:ascii="宋体" w:hAnsi="宋体" w:eastAsia="宋体" w:cs="宋体"/>
                <w:b/>
                <w:bCs/>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145F16EB">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1EFEFA75">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6DB201D">
            <w:pPr>
              <w:jc w:val="center"/>
              <w:textAlignment w:val="center"/>
              <w:rPr>
                <w:rFonts w:ascii="Times New Roman" w:hAnsi="Times New Roman" w:cs="Times New Roman"/>
                <w:szCs w:val="21"/>
              </w:rPr>
            </w:pPr>
            <w:r>
              <w:rPr>
                <w:rFonts w:hint="eastAsia" w:ascii="Times New Roman" w:hAnsi="Times New Roman" w:cs="Times New Roman"/>
                <w:szCs w:val="21"/>
              </w:rPr>
              <w:t>3</w:t>
            </w:r>
          </w:p>
        </w:tc>
        <w:tc>
          <w:tcPr>
            <w:tcW w:w="538" w:type="pct"/>
            <w:tcBorders>
              <w:top w:val="single" w:color="auto" w:sz="4" w:space="0"/>
              <w:left w:val="single" w:color="auto" w:sz="4" w:space="0"/>
              <w:bottom w:val="single" w:color="auto" w:sz="4" w:space="0"/>
              <w:right w:val="single" w:color="auto" w:sz="4" w:space="0"/>
            </w:tcBorders>
            <w:vAlign w:val="center"/>
          </w:tcPr>
          <w:p w14:paraId="0F6BC890">
            <w:pPr>
              <w:adjustRightInd w:val="0"/>
              <w:snapToGrid w:val="0"/>
              <w:spacing w:line="360" w:lineRule="auto"/>
              <w:jc w:val="center"/>
              <w:rPr>
                <w:rFonts w:hint="eastAsia" w:ascii="宋体" w:hAnsi="宋体" w:eastAsia="宋体" w:cs="宋体"/>
                <w:b/>
                <w:bCs/>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34F9EF7D">
            <w:pPr>
              <w:adjustRightInd w:val="0"/>
              <w:snapToGrid w:val="0"/>
              <w:spacing w:line="360" w:lineRule="auto"/>
              <w:jc w:val="center"/>
              <w:rPr>
                <w:rFonts w:hint="eastAsia" w:ascii="宋体" w:hAnsi="宋体" w:eastAsia="宋体" w:cs="宋体"/>
                <w:b/>
                <w:bCs/>
                <w:szCs w:val="21"/>
              </w:rPr>
            </w:pPr>
          </w:p>
        </w:tc>
      </w:tr>
      <w:tr w14:paraId="70C47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14B64CEA">
            <w:pPr>
              <w:adjustRightInd w:val="0"/>
              <w:snapToGrid w:val="0"/>
              <w:jc w:val="center"/>
              <w:rPr>
                <w:rFonts w:hint="eastAsia" w:ascii="黑体" w:hAnsi="黑体" w:eastAsia="黑体" w:cs="黑体"/>
                <w:szCs w:val="21"/>
              </w:rPr>
            </w:pPr>
            <w:r>
              <w:rPr>
                <w:rFonts w:hint="eastAsia" w:ascii="黑体" w:hAnsi="黑体" w:eastAsia="黑体" w:cs="黑体"/>
                <w:szCs w:val="21"/>
              </w:rPr>
              <w:t>（3）</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30B179D0">
            <w:pPr>
              <w:adjustRightInd w:val="0"/>
              <w:snapToGrid w:val="0"/>
              <w:jc w:val="center"/>
              <w:rPr>
                <w:rFonts w:hint="eastAsia" w:ascii="黑体" w:hAnsi="黑体" w:eastAsia="黑体" w:cs="黑体"/>
                <w:szCs w:val="21"/>
              </w:rPr>
            </w:pPr>
            <w:r>
              <w:rPr>
                <w:rFonts w:hint="eastAsia"/>
                <w:b/>
                <w:bCs/>
                <w:szCs w:val="21"/>
                <w:lang w:bidi="ar"/>
              </w:rPr>
              <w:t>塔式</w:t>
            </w:r>
            <w:r>
              <w:rPr>
                <w:rFonts w:hint="eastAsia"/>
                <w:b/>
                <w:bCs/>
                <w:szCs w:val="21"/>
                <w:lang w:eastAsia="zh" w:bidi="ar"/>
              </w:rPr>
              <w:t>工作站</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239ADB02">
            <w:pPr>
              <w:adjustRightInd w:val="0"/>
              <w:snapToGrid w:val="0"/>
              <w:spacing w:line="360" w:lineRule="auto"/>
              <w:jc w:val="center"/>
              <w:rPr>
                <w:rFonts w:hint="eastAsia" w:ascii="宋体" w:hAnsi="宋体" w:eastAsia="宋体" w:cs="宋体"/>
                <w:b/>
                <w:bCs/>
                <w:szCs w:val="21"/>
              </w:rPr>
            </w:pP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06D0A948">
            <w:pPr>
              <w:adjustRightInd w:val="0"/>
              <w:snapToGrid w:val="0"/>
              <w:spacing w:line="360" w:lineRule="auto"/>
              <w:jc w:val="center"/>
              <w:rPr>
                <w:rFonts w:hint="eastAsia" w:ascii="宋体" w:hAnsi="宋体" w:eastAsia="宋体" w:cs="宋体"/>
                <w:b/>
                <w:bCs/>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0DFAE28F">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6CD252A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5BB9AE2D">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38" w:type="pct"/>
            <w:tcBorders>
              <w:top w:val="single" w:color="auto" w:sz="4" w:space="0"/>
              <w:left w:val="single" w:color="auto" w:sz="4" w:space="0"/>
              <w:bottom w:val="single" w:color="auto" w:sz="4" w:space="0"/>
              <w:right w:val="single" w:color="auto" w:sz="4" w:space="0"/>
            </w:tcBorders>
            <w:vAlign w:val="center"/>
          </w:tcPr>
          <w:p w14:paraId="7D5BE88F">
            <w:pPr>
              <w:adjustRightInd w:val="0"/>
              <w:snapToGrid w:val="0"/>
              <w:spacing w:line="360" w:lineRule="auto"/>
              <w:jc w:val="center"/>
              <w:rPr>
                <w:rFonts w:hint="eastAsia" w:ascii="宋体" w:hAnsi="宋体" w:eastAsia="宋体" w:cs="宋体"/>
                <w:b/>
                <w:bCs/>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49F5AB96">
            <w:pPr>
              <w:adjustRightInd w:val="0"/>
              <w:snapToGrid w:val="0"/>
              <w:spacing w:line="360" w:lineRule="auto"/>
              <w:jc w:val="center"/>
              <w:rPr>
                <w:rFonts w:hint="eastAsia" w:ascii="宋体" w:hAnsi="宋体" w:eastAsia="宋体" w:cs="宋体"/>
                <w:b/>
                <w:bCs/>
                <w:szCs w:val="21"/>
              </w:rPr>
            </w:pPr>
          </w:p>
        </w:tc>
      </w:tr>
      <w:tr w14:paraId="1B560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3C91C9A7">
            <w:pPr>
              <w:adjustRightInd w:val="0"/>
              <w:snapToGrid w:val="0"/>
              <w:jc w:val="center"/>
              <w:rPr>
                <w:rFonts w:hint="eastAsia" w:ascii="黑体" w:hAnsi="黑体" w:eastAsia="黑体" w:cs="黑体"/>
                <w:szCs w:val="21"/>
              </w:rPr>
            </w:pPr>
            <w:r>
              <w:rPr>
                <w:rFonts w:hint="eastAsia" w:ascii="黑体" w:hAnsi="黑体" w:eastAsia="黑体" w:cs="黑体"/>
                <w:szCs w:val="21"/>
              </w:rPr>
              <w:t>（4）</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3FF1E9B4">
            <w:pPr>
              <w:adjustRightInd w:val="0"/>
              <w:snapToGrid w:val="0"/>
              <w:jc w:val="center"/>
              <w:rPr>
                <w:rFonts w:hint="eastAsia" w:ascii="黑体" w:hAnsi="黑体" w:eastAsia="黑体" w:cs="黑体"/>
                <w:szCs w:val="21"/>
                <w:lang w:bidi="ar"/>
              </w:rPr>
            </w:pPr>
            <w:r>
              <w:rPr>
                <w:rStyle w:val="109"/>
                <w:rFonts w:ascii="Times New Roman" w:hAnsi="Times New Roman" w:cs="Times New Roman"/>
                <w:bCs/>
                <w:szCs w:val="21"/>
              </w:rPr>
              <w:t>USB摄像头</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3E9F76A8">
            <w:pPr>
              <w:adjustRightInd w:val="0"/>
              <w:snapToGrid w:val="0"/>
              <w:spacing w:line="360" w:lineRule="auto"/>
              <w:jc w:val="center"/>
              <w:rPr>
                <w:rFonts w:hint="eastAsia" w:ascii="宋体" w:hAnsi="宋体" w:eastAsia="宋体" w:cs="宋体"/>
                <w:b/>
                <w:bCs/>
                <w:szCs w:val="21"/>
              </w:rPr>
            </w:pP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0697E3D3">
            <w:pPr>
              <w:adjustRightInd w:val="0"/>
              <w:snapToGrid w:val="0"/>
              <w:spacing w:line="360" w:lineRule="auto"/>
              <w:jc w:val="center"/>
              <w:rPr>
                <w:rFonts w:hint="eastAsia" w:ascii="宋体" w:hAnsi="宋体" w:eastAsia="宋体" w:cs="宋体"/>
                <w:b/>
                <w:bCs/>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0C0BD27F">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3C97187F">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个</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0B93891F">
            <w:pPr>
              <w:jc w:val="center"/>
              <w:textAlignment w:val="center"/>
              <w:rPr>
                <w:rFonts w:ascii="Times New Roman" w:hAnsi="Times New Roman" w:cs="Times New Roman"/>
                <w:szCs w:val="21"/>
              </w:rPr>
            </w:pPr>
            <w:r>
              <w:rPr>
                <w:rFonts w:hint="eastAsia" w:ascii="Times New Roman" w:hAnsi="Times New Roman" w:cs="Times New Roman"/>
                <w:szCs w:val="21"/>
              </w:rPr>
              <w:t>2</w:t>
            </w:r>
          </w:p>
        </w:tc>
        <w:tc>
          <w:tcPr>
            <w:tcW w:w="538" w:type="pct"/>
            <w:tcBorders>
              <w:top w:val="single" w:color="auto" w:sz="4" w:space="0"/>
              <w:left w:val="single" w:color="auto" w:sz="4" w:space="0"/>
              <w:bottom w:val="single" w:color="auto" w:sz="4" w:space="0"/>
              <w:right w:val="single" w:color="auto" w:sz="4" w:space="0"/>
            </w:tcBorders>
            <w:vAlign w:val="center"/>
          </w:tcPr>
          <w:p w14:paraId="36001A97">
            <w:pPr>
              <w:adjustRightInd w:val="0"/>
              <w:snapToGrid w:val="0"/>
              <w:spacing w:line="360" w:lineRule="auto"/>
              <w:jc w:val="center"/>
              <w:rPr>
                <w:rFonts w:hint="eastAsia" w:ascii="宋体" w:hAnsi="宋体" w:eastAsia="宋体" w:cs="宋体"/>
                <w:b/>
                <w:bCs/>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3D08F2C4">
            <w:pPr>
              <w:adjustRightInd w:val="0"/>
              <w:snapToGrid w:val="0"/>
              <w:spacing w:line="360" w:lineRule="auto"/>
              <w:jc w:val="center"/>
              <w:rPr>
                <w:rFonts w:hint="eastAsia" w:ascii="宋体" w:hAnsi="宋体" w:eastAsia="宋体" w:cs="宋体"/>
                <w:b/>
                <w:bCs/>
                <w:szCs w:val="21"/>
              </w:rPr>
            </w:pPr>
          </w:p>
        </w:tc>
      </w:tr>
      <w:tr w14:paraId="4E6A1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4FAB4FC6">
            <w:pPr>
              <w:adjustRightInd w:val="0"/>
              <w:snapToGrid w:val="0"/>
              <w:jc w:val="center"/>
              <w:rPr>
                <w:rFonts w:hint="eastAsia" w:ascii="黑体" w:hAnsi="黑体" w:eastAsia="黑体" w:cs="黑体"/>
                <w:szCs w:val="21"/>
              </w:rPr>
            </w:pPr>
            <w:r>
              <w:rPr>
                <w:rFonts w:hint="eastAsia" w:ascii="黑体" w:hAnsi="黑体" w:eastAsia="黑体" w:cs="黑体"/>
                <w:szCs w:val="21"/>
              </w:rPr>
              <w:t>（5）</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14:paraId="7A204B7F">
            <w:pPr>
              <w:adjustRightInd w:val="0"/>
              <w:snapToGrid w:val="0"/>
              <w:jc w:val="center"/>
              <w:rPr>
                <w:rFonts w:ascii="Times New Roman" w:hAnsi="Times New Roman" w:cs="Times New Roman"/>
                <w:b/>
                <w:bCs/>
                <w:szCs w:val="21"/>
              </w:rPr>
            </w:pPr>
            <w:r>
              <w:rPr>
                <w:rFonts w:ascii="Times New Roman" w:hAnsi="Times New Roman" w:cs="Times New Roman"/>
                <w:b/>
                <w:szCs w:val="21"/>
              </w:rPr>
              <w:t>网络交换机</w:t>
            </w:r>
          </w:p>
        </w:tc>
        <w:tc>
          <w:tcPr>
            <w:tcW w:w="711" w:type="pct"/>
            <w:tcBorders>
              <w:top w:val="single" w:color="auto" w:sz="4" w:space="0"/>
              <w:left w:val="single" w:color="auto" w:sz="4" w:space="0"/>
              <w:bottom w:val="single" w:color="auto" w:sz="4" w:space="0"/>
              <w:right w:val="single" w:color="auto" w:sz="4" w:space="0"/>
            </w:tcBorders>
            <w:shd w:val="clear" w:color="auto" w:fill="FFFFFF"/>
            <w:vAlign w:val="center"/>
          </w:tcPr>
          <w:p w14:paraId="43FD4EE8">
            <w:pPr>
              <w:adjustRightInd w:val="0"/>
              <w:snapToGrid w:val="0"/>
              <w:spacing w:line="360" w:lineRule="auto"/>
              <w:jc w:val="center"/>
              <w:rPr>
                <w:rFonts w:hint="eastAsia" w:ascii="宋体" w:hAnsi="宋体" w:eastAsia="宋体" w:cs="宋体"/>
                <w:b/>
                <w:bCs/>
                <w:szCs w:val="21"/>
              </w:rPr>
            </w:pPr>
          </w:p>
        </w:tc>
        <w:tc>
          <w:tcPr>
            <w:tcW w:w="671" w:type="pct"/>
            <w:tcBorders>
              <w:top w:val="single" w:color="auto" w:sz="4" w:space="0"/>
              <w:left w:val="single" w:color="auto" w:sz="4" w:space="0"/>
              <w:bottom w:val="single" w:color="auto" w:sz="4" w:space="0"/>
              <w:right w:val="single" w:color="auto" w:sz="4" w:space="0"/>
            </w:tcBorders>
            <w:shd w:val="clear" w:color="auto" w:fill="FFFFFF"/>
            <w:vAlign w:val="center"/>
          </w:tcPr>
          <w:p w14:paraId="67C8F937">
            <w:pPr>
              <w:adjustRightInd w:val="0"/>
              <w:snapToGrid w:val="0"/>
              <w:spacing w:line="360" w:lineRule="auto"/>
              <w:jc w:val="center"/>
              <w:rPr>
                <w:rFonts w:hint="eastAsia" w:ascii="宋体" w:hAnsi="宋体" w:eastAsia="宋体" w:cs="宋体"/>
                <w:b/>
                <w:bCs/>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240D9224">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37AC3CC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65A485FE">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38" w:type="pct"/>
            <w:tcBorders>
              <w:top w:val="single" w:color="auto" w:sz="4" w:space="0"/>
              <w:left w:val="single" w:color="auto" w:sz="4" w:space="0"/>
              <w:bottom w:val="single" w:color="auto" w:sz="4" w:space="0"/>
              <w:right w:val="single" w:color="auto" w:sz="4" w:space="0"/>
            </w:tcBorders>
            <w:vAlign w:val="center"/>
          </w:tcPr>
          <w:p w14:paraId="73B54A18">
            <w:pPr>
              <w:adjustRightInd w:val="0"/>
              <w:snapToGrid w:val="0"/>
              <w:spacing w:line="360" w:lineRule="auto"/>
              <w:jc w:val="center"/>
              <w:rPr>
                <w:rFonts w:hint="eastAsia" w:ascii="宋体" w:hAnsi="宋体" w:eastAsia="宋体" w:cs="宋体"/>
                <w:b/>
                <w:bCs/>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0CE87F58">
            <w:pPr>
              <w:adjustRightInd w:val="0"/>
              <w:snapToGrid w:val="0"/>
              <w:spacing w:line="360" w:lineRule="auto"/>
              <w:jc w:val="center"/>
              <w:rPr>
                <w:rFonts w:hint="eastAsia" w:ascii="宋体" w:hAnsi="宋体" w:eastAsia="宋体" w:cs="宋体"/>
                <w:b/>
                <w:bCs/>
                <w:szCs w:val="21"/>
              </w:rPr>
            </w:pPr>
          </w:p>
        </w:tc>
      </w:tr>
      <w:tr w14:paraId="34BFE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1"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57717376">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小计（小计金额应等于开标一览表中“超模态行为洞察平台”的金额）</w:t>
            </w:r>
          </w:p>
        </w:tc>
        <w:tc>
          <w:tcPr>
            <w:tcW w:w="598" w:type="pct"/>
            <w:tcBorders>
              <w:top w:val="single" w:color="auto" w:sz="4" w:space="0"/>
              <w:left w:val="single" w:color="auto" w:sz="4" w:space="0"/>
              <w:bottom w:val="single" w:color="auto" w:sz="4" w:space="0"/>
              <w:right w:val="single" w:color="auto" w:sz="4" w:space="0"/>
            </w:tcBorders>
            <w:vAlign w:val="center"/>
          </w:tcPr>
          <w:p w14:paraId="366751F4">
            <w:pPr>
              <w:adjustRightInd w:val="0"/>
              <w:snapToGrid w:val="0"/>
              <w:spacing w:line="360" w:lineRule="auto"/>
              <w:jc w:val="center"/>
              <w:rPr>
                <w:rFonts w:hint="eastAsia" w:ascii="宋体" w:hAnsi="宋体" w:eastAsia="宋体" w:cs="宋体"/>
                <w:b/>
                <w:bCs/>
                <w:szCs w:val="21"/>
              </w:rPr>
            </w:pPr>
          </w:p>
        </w:tc>
      </w:tr>
    </w:tbl>
    <w:p w14:paraId="40162BB5">
      <w:pPr>
        <w:adjustRightInd w:val="0"/>
        <w:snapToGrid w:val="0"/>
        <w:spacing w:line="288" w:lineRule="auto"/>
        <w:rPr>
          <w:rFonts w:hint="eastAsia" w:ascii="宋体" w:hAnsi="宋体" w:eastAsia="宋体" w:cs="Times New Roman"/>
          <w:b/>
          <w:bCs/>
          <w:spacing w:val="-6"/>
          <w:szCs w:val="21"/>
        </w:rPr>
      </w:pPr>
    </w:p>
    <w:p w14:paraId="2D979838">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附2：便携式行为观察记录分析系统组成明细表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9"/>
        <w:gridCol w:w="1365"/>
        <w:gridCol w:w="1289"/>
        <w:gridCol w:w="962"/>
        <w:gridCol w:w="605"/>
        <w:gridCol w:w="605"/>
        <w:gridCol w:w="1032"/>
        <w:gridCol w:w="1147"/>
      </w:tblGrid>
      <w:tr w14:paraId="378B8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2BB7718A">
            <w:pPr>
              <w:adjustRightInd w:val="0"/>
              <w:snapToGrid w:val="0"/>
              <w:jc w:val="center"/>
              <w:rPr>
                <w:rFonts w:hint="eastAsia" w:ascii="宋体" w:hAnsi="宋体" w:eastAsia="宋体" w:cs="宋体"/>
                <w:b/>
                <w:bCs/>
                <w:szCs w:val="21"/>
              </w:rPr>
            </w:pPr>
            <w:r>
              <w:rPr>
                <w:rFonts w:hint="eastAsia" w:ascii="宋体" w:hAnsi="宋体" w:eastAsia="宋体" w:cs="Times New Roman"/>
                <w:b/>
                <w:bCs/>
                <w:spacing w:val="-6"/>
                <w:szCs w:val="21"/>
              </w:rPr>
              <w:t>便携式行为观察记录分析系统组成明细表</w:t>
            </w:r>
          </w:p>
        </w:tc>
      </w:tr>
      <w:tr w14:paraId="76859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7E24658D">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5558D5F2">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4C148B57">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4B326E0F">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68B50D0A">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04C21F7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263CC74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534" w:type="pct"/>
            <w:tcBorders>
              <w:top w:val="single" w:color="auto" w:sz="4" w:space="0"/>
              <w:left w:val="single" w:color="auto" w:sz="4" w:space="0"/>
              <w:bottom w:val="single" w:color="auto" w:sz="4" w:space="0"/>
              <w:right w:val="single" w:color="auto" w:sz="4" w:space="0"/>
            </w:tcBorders>
            <w:vAlign w:val="center"/>
          </w:tcPr>
          <w:p w14:paraId="04B4F1F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97" w:type="pct"/>
            <w:tcBorders>
              <w:top w:val="single" w:color="auto" w:sz="4" w:space="0"/>
              <w:left w:val="single" w:color="auto" w:sz="4" w:space="0"/>
              <w:bottom w:val="single" w:color="auto" w:sz="4" w:space="0"/>
              <w:right w:val="single" w:color="auto" w:sz="4" w:space="0"/>
            </w:tcBorders>
            <w:vAlign w:val="center"/>
          </w:tcPr>
          <w:p w14:paraId="2CB3530B">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r>
      <w:tr w14:paraId="68402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EF121D6">
            <w:pPr>
              <w:adjustRightInd w:val="0"/>
              <w:snapToGrid w:val="0"/>
              <w:jc w:val="center"/>
              <w:rPr>
                <w:rFonts w:hint="eastAsia" w:ascii="黑体" w:hAnsi="黑体" w:eastAsia="黑体" w:cs="黑体"/>
                <w:szCs w:val="21"/>
              </w:rPr>
            </w:pPr>
            <w:r>
              <w:rPr>
                <w:rFonts w:hint="eastAsia" w:ascii="黑体" w:hAnsi="黑体" w:eastAsia="黑体" w:cs="黑体"/>
                <w:szCs w:val="21"/>
              </w:rPr>
              <w:t>（1）</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03AC00DD">
            <w:pPr>
              <w:adjustRightInd w:val="0"/>
              <w:snapToGrid w:val="0"/>
              <w:jc w:val="center"/>
              <w:rPr>
                <w:rFonts w:hint="eastAsia" w:ascii="黑体" w:hAnsi="黑体" w:eastAsia="黑体" w:cs="黑体"/>
                <w:szCs w:val="21"/>
              </w:rPr>
            </w:pPr>
            <w:r>
              <w:rPr>
                <w:rFonts w:hint="eastAsia" w:ascii="宋体" w:hAnsi="宋体" w:eastAsia="宋体" w:cs="Times New Roman"/>
                <w:b/>
                <w:bCs/>
                <w:spacing w:val="-6"/>
                <w:szCs w:val="21"/>
              </w:rPr>
              <w:t>便携式行为观察记录分析系统</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78A9C3F9">
            <w:pPr>
              <w:adjustRightInd w:val="0"/>
              <w:snapToGrid w:val="0"/>
              <w:spacing w:line="360" w:lineRule="auto"/>
              <w:jc w:val="center"/>
              <w:rPr>
                <w:rFonts w:hint="eastAsia" w:ascii="宋体" w:hAnsi="宋体" w:eastAsia="宋体" w:cs="宋体"/>
                <w:b/>
                <w:bCs/>
                <w:szCs w:val="21"/>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23D00F4F">
            <w:pPr>
              <w:adjustRightInd w:val="0"/>
              <w:snapToGrid w:val="0"/>
              <w:spacing w:line="360" w:lineRule="auto"/>
              <w:jc w:val="center"/>
              <w:rPr>
                <w:rFonts w:hint="eastAsia" w:ascii="宋体" w:hAnsi="宋体" w:eastAsia="宋体" w:cs="宋体"/>
                <w:b/>
                <w:bCs/>
                <w:szCs w:val="21"/>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7FE81A3E">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0643C6D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71300BEE">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34" w:type="pct"/>
            <w:tcBorders>
              <w:top w:val="single" w:color="auto" w:sz="4" w:space="0"/>
              <w:left w:val="single" w:color="auto" w:sz="4" w:space="0"/>
              <w:bottom w:val="single" w:color="auto" w:sz="4" w:space="0"/>
              <w:right w:val="single" w:color="auto" w:sz="4" w:space="0"/>
            </w:tcBorders>
            <w:vAlign w:val="center"/>
          </w:tcPr>
          <w:p w14:paraId="5B46A3E4">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400A5A8A">
            <w:pPr>
              <w:adjustRightInd w:val="0"/>
              <w:snapToGrid w:val="0"/>
              <w:spacing w:line="360" w:lineRule="auto"/>
              <w:jc w:val="center"/>
              <w:rPr>
                <w:rFonts w:hint="eastAsia" w:ascii="宋体" w:hAnsi="宋体" w:eastAsia="宋体" w:cs="宋体"/>
                <w:b/>
                <w:bCs/>
                <w:szCs w:val="21"/>
              </w:rPr>
            </w:pPr>
          </w:p>
        </w:tc>
      </w:tr>
      <w:tr w14:paraId="7738B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0D21018">
            <w:pPr>
              <w:adjustRightInd w:val="0"/>
              <w:snapToGrid w:val="0"/>
              <w:jc w:val="center"/>
              <w:rPr>
                <w:rFonts w:hint="eastAsia" w:ascii="黑体" w:hAnsi="黑体" w:eastAsia="黑体" w:cs="黑体"/>
                <w:szCs w:val="21"/>
              </w:rPr>
            </w:pPr>
            <w:r>
              <w:rPr>
                <w:rFonts w:hint="eastAsia" w:ascii="黑体" w:hAnsi="黑体" w:eastAsia="黑体" w:cs="黑体"/>
                <w:szCs w:val="21"/>
              </w:rPr>
              <w:t>（2）</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15C0117C">
            <w:pPr>
              <w:adjustRightInd w:val="0"/>
              <w:snapToGrid w:val="0"/>
              <w:jc w:val="center"/>
              <w:rPr>
                <w:rFonts w:hint="eastAsia" w:ascii="黑体" w:hAnsi="黑体" w:eastAsia="黑体" w:cs="黑体"/>
                <w:szCs w:val="21"/>
              </w:rPr>
            </w:pPr>
            <w:r>
              <w:rPr>
                <w:rFonts w:ascii="Times New Roman" w:hAnsi="Times New Roman" w:cs="Times New Roman"/>
                <w:b/>
                <w:szCs w:val="21"/>
              </w:rPr>
              <w:t>便携式云台相机</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046B6E56">
            <w:pPr>
              <w:adjustRightInd w:val="0"/>
              <w:snapToGrid w:val="0"/>
              <w:spacing w:line="360" w:lineRule="auto"/>
              <w:jc w:val="center"/>
              <w:rPr>
                <w:rFonts w:hint="eastAsia" w:ascii="宋体" w:hAnsi="宋体" w:eastAsia="宋体" w:cs="宋体"/>
                <w:b/>
                <w:bCs/>
                <w:szCs w:val="21"/>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28747F45">
            <w:pPr>
              <w:adjustRightInd w:val="0"/>
              <w:snapToGrid w:val="0"/>
              <w:spacing w:line="360" w:lineRule="auto"/>
              <w:jc w:val="center"/>
              <w:rPr>
                <w:rFonts w:hint="eastAsia" w:ascii="宋体" w:hAnsi="宋体" w:eastAsia="宋体" w:cs="宋体"/>
                <w:b/>
                <w:bCs/>
                <w:szCs w:val="21"/>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184347BB">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6823A1F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A097ECC">
            <w:pPr>
              <w:jc w:val="center"/>
              <w:textAlignment w:val="center"/>
              <w:rPr>
                <w:rFonts w:ascii="Times New Roman" w:hAnsi="Times New Roman" w:cs="Times New Roman"/>
                <w:szCs w:val="21"/>
              </w:rPr>
            </w:pPr>
            <w:r>
              <w:rPr>
                <w:rFonts w:hint="eastAsia" w:ascii="Times New Roman" w:hAnsi="Times New Roman" w:cs="Times New Roman"/>
                <w:szCs w:val="21"/>
              </w:rPr>
              <w:t>2</w:t>
            </w:r>
          </w:p>
        </w:tc>
        <w:tc>
          <w:tcPr>
            <w:tcW w:w="534" w:type="pct"/>
            <w:tcBorders>
              <w:top w:val="single" w:color="auto" w:sz="4" w:space="0"/>
              <w:left w:val="single" w:color="auto" w:sz="4" w:space="0"/>
              <w:bottom w:val="single" w:color="auto" w:sz="4" w:space="0"/>
              <w:right w:val="single" w:color="auto" w:sz="4" w:space="0"/>
            </w:tcBorders>
            <w:vAlign w:val="center"/>
          </w:tcPr>
          <w:p w14:paraId="19523639">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01F6E195">
            <w:pPr>
              <w:adjustRightInd w:val="0"/>
              <w:snapToGrid w:val="0"/>
              <w:spacing w:line="360" w:lineRule="auto"/>
              <w:jc w:val="center"/>
              <w:rPr>
                <w:rFonts w:hint="eastAsia" w:ascii="宋体" w:hAnsi="宋体" w:eastAsia="宋体" w:cs="宋体"/>
                <w:b/>
                <w:bCs/>
                <w:szCs w:val="21"/>
              </w:rPr>
            </w:pPr>
          </w:p>
        </w:tc>
      </w:tr>
      <w:tr w14:paraId="1D89E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714E8E8">
            <w:pPr>
              <w:adjustRightInd w:val="0"/>
              <w:snapToGrid w:val="0"/>
              <w:jc w:val="center"/>
              <w:rPr>
                <w:rFonts w:hint="eastAsia" w:ascii="黑体" w:hAnsi="黑体" w:eastAsia="黑体" w:cs="黑体"/>
                <w:szCs w:val="21"/>
              </w:rPr>
            </w:pPr>
            <w:r>
              <w:rPr>
                <w:rFonts w:hint="eastAsia" w:ascii="黑体" w:hAnsi="黑体" w:eastAsia="黑体" w:cs="黑体"/>
                <w:szCs w:val="21"/>
              </w:rPr>
              <w:t>（3）</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5837E61E">
            <w:pPr>
              <w:adjustRightInd w:val="0"/>
              <w:snapToGrid w:val="0"/>
              <w:jc w:val="center"/>
              <w:rPr>
                <w:rFonts w:hint="eastAsia" w:ascii="黑体" w:hAnsi="黑体" w:eastAsia="黑体" w:cs="黑体"/>
                <w:szCs w:val="21"/>
              </w:rPr>
            </w:pPr>
            <w:r>
              <w:rPr>
                <w:rFonts w:ascii="Times New Roman" w:hAnsi="Times New Roman" w:cs="Times New Roman"/>
                <w:b/>
                <w:szCs w:val="21"/>
              </w:rPr>
              <w:t>数码视频采集设备</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738404EE">
            <w:pPr>
              <w:adjustRightInd w:val="0"/>
              <w:snapToGrid w:val="0"/>
              <w:spacing w:line="360" w:lineRule="auto"/>
              <w:jc w:val="center"/>
              <w:rPr>
                <w:rFonts w:hint="eastAsia" w:ascii="宋体" w:hAnsi="宋体" w:eastAsia="宋体" w:cs="宋体"/>
                <w:b/>
                <w:bCs/>
                <w:szCs w:val="21"/>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2ABE1E37">
            <w:pPr>
              <w:adjustRightInd w:val="0"/>
              <w:snapToGrid w:val="0"/>
              <w:spacing w:line="360" w:lineRule="auto"/>
              <w:jc w:val="center"/>
              <w:rPr>
                <w:rFonts w:hint="eastAsia" w:ascii="宋体" w:hAnsi="宋体" w:eastAsia="宋体" w:cs="宋体"/>
                <w:b/>
                <w:bCs/>
                <w:szCs w:val="21"/>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5A99F247">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5EF086E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4C732D98">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34" w:type="pct"/>
            <w:tcBorders>
              <w:top w:val="single" w:color="auto" w:sz="4" w:space="0"/>
              <w:left w:val="single" w:color="auto" w:sz="4" w:space="0"/>
              <w:bottom w:val="single" w:color="auto" w:sz="4" w:space="0"/>
              <w:right w:val="single" w:color="auto" w:sz="4" w:space="0"/>
            </w:tcBorders>
            <w:vAlign w:val="center"/>
          </w:tcPr>
          <w:p w14:paraId="79A90179">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63AA7651">
            <w:pPr>
              <w:adjustRightInd w:val="0"/>
              <w:snapToGrid w:val="0"/>
              <w:spacing w:line="360" w:lineRule="auto"/>
              <w:jc w:val="center"/>
              <w:rPr>
                <w:rFonts w:hint="eastAsia" w:ascii="宋体" w:hAnsi="宋体" w:eastAsia="宋体" w:cs="宋体"/>
                <w:b/>
                <w:bCs/>
                <w:szCs w:val="21"/>
              </w:rPr>
            </w:pPr>
          </w:p>
        </w:tc>
      </w:tr>
      <w:tr w14:paraId="00310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EB8B9D6">
            <w:pPr>
              <w:adjustRightInd w:val="0"/>
              <w:snapToGrid w:val="0"/>
              <w:jc w:val="center"/>
              <w:rPr>
                <w:rFonts w:hint="eastAsia" w:ascii="黑体" w:hAnsi="黑体" w:eastAsia="黑体" w:cs="黑体"/>
                <w:szCs w:val="21"/>
              </w:rPr>
            </w:pPr>
            <w:r>
              <w:rPr>
                <w:rFonts w:hint="eastAsia" w:ascii="黑体" w:hAnsi="黑体" w:eastAsia="黑体" w:cs="黑体"/>
                <w:szCs w:val="21"/>
              </w:rPr>
              <w:t>（4）</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1FBE315E">
            <w:pPr>
              <w:adjustRightInd w:val="0"/>
              <w:snapToGrid w:val="0"/>
              <w:jc w:val="center"/>
              <w:rPr>
                <w:rFonts w:hint="eastAsia" w:ascii="黑体" w:hAnsi="黑体" w:eastAsia="黑体" w:cs="黑体"/>
                <w:szCs w:val="21"/>
                <w:lang w:bidi="ar"/>
              </w:rPr>
            </w:pPr>
            <w:r>
              <w:rPr>
                <w:rFonts w:ascii="Times New Roman" w:hAnsi="Times New Roman" w:cs="Times New Roman"/>
                <w:b/>
                <w:szCs w:val="21"/>
              </w:rPr>
              <w:t>专用便携式工作站</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5E78A8D5">
            <w:pPr>
              <w:adjustRightInd w:val="0"/>
              <w:snapToGrid w:val="0"/>
              <w:spacing w:line="360" w:lineRule="auto"/>
              <w:jc w:val="center"/>
              <w:rPr>
                <w:rFonts w:hint="eastAsia" w:ascii="宋体" w:hAnsi="宋体" w:eastAsia="宋体" w:cs="宋体"/>
                <w:b/>
                <w:bCs/>
                <w:szCs w:val="21"/>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55F1CA5F">
            <w:pPr>
              <w:adjustRightInd w:val="0"/>
              <w:snapToGrid w:val="0"/>
              <w:spacing w:line="360" w:lineRule="auto"/>
              <w:jc w:val="center"/>
              <w:rPr>
                <w:rFonts w:hint="eastAsia" w:ascii="宋体" w:hAnsi="宋体" w:eastAsia="宋体" w:cs="宋体"/>
                <w:b/>
                <w:bCs/>
                <w:szCs w:val="21"/>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37ED73EE">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2B854E0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台</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340E15FD">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34" w:type="pct"/>
            <w:tcBorders>
              <w:top w:val="single" w:color="auto" w:sz="4" w:space="0"/>
              <w:left w:val="single" w:color="auto" w:sz="4" w:space="0"/>
              <w:bottom w:val="single" w:color="auto" w:sz="4" w:space="0"/>
              <w:right w:val="single" w:color="auto" w:sz="4" w:space="0"/>
            </w:tcBorders>
            <w:vAlign w:val="center"/>
          </w:tcPr>
          <w:p w14:paraId="1B6E6966">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75CE2367">
            <w:pPr>
              <w:adjustRightInd w:val="0"/>
              <w:snapToGrid w:val="0"/>
              <w:spacing w:line="360" w:lineRule="auto"/>
              <w:jc w:val="center"/>
              <w:rPr>
                <w:rFonts w:hint="eastAsia" w:ascii="宋体" w:hAnsi="宋体" w:eastAsia="宋体" w:cs="宋体"/>
                <w:b/>
                <w:bCs/>
                <w:szCs w:val="21"/>
              </w:rPr>
            </w:pPr>
          </w:p>
        </w:tc>
      </w:tr>
      <w:tr w14:paraId="79941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4C69FFE">
            <w:pPr>
              <w:adjustRightInd w:val="0"/>
              <w:snapToGrid w:val="0"/>
              <w:jc w:val="center"/>
              <w:rPr>
                <w:rFonts w:hint="eastAsia" w:ascii="黑体" w:hAnsi="黑体" w:eastAsia="黑体" w:cs="黑体"/>
                <w:szCs w:val="21"/>
              </w:rPr>
            </w:pPr>
            <w:r>
              <w:rPr>
                <w:rFonts w:hint="eastAsia" w:ascii="黑体" w:hAnsi="黑体" w:eastAsia="黑体" w:cs="黑体"/>
                <w:szCs w:val="21"/>
              </w:rPr>
              <w:t>（5）</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02F4D834">
            <w:pPr>
              <w:adjustRightInd w:val="0"/>
              <w:snapToGrid w:val="0"/>
              <w:jc w:val="center"/>
              <w:rPr>
                <w:rFonts w:ascii="Times New Roman" w:hAnsi="Times New Roman" w:cs="Times New Roman"/>
                <w:b/>
                <w:szCs w:val="21"/>
              </w:rPr>
            </w:pPr>
            <w:r>
              <w:rPr>
                <w:rFonts w:ascii="Times New Roman" w:hAnsi="Times New Roman" w:cs="Times New Roman"/>
                <w:b/>
                <w:szCs w:val="21"/>
              </w:rPr>
              <w:t>便携式防震航空箱</w:t>
            </w:r>
          </w:p>
        </w:tc>
        <w:tc>
          <w:tcPr>
            <w:tcW w:w="712" w:type="pct"/>
            <w:tcBorders>
              <w:top w:val="single" w:color="auto" w:sz="4" w:space="0"/>
              <w:left w:val="single" w:color="auto" w:sz="4" w:space="0"/>
              <w:bottom w:val="single" w:color="auto" w:sz="4" w:space="0"/>
              <w:right w:val="single" w:color="auto" w:sz="4" w:space="0"/>
            </w:tcBorders>
            <w:shd w:val="clear" w:color="auto" w:fill="FFFFFF"/>
            <w:vAlign w:val="center"/>
          </w:tcPr>
          <w:p w14:paraId="0616E73C">
            <w:pPr>
              <w:adjustRightInd w:val="0"/>
              <w:snapToGrid w:val="0"/>
              <w:spacing w:line="360" w:lineRule="auto"/>
              <w:jc w:val="center"/>
              <w:rPr>
                <w:rFonts w:hint="eastAsia" w:ascii="宋体" w:hAnsi="宋体" w:eastAsia="宋体" w:cs="宋体"/>
                <w:b/>
                <w:bCs/>
                <w:szCs w:val="21"/>
              </w:rPr>
            </w:pPr>
          </w:p>
        </w:tc>
        <w:tc>
          <w:tcPr>
            <w:tcW w:w="672" w:type="pct"/>
            <w:tcBorders>
              <w:top w:val="single" w:color="auto" w:sz="4" w:space="0"/>
              <w:left w:val="single" w:color="auto" w:sz="4" w:space="0"/>
              <w:bottom w:val="single" w:color="auto" w:sz="4" w:space="0"/>
              <w:right w:val="single" w:color="auto" w:sz="4" w:space="0"/>
            </w:tcBorders>
            <w:shd w:val="clear" w:color="auto" w:fill="FFFFFF"/>
            <w:vAlign w:val="center"/>
          </w:tcPr>
          <w:p w14:paraId="37B19FF3">
            <w:pPr>
              <w:adjustRightInd w:val="0"/>
              <w:snapToGrid w:val="0"/>
              <w:spacing w:line="360" w:lineRule="auto"/>
              <w:jc w:val="center"/>
              <w:rPr>
                <w:rFonts w:hint="eastAsia" w:ascii="宋体" w:hAnsi="宋体" w:eastAsia="宋体" w:cs="宋体"/>
                <w:b/>
                <w:bCs/>
                <w:szCs w:val="21"/>
              </w:rPr>
            </w:pPr>
          </w:p>
        </w:tc>
        <w:tc>
          <w:tcPr>
            <w:tcW w:w="502" w:type="pct"/>
            <w:tcBorders>
              <w:top w:val="single" w:color="auto" w:sz="4" w:space="0"/>
              <w:left w:val="single" w:color="auto" w:sz="4" w:space="0"/>
              <w:bottom w:val="single" w:color="auto" w:sz="4" w:space="0"/>
              <w:right w:val="single" w:color="auto" w:sz="4" w:space="0"/>
            </w:tcBorders>
            <w:shd w:val="clear" w:color="auto" w:fill="FFFFFF"/>
            <w:vAlign w:val="center"/>
          </w:tcPr>
          <w:p w14:paraId="3451EBC2">
            <w:pPr>
              <w:adjustRightInd w:val="0"/>
              <w:snapToGrid w:val="0"/>
              <w:spacing w:line="360" w:lineRule="auto"/>
              <w:jc w:val="center"/>
              <w:rPr>
                <w:rFonts w:hint="eastAsia" w:ascii="宋体" w:hAnsi="宋体" w:eastAsia="宋体" w:cs="宋体"/>
                <w:b/>
                <w:bCs/>
                <w:szCs w:val="21"/>
              </w:rPr>
            </w:pPr>
          </w:p>
        </w:tc>
        <w:tc>
          <w:tcPr>
            <w:tcW w:w="316" w:type="pct"/>
            <w:tcBorders>
              <w:top w:val="single" w:color="auto" w:sz="4" w:space="0"/>
              <w:left w:val="single" w:color="auto" w:sz="4" w:space="0"/>
              <w:bottom w:val="single" w:color="auto" w:sz="4" w:space="0"/>
              <w:right w:val="single" w:color="auto" w:sz="4" w:space="0"/>
            </w:tcBorders>
            <w:shd w:val="clear" w:color="auto" w:fill="FFFFFF"/>
            <w:vAlign w:val="center"/>
          </w:tcPr>
          <w:p w14:paraId="45CE4EC3">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6" w:type="pct"/>
            <w:tcBorders>
              <w:top w:val="single" w:color="auto" w:sz="4" w:space="0"/>
              <w:left w:val="single" w:color="auto" w:sz="4" w:space="0"/>
              <w:bottom w:val="single" w:color="auto" w:sz="4" w:space="0"/>
              <w:right w:val="single" w:color="auto" w:sz="4" w:space="0"/>
            </w:tcBorders>
            <w:shd w:val="clear" w:color="auto" w:fill="auto"/>
            <w:vAlign w:val="center"/>
          </w:tcPr>
          <w:p w14:paraId="16B06E27">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34" w:type="pct"/>
            <w:tcBorders>
              <w:top w:val="single" w:color="auto" w:sz="4" w:space="0"/>
              <w:left w:val="single" w:color="auto" w:sz="4" w:space="0"/>
              <w:bottom w:val="single" w:color="auto" w:sz="4" w:space="0"/>
              <w:right w:val="single" w:color="auto" w:sz="4" w:space="0"/>
            </w:tcBorders>
            <w:vAlign w:val="center"/>
          </w:tcPr>
          <w:p w14:paraId="097E8372">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55856582">
            <w:pPr>
              <w:adjustRightInd w:val="0"/>
              <w:snapToGrid w:val="0"/>
              <w:spacing w:line="360" w:lineRule="auto"/>
              <w:jc w:val="center"/>
              <w:rPr>
                <w:rFonts w:hint="eastAsia" w:ascii="宋体" w:hAnsi="宋体" w:eastAsia="宋体" w:cs="宋体"/>
                <w:b/>
                <w:bCs/>
                <w:szCs w:val="21"/>
              </w:rPr>
            </w:pPr>
          </w:p>
        </w:tc>
      </w:tr>
      <w:tr w14:paraId="5B6B6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11530B0">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小计（小计金额应等于开标一览表中“</w:t>
            </w:r>
            <w:r>
              <w:rPr>
                <w:rFonts w:hint="eastAsia" w:ascii="宋体" w:hAnsi="宋体" w:eastAsia="宋体" w:cs="Times New Roman"/>
                <w:b/>
                <w:bCs/>
                <w:spacing w:val="-6"/>
                <w:szCs w:val="21"/>
              </w:rPr>
              <w:t>便携式行为观察记录分析系统</w:t>
            </w:r>
            <w:r>
              <w:rPr>
                <w:rFonts w:hint="eastAsia" w:ascii="宋体" w:hAnsi="宋体" w:eastAsia="宋体" w:cs="宋体"/>
                <w:b/>
                <w:bCs/>
                <w:szCs w:val="21"/>
              </w:rPr>
              <w:t>”的金额）</w:t>
            </w:r>
          </w:p>
        </w:tc>
        <w:tc>
          <w:tcPr>
            <w:tcW w:w="597" w:type="pct"/>
            <w:tcBorders>
              <w:top w:val="single" w:color="auto" w:sz="4" w:space="0"/>
              <w:left w:val="single" w:color="auto" w:sz="4" w:space="0"/>
              <w:bottom w:val="single" w:color="auto" w:sz="4" w:space="0"/>
              <w:right w:val="single" w:color="auto" w:sz="4" w:space="0"/>
            </w:tcBorders>
            <w:vAlign w:val="center"/>
          </w:tcPr>
          <w:p w14:paraId="64F9BA42">
            <w:pPr>
              <w:adjustRightInd w:val="0"/>
              <w:snapToGrid w:val="0"/>
              <w:spacing w:line="360" w:lineRule="auto"/>
              <w:jc w:val="center"/>
              <w:rPr>
                <w:rFonts w:hint="eastAsia" w:ascii="宋体" w:hAnsi="宋体" w:eastAsia="宋体" w:cs="宋体"/>
                <w:b/>
                <w:bCs/>
                <w:szCs w:val="21"/>
              </w:rPr>
            </w:pPr>
          </w:p>
        </w:tc>
      </w:tr>
    </w:tbl>
    <w:p w14:paraId="432EC511">
      <w:pPr>
        <w:adjustRightInd w:val="0"/>
        <w:snapToGrid w:val="0"/>
        <w:spacing w:line="288" w:lineRule="auto"/>
        <w:rPr>
          <w:rFonts w:hint="eastAsia" w:ascii="宋体" w:hAnsi="宋体" w:eastAsia="宋体" w:cs="Times New Roman"/>
          <w:b/>
          <w:bCs/>
          <w:spacing w:val="-6"/>
          <w:szCs w:val="21"/>
        </w:rPr>
      </w:pPr>
    </w:p>
    <w:p w14:paraId="744AF118">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附3：视觉动态追踪系统组成明细表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2"/>
        <w:gridCol w:w="1359"/>
        <w:gridCol w:w="1283"/>
        <w:gridCol w:w="958"/>
        <w:gridCol w:w="604"/>
        <w:gridCol w:w="604"/>
        <w:gridCol w:w="1052"/>
        <w:gridCol w:w="1152"/>
      </w:tblGrid>
      <w:tr w14:paraId="554FC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7A101057">
            <w:pPr>
              <w:adjustRightInd w:val="0"/>
              <w:snapToGrid w:val="0"/>
              <w:jc w:val="center"/>
              <w:rPr>
                <w:rFonts w:hint="eastAsia" w:ascii="宋体" w:hAnsi="宋体" w:eastAsia="宋体" w:cs="宋体"/>
                <w:b/>
                <w:bCs/>
                <w:szCs w:val="21"/>
              </w:rPr>
            </w:pPr>
            <w:r>
              <w:rPr>
                <w:rFonts w:hint="eastAsia" w:ascii="宋体" w:hAnsi="宋体" w:eastAsia="宋体" w:cs="Times New Roman"/>
                <w:b/>
                <w:bCs/>
                <w:spacing w:val="-6"/>
                <w:szCs w:val="21"/>
              </w:rPr>
              <w:t>视觉动态追踪系统组成明细表</w:t>
            </w:r>
          </w:p>
        </w:tc>
      </w:tr>
      <w:tr w14:paraId="108B8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0614E9A">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60116893">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07" w:type="pct"/>
            <w:tcBorders>
              <w:top w:val="single" w:color="auto" w:sz="4" w:space="0"/>
              <w:left w:val="single" w:color="auto" w:sz="4" w:space="0"/>
              <w:bottom w:val="single" w:color="auto" w:sz="4" w:space="0"/>
              <w:right w:val="single" w:color="auto" w:sz="4" w:space="0"/>
            </w:tcBorders>
            <w:shd w:val="clear" w:color="auto" w:fill="FFFFFF"/>
            <w:vAlign w:val="center"/>
          </w:tcPr>
          <w:p w14:paraId="16E5A858">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037802C0">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98" w:type="pct"/>
            <w:tcBorders>
              <w:top w:val="single" w:color="auto" w:sz="4" w:space="0"/>
              <w:left w:val="single" w:color="auto" w:sz="4" w:space="0"/>
              <w:bottom w:val="single" w:color="auto" w:sz="4" w:space="0"/>
              <w:right w:val="single" w:color="auto" w:sz="4" w:space="0"/>
            </w:tcBorders>
            <w:shd w:val="clear" w:color="auto" w:fill="FFFFFF"/>
            <w:vAlign w:val="center"/>
          </w:tcPr>
          <w:p w14:paraId="2E0E3DDE">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7368376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002153E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544" w:type="pct"/>
            <w:tcBorders>
              <w:top w:val="single" w:color="auto" w:sz="4" w:space="0"/>
              <w:left w:val="single" w:color="auto" w:sz="4" w:space="0"/>
              <w:bottom w:val="single" w:color="auto" w:sz="4" w:space="0"/>
              <w:right w:val="single" w:color="auto" w:sz="4" w:space="0"/>
            </w:tcBorders>
            <w:vAlign w:val="center"/>
          </w:tcPr>
          <w:p w14:paraId="199C089A">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98" w:type="pct"/>
            <w:tcBorders>
              <w:top w:val="single" w:color="auto" w:sz="4" w:space="0"/>
              <w:left w:val="single" w:color="auto" w:sz="4" w:space="0"/>
              <w:bottom w:val="single" w:color="auto" w:sz="4" w:space="0"/>
              <w:right w:val="single" w:color="auto" w:sz="4" w:space="0"/>
            </w:tcBorders>
            <w:vAlign w:val="center"/>
          </w:tcPr>
          <w:p w14:paraId="1202CD5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r>
      <w:tr w14:paraId="5E1A2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4ED3E3F">
            <w:pPr>
              <w:adjustRightInd w:val="0"/>
              <w:snapToGrid w:val="0"/>
              <w:jc w:val="center"/>
              <w:rPr>
                <w:rFonts w:hint="eastAsia" w:ascii="黑体" w:hAnsi="黑体" w:eastAsia="黑体" w:cs="黑体"/>
                <w:szCs w:val="21"/>
              </w:rPr>
            </w:pPr>
            <w:bookmarkStart w:id="66" w:name="_GoBack" w:colFirst="0" w:colLast="1"/>
            <w:r>
              <w:rPr>
                <w:rFonts w:hint="eastAsia" w:ascii="黑体" w:hAnsi="黑体" w:eastAsia="黑体" w:cs="黑体"/>
                <w:szCs w:val="21"/>
              </w:rPr>
              <w:t>（1）</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2C79DA26">
            <w:pPr>
              <w:adjustRightInd w:val="0"/>
              <w:snapToGrid w:val="0"/>
              <w:jc w:val="center"/>
              <w:rPr>
                <w:rFonts w:hint="eastAsia" w:ascii="黑体" w:hAnsi="黑体" w:eastAsia="黑体" w:cs="黑体"/>
                <w:szCs w:val="21"/>
              </w:rPr>
            </w:pPr>
            <w:r>
              <w:rPr>
                <w:rFonts w:hint="eastAsia" w:ascii="宋体" w:hAnsi="宋体" w:eastAsia="宋体" w:cs="Times New Roman"/>
                <w:b/>
                <w:bCs/>
                <w:spacing w:val="-6"/>
                <w:szCs w:val="21"/>
              </w:rPr>
              <w:t>视觉动态追踪系统</w:t>
            </w:r>
          </w:p>
        </w:tc>
        <w:tc>
          <w:tcPr>
            <w:tcW w:w="707" w:type="pct"/>
            <w:tcBorders>
              <w:top w:val="single" w:color="auto" w:sz="4" w:space="0"/>
              <w:left w:val="single" w:color="auto" w:sz="4" w:space="0"/>
              <w:bottom w:val="single" w:color="auto" w:sz="4" w:space="0"/>
              <w:right w:val="single" w:color="auto" w:sz="4" w:space="0"/>
            </w:tcBorders>
            <w:shd w:val="clear" w:color="auto" w:fill="FFFFFF"/>
            <w:vAlign w:val="center"/>
          </w:tcPr>
          <w:p w14:paraId="59B2B8FF">
            <w:pPr>
              <w:adjustRightInd w:val="0"/>
              <w:snapToGrid w:val="0"/>
              <w:spacing w:line="360" w:lineRule="auto"/>
              <w:jc w:val="center"/>
              <w:rPr>
                <w:rFonts w:hint="eastAsia" w:ascii="宋体" w:hAnsi="宋体" w:eastAsia="宋体" w:cs="宋体"/>
                <w:b/>
                <w:bCs/>
                <w:szCs w:val="21"/>
              </w:rPr>
            </w:pP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386FFCA2">
            <w:pPr>
              <w:adjustRightInd w:val="0"/>
              <w:snapToGrid w:val="0"/>
              <w:spacing w:line="360" w:lineRule="auto"/>
              <w:jc w:val="center"/>
              <w:rPr>
                <w:rFonts w:hint="eastAsia" w:ascii="宋体" w:hAnsi="宋体" w:eastAsia="宋体" w:cs="宋体"/>
                <w:b/>
                <w:bCs/>
                <w:szCs w:val="21"/>
              </w:rPr>
            </w:pPr>
          </w:p>
        </w:tc>
        <w:tc>
          <w:tcPr>
            <w:tcW w:w="498" w:type="pct"/>
            <w:tcBorders>
              <w:top w:val="single" w:color="auto" w:sz="4" w:space="0"/>
              <w:left w:val="single" w:color="auto" w:sz="4" w:space="0"/>
              <w:bottom w:val="single" w:color="auto" w:sz="4" w:space="0"/>
              <w:right w:val="single" w:color="auto" w:sz="4" w:space="0"/>
            </w:tcBorders>
            <w:shd w:val="clear" w:color="auto" w:fill="FFFFFF"/>
            <w:vAlign w:val="center"/>
          </w:tcPr>
          <w:p w14:paraId="3B3B9F34">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79576B4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29BA5C87">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4" w:type="pct"/>
            <w:tcBorders>
              <w:top w:val="single" w:color="auto" w:sz="4" w:space="0"/>
              <w:left w:val="single" w:color="auto" w:sz="4" w:space="0"/>
              <w:bottom w:val="single" w:color="auto" w:sz="4" w:space="0"/>
              <w:right w:val="single" w:color="auto" w:sz="4" w:space="0"/>
            </w:tcBorders>
            <w:vAlign w:val="center"/>
          </w:tcPr>
          <w:p w14:paraId="6D7C7EA2">
            <w:pPr>
              <w:adjustRightInd w:val="0"/>
              <w:snapToGrid w:val="0"/>
              <w:spacing w:line="360" w:lineRule="auto"/>
              <w:jc w:val="center"/>
              <w:rPr>
                <w:rFonts w:hint="eastAsia" w:ascii="宋体" w:hAnsi="宋体" w:eastAsia="宋体" w:cs="宋体"/>
                <w:b/>
                <w:bCs/>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5C12F3A7">
            <w:pPr>
              <w:adjustRightInd w:val="0"/>
              <w:snapToGrid w:val="0"/>
              <w:spacing w:line="360" w:lineRule="auto"/>
              <w:jc w:val="center"/>
              <w:rPr>
                <w:rFonts w:hint="eastAsia" w:ascii="宋体" w:hAnsi="宋体" w:eastAsia="宋体" w:cs="宋体"/>
                <w:b/>
                <w:bCs/>
                <w:szCs w:val="21"/>
              </w:rPr>
            </w:pPr>
          </w:p>
        </w:tc>
      </w:tr>
      <w:bookmarkEnd w:id="66"/>
      <w:tr w14:paraId="35B77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DA0E9EF">
            <w:pPr>
              <w:adjustRightInd w:val="0"/>
              <w:snapToGrid w:val="0"/>
              <w:jc w:val="center"/>
              <w:rPr>
                <w:rFonts w:hint="eastAsia" w:ascii="黑体" w:hAnsi="黑体" w:eastAsia="黑体" w:cs="黑体"/>
                <w:szCs w:val="21"/>
              </w:rPr>
            </w:pPr>
            <w:r>
              <w:rPr>
                <w:rFonts w:hint="eastAsia" w:ascii="黑体" w:hAnsi="黑体" w:eastAsia="黑体" w:cs="黑体"/>
                <w:szCs w:val="21"/>
              </w:rPr>
              <w:t>（2）</w:t>
            </w: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14:paraId="113B3824">
            <w:pPr>
              <w:adjustRightInd w:val="0"/>
              <w:snapToGrid w:val="0"/>
              <w:jc w:val="center"/>
              <w:rPr>
                <w:rFonts w:hint="eastAsia" w:ascii="黑体" w:hAnsi="黑体" w:eastAsia="黑体" w:cs="黑体"/>
                <w:szCs w:val="21"/>
              </w:rPr>
            </w:pPr>
            <w:r>
              <w:rPr>
                <w:rFonts w:ascii="Times New Roman" w:hAnsi="Times New Roman" w:cs="Times New Roman"/>
                <w:b/>
                <w:bCs/>
                <w:szCs w:val="21"/>
              </w:rPr>
              <w:t>专用便携式工作站</w:t>
            </w:r>
          </w:p>
        </w:tc>
        <w:tc>
          <w:tcPr>
            <w:tcW w:w="707" w:type="pct"/>
            <w:tcBorders>
              <w:top w:val="single" w:color="auto" w:sz="4" w:space="0"/>
              <w:left w:val="single" w:color="auto" w:sz="4" w:space="0"/>
              <w:bottom w:val="single" w:color="auto" w:sz="4" w:space="0"/>
              <w:right w:val="single" w:color="auto" w:sz="4" w:space="0"/>
            </w:tcBorders>
            <w:shd w:val="clear" w:color="auto" w:fill="FFFFFF"/>
            <w:vAlign w:val="center"/>
          </w:tcPr>
          <w:p w14:paraId="27E5670A">
            <w:pPr>
              <w:adjustRightInd w:val="0"/>
              <w:snapToGrid w:val="0"/>
              <w:spacing w:line="360" w:lineRule="auto"/>
              <w:jc w:val="center"/>
              <w:rPr>
                <w:rFonts w:hint="eastAsia" w:ascii="宋体" w:hAnsi="宋体" w:eastAsia="宋体" w:cs="宋体"/>
                <w:b/>
                <w:bCs/>
                <w:szCs w:val="21"/>
              </w:rPr>
            </w:pPr>
          </w:p>
        </w:tc>
        <w:tc>
          <w:tcPr>
            <w:tcW w:w="667" w:type="pct"/>
            <w:tcBorders>
              <w:top w:val="single" w:color="auto" w:sz="4" w:space="0"/>
              <w:left w:val="single" w:color="auto" w:sz="4" w:space="0"/>
              <w:bottom w:val="single" w:color="auto" w:sz="4" w:space="0"/>
              <w:right w:val="single" w:color="auto" w:sz="4" w:space="0"/>
            </w:tcBorders>
            <w:shd w:val="clear" w:color="auto" w:fill="FFFFFF"/>
            <w:vAlign w:val="center"/>
          </w:tcPr>
          <w:p w14:paraId="26AEB9AF">
            <w:pPr>
              <w:adjustRightInd w:val="0"/>
              <w:snapToGrid w:val="0"/>
              <w:spacing w:line="360" w:lineRule="auto"/>
              <w:jc w:val="center"/>
              <w:rPr>
                <w:rFonts w:hint="eastAsia" w:ascii="宋体" w:hAnsi="宋体" w:eastAsia="宋体" w:cs="宋体"/>
                <w:b/>
                <w:bCs/>
                <w:szCs w:val="21"/>
              </w:rPr>
            </w:pPr>
          </w:p>
        </w:tc>
        <w:tc>
          <w:tcPr>
            <w:tcW w:w="498" w:type="pct"/>
            <w:tcBorders>
              <w:top w:val="single" w:color="auto" w:sz="4" w:space="0"/>
              <w:left w:val="single" w:color="auto" w:sz="4" w:space="0"/>
              <w:bottom w:val="single" w:color="auto" w:sz="4" w:space="0"/>
              <w:right w:val="single" w:color="auto" w:sz="4" w:space="0"/>
            </w:tcBorders>
            <w:shd w:val="clear" w:color="auto" w:fill="FFFFFF"/>
            <w:vAlign w:val="center"/>
          </w:tcPr>
          <w:p w14:paraId="18163A41">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27C594A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台</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61E37CC3">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4" w:type="pct"/>
            <w:tcBorders>
              <w:top w:val="single" w:color="auto" w:sz="4" w:space="0"/>
              <w:left w:val="single" w:color="auto" w:sz="4" w:space="0"/>
              <w:bottom w:val="single" w:color="auto" w:sz="4" w:space="0"/>
              <w:right w:val="single" w:color="auto" w:sz="4" w:space="0"/>
            </w:tcBorders>
            <w:vAlign w:val="center"/>
          </w:tcPr>
          <w:p w14:paraId="6F363F58">
            <w:pPr>
              <w:adjustRightInd w:val="0"/>
              <w:snapToGrid w:val="0"/>
              <w:spacing w:line="360" w:lineRule="auto"/>
              <w:jc w:val="center"/>
              <w:rPr>
                <w:rFonts w:hint="eastAsia" w:ascii="宋体" w:hAnsi="宋体" w:eastAsia="宋体" w:cs="宋体"/>
                <w:b/>
                <w:bCs/>
                <w:szCs w:val="21"/>
              </w:rPr>
            </w:pPr>
          </w:p>
        </w:tc>
        <w:tc>
          <w:tcPr>
            <w:tcW w:w="598" w:type="pct"/>
            <w:tcBorders>
              <w:top w:val="single" w:color="auto" w:sz="4" w:space="0"/>
              <w:left w:val="single" w:color="auto" w:sz="4" w:space="0"/>
              <w:bottom w:val="single" w:color="auto" w:sz="4" w:space="0"/>
              <w:right w:val="single" w:color="auto" w:sz="4" w:space="0"/>
            </w:tcBorders>
            <w:vAlign w:val="center"/>
          </w:tcPr>
          <w:p w14:paraId="0F291280">
            <w:pPr>
              <w:adjustRightInd w:val="0"/>
              <w:snapToGrid w:val="0"/>
              <w:spacing w:line="360" w:lineRule="auto"/>
              <w:jc w:val="center"/>
              <w:rPr>
                <w:rFonts w:hint="eastAsia" w:ascii="宋体" w:hAnsi="宋体" w:eastAsia="宋体" w:cs="宋体"/>
                <w:b/>
                <w:bCs/>
                <w:szCs w:val="21"/>
              </w:rPr>
            </w:pPr>
          </w:p>
        </w:tc>
      </w:tr>
      <w:tr w14:paraId="6E04B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1"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599C1D25">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小计（小计金额应等于开标一览表中“</w:t>
            </w:r>
            <w:r>
              <w:rPr>
                <w:rFonts w:hint="eastAsia" w:ascii="宋体" w:hAnsi="宋体" w:eastAsia="宋体" w:cs="Times New Roman"/>
                <w:b/>
                <w:bCs/>
                <w:spacing w:val="-6"/>
                <w:szCs w:val="21"/>
              </w:rPr>
              <w:t>视觉动态追踪系统</w:t>
            </w:r>
            <w:r>
              <w:rPr>
                <w:rFonts w:hint="eastAsia" w:ascii="宋体" w:hAnsi="宋体" w:eastAsia="宋体" w:cs="宋体"/>
                <w:b/>
                <w:bCs/>
                <w:szCs w:val="21"/>
              </w:rPr>
              <w:t>”的金额）</w:t>
            </w:r>
          </w:p>
        </w:tc>
        <w:tc>
          <w:tcPr>
            <w:tcW w:w="598" w:type="pct"/>
            <w:tcBorders>
              <w:top w:val="single" w:color="auto" w:sz="4" w:space="0"/>
              <w:left w:val="single" w:color="auto" w:sz="4" w:space="0"/>
              <w:bottom w:val="single" w:color="auto" w:sz="4" w:space="0"/>
              <w:right w:val="single" w:color="auto" w:sz="4" w:space="0"/>
            </w:tcBorders>
            <w:vAlign w:val="center"/>
          </w:tcPr>
          <w:p w14:paraId="5516FD6A">
            <w:pPr>
              <w:adjustRightInd w:val="0"/>
              <w:snapToGrid w:val="0"/>
              <w:spacing w:line="360" w:lineRule="auto"/>
              <w:jc w:val="center"/>
              <w:rPr>
                <w:rFonts w:hint="eastAsia" w:ascii="宋体" w:hAnsi="宋体" w:eastAsia="宋体" w:cs="宋体"/>
                <w:b/>
                <w:bCs/>
                <w:szCs w:val="21"/>
              </w:rPr>
            </w:pPr>
          </w:p>
        </w:tc>
      </w:tr>
    </w:tbl>
    <w:p w14:paraId="46085952">
      <w:pPr>
        <w:adjustRightInd w:val="0"/>
        <w:snapToGrid w:val="0"/>
        <w:spacing w:line="288" w:lineRule="auto"/>
        <w:rPr>
          <w:rFonts w:hint="eastAsia" w:ascii="宋体" w:hAnsi="宋体" w:eastAsia="宋体" w:cs="Times New Roman"/>
          <w:b/>
          <w:bCs/>
          <w:spacing w:val="-6"/>
          <w:szCs w:val="21"/>
        </w:rPr>
      </w:pPr>
    </w:p>
    <w:p w14:paraId="49576C0A">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附4：遥测式生理信号采集分析系统组成明细表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4"/>
        <w:gridCol w:w="1361"/>
        <w:gridCol w:w="1285"/>
        <w:gridCol w:w="960"/>
        <w:gridCol w:w="604"/>
        <w:gridCol w:w="604"/>
        <w:gridCol w:w="1046"/>
        <w:gridCol w:w="1150"/>
      </w:tblGrid>
      <w:tr w14:paraId="467AA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39D89FE3">
            <w:pPr>
              <w:adjustRightInd w:val="0"/>
              <w:snapToGrid w:val="0"/>
              <w:jc w:val="center"/>
              <w:rPr>
                <w:rFonts w:hint="eastAsia" w:ascii="宋体" w:hAnsi="宋体" w:eastAsia="宋体" w:cs="宋体"/>
                <w:b/>
                <w:bCs/>
                <w:szCs w:val="21"/>
              </w:rPr>
            </w:pPr>
            <w:r>
              <w:rPr>
                <w:rFonts w:hint="eastAsia" w:ascii="宋体" w:hAnsi="宋体" w:eastAsia="宋体" w:cs="Times New Roman"/>
                <w:b/>
                <w:bCs/>
                <w:spacing w:val="-6"/>
                <w:szCs w:val="21"/>
              </w:rPr>
              <w:t>遥测式生理信号采集分析系统组成明细表</w:t>
            </w:r>
          </w:p>
        </w:tc>
      </w:tr>
      <w:tr w14:paraId="75F8B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9BEBCAD">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55593B26">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5B3EF5C6">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19678606">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338D4688">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4DD7ABA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65E0A36B">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540" w:type="pct"/>
            <w:tcBorders>
              <w:top w:val="single" w:color="auto" w:sz="4" w:space="0"/>
              <w:left w:val="single" w:color="auto" w:sz="4" w:space="0"/>
              <w:bottom w:val="single" w:color="auto" w:sz="4" w:space="0"/>
              <w:right w:val="single" w:color="auto" w:sz="4" w:space="0"/>
            </w:tcBorders>
            <w:vAlign w:val="center"/>
          </w:tcPr>
          <w:p w14:paraId="75EA2ED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97" w:type="pct"/>
            <w:tcBorders>
              <w:top w:val="single" w:color="auto" w:sz="4" w:space="0"/>
              <w:left w:val="single" w:color="auto" w:sz="4" w:space="0"/>
              <w:bottom w:val="single" w:color="auto" w:sz="4" w:space="0"/>
              <w:right w:val="single" w:color="auto" w:sz="4" w:space="0"/>
            </w:tcBorders>
            <w:vAlign w:val="center"/>
          </w:tcPr>
          <w:p w14:paraId="3413C85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r>
      <w:tr w14:paraId="2692E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2E84555">
            <w:pPr>
              <w:adjustRightInd w:val="0"/>
              <w:snapToGrid w:val="0"/>
              <w:jc w:val="center"/>
              <w:rPr>
                <w:rFonts w:hint="eastAsia" w:ascii="黑体" w:hAnsi="黑体" w:eastAsia="黑体" w:cs="黑体"/>
                <w:szCs w:val="21"/>
              </w:rPr>
            </w:pPr>
            <w:r>
              <w:rPr>
                <w:rFonts w:hint="eastAsia" w:ascii="黑体" w:hAnsi="黑体" w:eastAsia="黑体" w:cs="黑体"/>
                <w:szCs w:val="21"/>
              </w:rPr>
              <w:t>（1）</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03B8C47F">
            <w:pPr>
              <w:adjustRightInd w:val="0"/>
              <w:snapToGrid w:val="0"/>
              <w:jc w:val="center"/>
              <w:rPr>
                <w:rFonts w:ascii="Times New Roman" w:hAnsi="Times New Roman" w:cs="Times New Roman"/>
                <w:b/>
                <w:szCs w:val="21"/>
              </w:rPr>
            </w:pPr>
            <w:r>
              <w:rPr>
                <w:rFonts w:hint="eastAsia" w:ascii="宋体" w:hAnsi="宋体" w:eastAsia="宋体" w:cs="宋体"/>
                <w:b/>
                <w:szCs w:val="21"/>
              </w:rPr>
              <w:t>遥测式生理信号采集分析系统</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6256DDDA">
            <w:pPr>
              <w:adjustRightInd w:val="0"/>
              <w:snapToGrid w:val="0"/>
              <w:spacing w:line="360" w:lineRule="auto"/>
              <w:jc w:val="center"/>
              <w:rPr>
                <w:rFonts w:hint="eastAsia" w:ascii="宋体" w:hAnsi="宋体" w:eastAsia="宋体" w:cs="宋体"/>
                <w:b/>
                <w:bCs/>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3989EA5C">
            <w:pPr>
              <w:adjustRightInd w:val="0"/>
              <w:snapToGrid w:val="0"/>
              <w:spacing w:line="360" w:lineRule="auto"/>
              <w:jc w:val="center"/>
              <w:rPr>
                <w:rFonts w:hint="eastAsia" w:ascii="宋体" w:hAnsi="宋体" w:eastAsia="宋体" w:cs="宋体"/>
                <w:b/>
                <w:bCs/>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7AF0900E">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79D3519C">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3AEEB67F">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0" w:type="pct"/>
            <w:tcBorders>
              <w:top w:val="single" w:color="auto" w:sz="4" w:space="0"/>
              <w:left w:val="single" w:color="auto" w:sz="4" w:space="0"/>
              <w:bottom w:val="single" w:color="auto" w:sz="4" w:space="0"/>
              <w:right w:val="single" w:color="auto" w:sz="4" w:space="0"/>
            </w:tcBorders>
            <w:vAlign w:val="center"/>
          </w:tcPr>
          <w:p w14:paraId="72DC0478">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7DA463BB">
            <w:pPr>
              <w:adjustRightInd w:val="0"/>
              <w:snapToGrid w:val="0"/>
              <w:spacing w:line="360" w:lineRule="auto"/>
              <w:jc w:val="center"/>
              <w:rPr>
                <w:rFonts w:hint="eastAsia" w:ascii="宋体" w:hAnsi="宋体" w:eastAsia="宋体" w:cs="宋体"/>
                <w:b/>
                <w:bCs/>
                <w:szCs w:val="21"/>
              </w:rPr>
            </w:pPr>
          </w:p>
        </w:tc>
      </w:tr>
      <w:tr w14:paraId="3A6FD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D6B1776">
            <w:pPr>
              <w:adjustRightInd w:val="0"/>
              <w:snapToGrid w:val="0"/>
              <w:jc w:val="center"/>
              <w:rPr>
                <w:rFonts w:hint="eastAsia" w:ascii="黑体" w:hAnsi="黑体" w:eastAsia="黑体" w:cs="黑体"/>
                <w:szCs w:val="21"/>
              </w:rPr>
            </w:pPr>
            <w:r>
              <w:rPr>
                <w:rFonts w:hint="eastAsia" w:ascii="黑体" w:hAnsi="黑体" w:eastAsia="黑体" w:cs="黑体"/>
                <w:szCs w:val="21"/>
              </w:rPr>
              <w:t>（2）</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40700D97">
            <w:pPr>
              <w:adjustRightInd w:val="0"/>
              <w:snapToGrid w:val="0"/>
              <w:jc w:val="center"/>
              <w:rPr>
                <w:rFonts w:ascii="Times New Roman" w:hAnsi="Times New Roman" w:cs="Times New Roman"/>
                <w:b/>
                <w:szCs w:val="21"/>
              </w:rPr>
            </w:pPr>
            <w:r>
              <w:rPr>
                <w:rStyle w:val="109"/>
                <w:rFonts w:ascii="Times New Roman" w:hAnsi="Times New Roman" w:cs="Times New Roman"/>
                <w:szCs w:val="21"/>
                <w:lang w:bidi="ar"/>
              </w:rPr>
              <w:t>专用台式工作站</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25C64049">
            <w:pPr>
              <w:adjustRightInd w:val="0"/>
              <w:snapToGrid w:val="0"/>
              <w:spacing w:line="360" w:lineRule="auto"/>
              <w:jc w:val="center"/>
              <w:rPr>
                <w:rFonts w:hint="eastAsia" w:ascii="宋体" w:hAnsi="宋体" w:eastAsia="宋体" w:cs="宋体"/>
                <w:b/>
                <w:bCs/>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419CEF9C">
            <w:pPr>
              <w:adjustRightInd w:val="0"/>
              <w:snapToGrid w:val="0"/>
              <w:spacing w:line="360" w:lineRule="auto"/>
              <w:jc w:val="center"/>
              <w:rPr>
                <w:rFonts w:hint="eastAsia" w:ascii="宋体" w:hAnsi="宋体" w:eastAsia="宋体" w:cs="宋体"/>
                <w:b/>
                <w:bCs/>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3CA10B43">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0939F025">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台</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0EBE7703">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0" w:type="pct"/>
            <w:tcBorders>
              <w:top w:val="single" w:color="auto" w:sz="4" w:space="0"/>
              <w:left w:val="single" w:color="auto" w:sz="4" w:space="0"/>
              <w:bottom w:val="single" w:color="auto" w:sz="4" w:space="0"/>
              <w:right w:val="single" w:color="auto" w:sz="4" w:space="0"/>
            </w:tcBorders>
            <w:vAlign w:val="center"/>
          </w:tcPr>
          <w:p w14:paraId="3BE87114">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5F46CE93">
            <w:pPr>
              <w:adjustRightInd w:val="0"/>
              <w:snapToGrid w:val="0"/>
              <w:spacing w:line="360" w:lineRule="auto"/>
              <w:jc w:val="center"/>
              <w:rPr>
                <w:rFonts w:hint="eastAsia" w:ascii="宋体" w:hAnsi="宋体" w:eastAsia="宋体" w:cs="宋体"/>
                <w:b/>
                <w:bCs/>
                <w:szCs w:val="21"/>
              </w:rPr>
            </w:pPr>
          </w:p>
        </w:tc>
      </w:tr>
      <w:tr w14:paraId="2762D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F284567">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小计（小计金额应等于开标一览表中“</w:t>
            </w:r>
            <w:r>
              <w:rPr>
                <w:rFonts w:hint="eastAsia" w:ascii="宋体" w:hAnsi="宋体" w:eastAsia="宋体" w:cs="Times New Roman"/>
                <w:b/>
                <w:bCs/>
                <w:spacing w:val="-6"/>
                <w:szCs w:val="21"/>
              </w:rPr>
              <w:t>遥测式生理信号采集分析系统</w:t>
            </w:r>
            <w:r>
              <w:rPr>
                <w:rFonts w:hint="eastAsia" w:ascii="宋体" w:hAnsi="宋体" w:eastAsia="宋体" w:cs="宋体"/>
                <w:b/>
                <w:bCs/>
                <w:szCs w:val="21"/>
              </w:rPr>
              <w:t>”的金额）</w:t>
            </w:r>
          </w:p>
        </w:tc>
        <w:tc>
          <w:tcPr>
            <w:tcW w:w="597" w:type="pct"/>
            <w:tcBorders>
              <w:top w:val="single" w:color="auto" w:sz="4" w:space="0"/>
              <w:left w:val="single" w:color="auto" w:sz="4" w:space="0"/>
              <w:bottom w:val="single" w:color="auto" w:sz="4" w:space="0"/>
              <w:right w:val="single" w:color="auto" w:sz="4" w:space="0"/>
            </w:tcBorders>
            <w:vAlign w:val="center"/>
          </w:tcPr>
          <w:p w14:paraId="76FB7275">
            <w:pPr>
              <w:adjustRightInd w:val="0"/>
              <w:snapToGrid w:val="0"/>
              <w:spacing w:line="360" w:lineRule="auto"/>
              <w:jc w:val="center"/>
              <w:rPr>
                <w:rFonts w:hint="eastAsia" w:ascii="宋体" w:hAnsi="宋体" w:eastAsia="宋体" w:cs="宋体"/>
                <w:b/>
                <w:bCs/>
                <w:szCs w:val="21"/>
              </w:rPr>
            </w:pPr>
          </w:p>
        </w:tc>
      </w:tr>
    </w:tbl>
    <w:p w14:paraId="16EC7F33">
      <w:pPr>
        <w:adjustRightInd w:val="0"/>
        <w:snapToGrid w:val="0"/>
        <w:spacing w:line="288" w:lineRule="auto"/>
        <w:rPr>
          <w:rFonts w:hint="eastAsia" w:ascii="宋体" w:hAnsi="宋体" w:eastAsia="宋体" w:cs="Times New Roman"/>
          <w:b/>
          <w:bCs/>
          <w:spacing w:val="-6"/>
          <w:szCs w:val="21"/>
        </w:rPr>
      </w:pPr>
    </w:p>
    <w:p w14:paraId="09D8740A">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4FE85310">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1EC765D4">
      <w:pPr>
        <w:adjustRightInd w:val="0"/>
        <w:snapToGrid w:val="0"/>
        <w:spacing w:line="288" w:lineRule="auto"/>
        <w:rPr>
          <w:rFonts w:hint="eastAsia" w:ascii="宋体" w:hAnsi="宋体" w:eastAsia="宋体" w:cs="Times New Roman"/>
          <w:b/>
          <w:bCs/>
          <w:spacing w:val="-6"/>
          <w:szCs w:val="21"/>
        </w:rPr>
      </w:pPr>
    </w:p>
    <w:p w14:paraId="629A47C3">
      <w:pPr>
        <w:rPr>
          <w:rFonts w:hint="eastAsia" w:ascii="宋体" w:hAnsi="宋体" w:eastAsia="宋体" w:cs="Times New Roman"/>
          <w:b/>
          <w:bCs/>
          <w:spacing w:val="-6"/>
          <w:szCs w:val="21"/>
        </w:rPr>
      </w:pPr>
      <w:r>
        <w:rPr>
          <w:rFonts w:hint="eastAsia" w:ascii="宋体" w:hAnsi="宋体" w:eastAsia="宋体" w:cs="Times New Roman"/>
          <w:b/>
          <w:bCs/>
          <w:spacing w:val="-6"/>
          <w:szCs w:val="21"/>
        </w:rPr>
        <w:br w:type="page"/>
      </w:r>
    </w:p>
    <w:p w14:paraId="53BFE432">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）开标一览表（标项二）</w:t>
      </w:r>
    </w:p>
    <w:p w14:paraId="03A242A3">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采 购 人：浙江工商大学</w:t>
      </w:r>
    </w:p>
    <w:p w14:paraId="02E30CFC">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项目名称：浙江工商大学未来营养健康与共同富裕计算设备更新-共同富裕计算设备（第一批）</w:t>
      </w:r>
    </w:p>
    <w:p w14:paraId="5B75C1A3">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项目编号：QSZB-Z(H)-C24374(GK)</w:t>
      </w:r>
    </w:p>
    <w:p w14:paraId="4F927CDB">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标    项：2</w:t>
      </w:r>
    </w:p>
    <w:p w14:paraId="41CCCAF4">
      <w:pPr>
        <w:adjustRightInd w:val="0"/>
        <w:snapToGrid w:val="0"/>
        <w:spacing w:line="288" w:lineRule="auto"/>
        <w:rPr>
          <w:rFonts w:hint="eastAsia" w:ascii="宋体" w:hAnsi="宋体" w:eastAsia="宋体" w:cs="Times New Roman"/>
          <w:bCs/>
          <w:spacing w:val="-6"/>
          <w:szCs w:val="21"/>
        </w:rPr>
      </w:pPr>
    </w:p>
    <w:tbl>
      <w:tblPr>
        <w:tblStyle w:val="23"/>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1682"/>
        <w:gridCol w:w="1591"/>
        <w:gridCol w:w="802"/>
        <w:gridCol w:w="870"/>
        <w:gridCol w:w="544"/>
        <w:gridCol w:w="544"/>
        <w:gridCol w:w="924"/>
        <w:gridCol w:w="1016"/>
        <w:gridCol w:w="1001"/>
      </w:tblGrid>
      <w:tr w14:paraId="3DDFF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892D3F8">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63DACF6C">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标的名称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5C544583">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27FBA648">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7C26DD03">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79F9B98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7C4EFFD9">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480" w:type="pct"/>
            <w:tcBorders>
              <w:top w:val="single" w:color="auto" w:sz="4" w:space="0"/>
              <w:left w:val="single" w:color="auto" w:sz="4" w:space="0"/>
              <w:bottom w:val="single" w:color="auto" w:sz="4" w:space="0"/>
              <w:right w:val="single" w:color="auto" w:sz="4" w:space="0"/>
            </w:tcBorders>
            <w:vAlign w:val="center"/>
          </w:tcPr>
          <w:p w14:paraId="7DBA349E">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28" w:type="pct"/>
            <w:tcBorders>
              <w:top w:val="single" w:color="auto" w:sz="4" w:space="0"/>
              <w:left w:val="single" w:color="auto" w:sz="4" w:space="0"/>
              <w:bottom w:val="single" w:color="auto" w:sz="4" w:space="0"/>
              <w:right w:val="single" w:color="auto" w:sz="4" w:space="0"/>
            </w:tcBorders>
            <w:vAlign w:val="center"/>
          </w:tcPr>
          <w:p w14:paraId="6B819D4A">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c>
          <w:tcPr>
            <w:tcW w:w="515" w:type="pct"/>
            <w:tcBorders>
              <w:top w:val="single" w:color="auto" w:sz="4" w:space="0"/>
              <w:left w:val="single" w:color="auto" w:sz="4" w:space="0"/>
              <w:bottom w:val="single" w:color="auto" w:sz="4" w:space="0"/>
              <w:right w:val="single" w:color="auto" w:sz="4" w:space="0"/>
            </w:tcBorders>
            <w:vAlign w:val="center"/>
          </w:tcPr>
          <w:p w14:paraId="667BFE8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05310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542D8D00">
            <w:pPr>
              <w:adjustRightInd w:val="0"/>
              <w:jc w:val="center"/>
              <w:rPr>
                <w:rFonts w:hint="eastAsia" w:ascii="黑体" w:hAnsi="黑体" w:eastAsia="黑体" w:cs="黑体"/>
                <w:szCs w:val="21"/>
                <w:lang w:eastAsia="zh"/>
              </w:rPr>
            </w:pPr>
            <w:r>
              <w:rPr>
                <w:rFonts w:hint="eastAsia" w:ascii="黑体" w:hAnsi="黑体" w:eastAsia="黑体" w:cs="黑体"/>
                <w:szCs w:val="21"/>
                <w:lang w:eastAsia="zh"/>
              </w:rPr>
              <w:t>1</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72871B14">
            <w:pPr>
              <w:adjustRightInd w:val="0"/>
              <w:jc w:val="center"/>
              <w:rPr>
                <w:rFonts w:hint="eastAsia" w:ascii="黑体" w:hAnsi="黑体" w:eastAsia="黑体" w:cs="黑体"/>
                <w:szCs w:val="21"/>
              </w:rPr>
            </w:pPr>
            <w:r>
              <w:rPr>
                <w:rFonts w:hint="eastAsia" w:ascii="黑体" w:hAnsi="黑体" w:eastAsia="黑体" w:cs="黑体"/>
                <w:szCs w:val="21"/>
              </w:rPr>
              <w:t>共同富裕数据采集系统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4426C58D">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1E7592A8">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1F88081B">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40ABBBD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175109C2">
            <w:pPr>
              <w:jc w:val="center"/>
              <w:textAlignment w:val="center"/>
              <w:rPr>
                <w:rFonts w:hint="eastAsia" w:ascii="宋体" w:hAnsi="宋体" w:eastAsia="宋体" w:cs="宋体"/>
                <w:b/>
                <w:bCs/>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1AF0203C">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09115F96">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7A8CC366">
            <w:pPr>
              <w:adjustRightInd w:val="0"/>
              <w:snapToGrid w:val="0"/>
              <w:spacing w:line="360" w:lineRule="auto"/>
              <w:jc w:val="center"/>
              <w:rPr>
                <w:rFonts w:hint="eastAsia" w:ascii="宋体" w:hAnsi="宋体" w:eastAsia="宋体" w:cs="宋体"/>
                <w:b/>
                <w:bCs/>
                <w:szCs w:val="21"/>
              </w:rPr>
            </w:pPr>
          </w:p>
        </w:tc>
      </w:tr>
      <w:tr w14:paraId="10EEA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45A458B2">
            <w:pPr>
              <w:adjustRightInd w:val="0"/>
              <w:jc w:val="center"/>
              <w:rPr>
                <w:rFonts w:hint="eastAsia" w:ascii="黑体" w:hAnsi="黑体" w:eastAsia="黑体" w:cs="黑体"/>
                <w:szCs w:val="21"/>
                <w:lang w:eastAsia="zh"/>
              </w:rPr>
            </w:pPr>
            <w:r>
              <w:rPr>
                <w:rFonts w:hint="eastAsia" w:ascii="黑体" w:hAnsi="黑体" w:eastAsia="黑体" w:cs="黑体"/>
                <w:szCs w:val="21"/>
                <w:lang w:eastAsia="zh"/>
              </w:rPr>
              <w:t>2</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4CEB8253">
            <w:pPr>
              <w:adjustRightInd w:val="0"/>
              <w:jc w:val="center"/>
              <w:rPr>
                <w:rFonts w:hint="eastAsia" w:ascii="黑体" w:hAnsi="黑体" w:eastAsia="黑体" w:cs="黑体"/>
                <w:szCs w:val="21"/>
              </w:rPr>
            </w:pPr>
            <w:r>
              <w:rPr>
                <w:rFonts w:hint="eastAsia" w:ascii="黑体" w:hAnsi="黑体" w:eastAsia="黑体" w:cs="黑体"/>
                <w:szCs w:val="21"/>
              </w:rPr>
              <w:t>“数字+”驾驶舱平台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01F385F2">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76663594">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A227676">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7277BD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30C69AF5">
            <w:pPr>
              <w:jc w:val="center"/>
              <w:textAlignment w:val="center"/>
              <w:rPr>
                <w:rFonts w:hint="eastAsia" w:ascii="宋体" w:hAnsi="宋体" w:eastAsia="宋体" w:cs="宋体"/>
                <w:b/>
                <w:bCs/>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4E337727">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276EFE51">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681F3986">
            <w:pPr>
              <w:adjustRightInd w:val="0"/>
              <w:snapToGrid w:val="0"/>
              <w:spacing w:line="360" w:lineRule="auto"/>
              <w:jc w:val="center"/>
              <w:rPr>
                <w:rFonts w:hint="eastAsia" w:ascii="宋体" w:hAnsi="宋体" w:eastAsia="宋体" w:cs="宋体"/>
                <w:b/>
                <w:bCs/>
                <w:szCs w:val="21"/>
              </w:rPr>
            </w:pPr>
          </w:p>
        </w:tc>
      </w:tr>
      <w:tr w14:paraId="3FA1F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F03CB7B">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★以下（联合体其他成员）承担的部分：</w:t>
            </w:r>
          </w:p>
        </w:tc>
      </w:tr>
      <w:tr w14:paraId="496D7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42BD373F">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6FFD311E">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5F5245CE">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724CDE0D">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09EFA059">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48E7211E">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5EE4ADF">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01BB3817">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06636D20">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2F5E22E5">
            <w:pPr>
              <w:adjustRightInd w:val="0"/>
              <w:snapToGrid w:val="0"/>
              <w:spacing w:line="360" w:lineRule="auto"/>
              <w:jc w:val="center"/>
              <w:rPr>
                <w:rFonts w:hint="eastAsia" w:ascii="宋体" w:hAnsi="宋体" w:eastAsia="宋体" w:cs="宋体"/>
                <w:b/>
                <w:bCs/>
                <w:szCs w:val="21"/>
              </w:rPr>
            </w:pPr>
          </w:p>
        </w:tc>
      </w:tr>
      <w:tr w14:paraId="66DBA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6F457DF">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★以下（分包单位）承担的部分：</w:t>
            </w:r>
          </w:p>
        </w:tc>
      </w:tr>
      <w:tr w14:paraId="7597E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4767875">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1FF7E9F0">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04D64FF8">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2CC67DEA">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55D942E9">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0AE8DABC">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21C1BF7">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2B699904">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0D1FF078">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1D58E00C">
            <w:pPr>
              <w:adjustRightInd w:val="0"/>
              <w:snapToGrid w:val="0"/>
              <w:spacing w:line="360" w:lineRule="auto"/>
              <w:jc w:val="center"/>
              <w:rPr>
                <w:rFonts w:hint="eastAsia" w:ascii="宋体" w:hAnsi="宋体" w:eastAsia="宋体" w:cs="宋体"/>
                <w:b/>
                <w:bCs/>
                <w:szCs w:val="21"/>
              </w:rPr>
            </w:pPr>
          </w:p>
        </w:tc>
      </w:tr>
      <w:tr w14:paraId="67EC6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F4D5C9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投标总价（人民币元）</w:t>
            </w:r>
          </w:p>
          <w:p w14:paraId="35E5B9BD">
            <w:pPr>
              <w:adjustRightInd w:val="0"/>
              <w:snapToGrid w:val="0"/>
              <w:spacing w:line="288" w:lineRule="auto"/>
              <w:rPr>
                <w:rFonts w:hint="eastAsia" w:ascii="宋体" w:hAnsi="宋体" w:eastAsia="宋体" w:cs="宋体"/>
                <w:b/>
                <w:bCs/>
                <w:szCs w:val="21"/>
              </w:rPr>
            </w:pPr>
          </w:p>
          <w:p w14:paraId="491359EE">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小写：_________________________</w:t>
            </w:r>
          </w:p>
          <w:p w14:paraId="066DEA3D">
            <w:pPr>
              <w:adjustRightInd w:val="0"/>
              <w:snapToGrid w:val="0"/>
              <w:spacing w:line="288" w:lineRule="auto"/>
              <w:rPr>
                <w:rFonts w:hint="eastAsia" w:ascii="宋体" w:hAnsi="宋体" w:eastAsia="宋体" w:cs="宋体"/>
                <w:b/>
                <w:bCs/>
                <w:szCs w:val="21"/>
              </w:rPr>
            </w:pPr>
          </w:p>
          <w:p w14:paraId="41BFD36B">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大写：_________________________</w:t>
            </w:r>
          </w:p>
          <w:p w14:paraId="771E7E9E">
            <w:pPr>
              <w:adjustRightInd w:val="0"/>
              <w:snapToGrid w:val="0"/>
              <w:spacing w:line="288" w:lineRule="auto"/>
              <w:rPr>
                <w:rFonts w:hint="eastAsia" w:ascii="宋体" w:hAnsi="宋体" w:eastAsia="宋体" w:cs="宋体"/>
                <w:b/>
                <w:bCs/>
                <w:szCs w:val="21"/>
              </w:rPr>
            </w:pPr>
          </w:p>
        </w:tc>
      </w:tr>
    </w:tbl>
    <w:p w14:paraId="748ED31A">
      <w:pPr>
        <w:adjustRightInd w:val="0"/>
        <w:snapToGrid w:val="0"/>
        <w:spacing w:line="288" w:lineRule="auto"/>
        <w:rPr>
          <w:rFonts w:hint="eastAsia" w:ascii="宋体" w:hAnsi="宋体" w:eastAsia="宋体" w:cs="Times New Roman"/>
          <w:spacing w:val="-6"/>
          <w:szCs w:val="21"/>
        </w:rPr>
      </w:pPr>
    </w:p>
    <w:p w14:paraId="26457DE3">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说明：</w:t>
      </w:r>
    </w:p>
    <w:p w14:paraId="52FB479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1.开标一览表应按照本招标文件“第三章 投标人须知”关于“投标报价”的规定填写；</w:t>
      </w:r>
    </w:p>
    <w:p w14:paraId="0CF6CC7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★2.联合体其他成员承担的部分、分包单位承担的部分，应在表中列明。</w:t>
      </w:r>
    </w:p>
    <w:p w14:paraId="0DFF1067">
      <w:pPr>
        <w:adjustRightInd w:val="0"/>
        <w:snapToGrid w:val="0"/>
        <w:spacing w:line="288" w:lineRule="auto"/>
        <w:rPr>
          <w:rFonts w:hint="eastAsia" w:ascii="宋体" w:hAnsi="宋体" w:eastAsia="宋体" w:cs="宋体"/>
          <w:szCs w:val="21"/>
        </w:rPr>
      </w:pPr>
      <w:r>
        <w:rPr>
          <w:rFonts w:ascii="宋体" w:hAnsi="宋体" w:eastAsia="宋体" w:cs="Times New Roman"/>
          <w:b/>
          <w:bCs/>
          <w:color w:val="000000" w:themeColor="text1"/>
          <w:spacing w:val="-6"/>
          <w:szCs w:val="21"/>
          <w14:textFill>
            <w14:solidFill>
              <w14:schemeClr w14:val="tx1"/>
            </w14:solidFill>
          </w14:textFill>
        </w:rPr>
        <w:t>▲</w:t>
      </w:r>
      <w:r>
        <w:rPr>
          <w:rFonts w:hint="eastAsia" w:ascii="宋体" w:hAnsi="宋体" w:eastAsia="宋体" w:cs="宋体"/>
          <w:b/>
          <w:bCs/>
          <w:szCs w:val="21"/>
          <w:lang w:val="en-US" w:eastAsia="zh-CN"/>
        </w:rPr>
        <w:t>3.单价不得超过采购需求中规定的单价最高限价，总价不得超过采购需求中规定预算金额。</w:t>
      </w:r>
    </w:p>
    <w:p w14:paraId="730FC6AD">
      <w:pPr>
        <w:adjustRightInd w:val="0"/>
        <w:snapToGrid w:val="0"/>
        <w:spacing w:line="288" w:lineRule="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.后附</w:t>
      </w:r>
      <w:r>
        <w:rPr>
          <w:rFonts w:hint="eastAsia" w:ascii="黑体" w:hAnsi="黑体" w:eastAsia="黑体" w:cs="黑体"/>
          <w:b/>
          <w:bCs/>
          <w:szCs w:val="21"/>
        </w:rPr>
        <w:t>“数字+”驾驶舱平台</w:t>
      </w:r>
      <w:r>
        <w:rPr>
          <w:rFonts w:hint="eastAsia" w:ascii="宋体" w:hAnsi="宋体" w:eastAsia="宋体" w:cs="宋体"/>
          <w:b/>
          <w:bCs/>
          <w:szCs w:val="21"/>
        </w:rPr>
        <w:t>组成明细表。</w:t>
      </w:r>
    </w:p>
    <w:p w14:paraId="3F45D0EF">
      <w:pPr>
        <w:adjustRightInd w:val="0"/>
        <w:snapToGrid w:val="0"/>
        <w:spacing w:line="288" w:lineRule="auto"/>
        <w:rPr>
          <w:rFonts w:hint="eastAsia" w:ascii="宋体" w:hAnsi="宋体" w:eastAsia="宋体" w:cs="Times New Roman"/>
          <w:szCs w:val="21"/>
        </w:rPr>
      </w:pPr>
    </w:p>
    <w:p w14:paraId="746D44DA">
      <w:pPr>
        <w:adjustRightInd w:val="0"/>
        <w:snapToGrid w:val="0"/>
        <w:spacing w:line="288" w:lineRule="auto"/>
        <w:rPr>
          <w:rFonts w:hint="eastAsia" w:ascii="宋体" w:hAnsi="宋体" w:eastAsia="宋体" w:cs="Times New Roman"/>
          <w:szCs w:val="21"/>
        </w:rPr>
      </w:pPr>
    </w:p>
    <w:p w14:paraId="1EF74BD8">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10255FA2">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04D28C3E">
      <w:pPr>
        <w:rPr>
          <w:rFonts w:hint="eastAsia" w:ascii="宋体" w:hAnsi="宋体" w:eastAsia="宋体" w:cs="Times New Roman"/>
          <w:b/>
          <w:bCs/>
          <w:spacing w:val="-6"/>
          <w:szCs w:val="21"/>
        </w:rPr>
      </w:pPr>
      <w:r>
        <w:rPr>
          <w:rFonts w:hint="eastAsia" w:ascii="宋体" w:hAnsi="宋体" w:eastAsia="宋体" w:cs="Times New Roman"/>
          <w:b/>
          <w:bCs/>
          <w:spacing w:val="-6"/>
          <w:szCs w:val="21"/>
        </w:rPr>
        <w:br w:type="page"/>
      </w:r>
    </w:p>
    <w:p w14:paraId="1C5AD774">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附1：“数字+”驾驶舱平台组成明细表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4"/>
        <w:gridCol w:w="1361"/>
        <w:gridCol w:w="1285"/>
        <w:gridCol w:w="960"/>
        <w:gridCol w:w="604"/>
        <w:gridCol w:w="604"/>
        <w:gridCol w:w="1046"/>
        <w:gridCol w:w="1150"/>
      </w:tblGrid>
      <w:tr w14:paraId="2CC1A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4084811">
            <w:pPr>
              <w:adjustRightInd w:val="0"/>
              <w:snapToGrid w:val="0"/>
              <w:jc w:val="center"/>
              <w:rPr>
                <w:rFonts w:hint="eastAsia" w:ascii="宋体" w:hAnsi="宋体" w:eastAsia="宋体" w:cs="宋体"/>
                <w:b/>
                <w:bCs/>
                <w:szCs w:val="21"/>
              </w:rPr>
            </w:pPr>
            <w:r>
              <w:rPr>
                <w:rFonts w:hint="eastAsia" w:ascii="宋体" w:hAnsi="宋体" w:eastAsia="宋体" w:cs="Times New Roman"/>
                <w:b/>
                <w:bCs/>
                <w:spacing w:val="-6"/>
                <w:szCs w:val="21"/>
              </w:rPr>
              <w:t>“数字+”驾驶舱平台组成明细表</w:t>
            </w:r>
          </w:p>
        </w:tc>
      </w:tr>
      <w:tr w14:paraId="59FE6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C20D6B5">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32D9AE27">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63FAE42F">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2B10CCFF">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3E951805">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78C7594C">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12B99E8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540" w:type="pct"/>
            <w:tcBorders>
              <w:top w:val="single" w:color="auto" w:sz="4" w:space="0"/>
              <w:left w:val="single" w:color="auto" w:sz="4" w:space="0"/>
              <w:bottom w:val="single" w:color="auto" w:sz="4" w:space="0"/>
              <w:right w:val="single" w:color="auto" w:sz="4" w:space="0"/>
            </w:tcBorders>
            <w:vAlign w:val="center"/>
          </w:tcPr>
          <w:p w14:paraId="7602E2A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97" w:type="pct"/>
            <w:tcBorders>
              <w:top w:val="single" w:color="auto" w:sz="4" w:space="0"/>
              <w:left w:val="single" w:color="auto" w:sz="4" w:space="0"/>
              <w:bottom w:val="single" w:color="auto" w:sz="4" w:space="0"/>
              <w:right w:val="single" w:color="auto" w:sz="4" w:space="0"/>
            </w:tcBorders>
            <w:vAlign w:val="center"/>
          </w:tcPr>
          <w:p w14:paraId="67BD0890">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r>
      <w:tr w14:paraId="30CF9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ECE55BD">
            <w:pPr>
              <w:adjustRightInd w:val="0"/>
              <w:snapToGrid w:val="0"/>
              <w:jc w:val="center"/>
              <w:rPr>
                <w:rFonts w:hint="eastAsia" w:ascii="黑体" w:hAnsi="黑体" w:eastAsia="黑体" w:cs="黑体"/>
                <w:szCs w:val="21"/>
              </w:rPr>
            </w:pPr>
            <w:r>
              <w:rPr>
                <w:rFonts w:hint="eastAsia" w:ascii="黑体" w:hAnsi="黑体" w:eastAsia="黑体" w:cs="黑体"/>
                <w:szCs w:val="21"/>
              </w:rPr>
              <w:t>（1）</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1CBBE531">
            <w:pPr>
              <w:adjustRightInd w:val="0"/>
              <w:snapToGrid w:val="0"/>
              <w:jc w:val="center"/>
              <w:rPr>
                <w:rFonts w:hint="eastAsia" w:ascii="黑体" w:hAnsi="黑体" w:eastAsia="黑体" w:cs="黑体"/>
                <w:szCs w:val="21"/>
              </w:rPr>
            </w:pPr>
            <w:r>
              <w:rPr>
                <w:rFonts w:ascii="Times New Roman" w:hAnsi="Times New Roman"/>
                <w:b/>
                <w:bCs/>
                <w:szCs w:val="21"/>
                <w:lang w:eastAsia="zh" w:bidi="ar"/>
              </w:rPr>
              <w:t>“</w:t>
            </w:r>
            <w:r>
              <w:rPr>
                <w:rFonts w:ascii="Times New Roman" w:hAnsi="Times New Roman"/>
                <w:b/>
                <w:bCs/>
                <w:szCs w:val="21"/>
                <w:lang w:bidi="ar"/>
              </w:rPr>
              <w:t>数字+”驾驶舱平台</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6F543EBF">
            <w:pPr>
              <w:adjustRightInd w:val="0"/>
              <w:snapToGrid w:val="0"/>
              <w:spacing w:line="360" w:lineRule="auto"/>
              <w:jc w:val="center"/>
              <w:rPr>
                <w:rFonts w:hint="eastAsia" w:ascii="宋体" w:hAnsi="宋体" w:eastAsia="宋体" w:cs="宋体"/>
                <w:b/>
                <w:bCs/>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0DF81D33">
            <w:pPr>
              <w:adjustRightInd w:val="0"/>
              <w:snapToGrid w:val="0"/>
              <w:spacing w:line="360" w:lineRule="auto"/>
              <w:jc w:val="center"/>
              <w:rPr>
                <w:rFonts w:hint="eastAsia" w:ascii="宋体" w:hAnsi="宋体" w:eastAsia="宋体" w:cs="宋体"/>
                <w:b/>
                <w:bCs/>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0284F217">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4148178D">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05BC42BD">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0" w:type="pct"/>
            <w:tcBorders>
              <w:top w:val="single" w:color="auto" w:sz="4" w:space="0"/>
              <w:left w:val="single" w:color="auto" w:sz="4" w:space="0"/>
              <w:bottom w:val="single" w:color="auto" w:sz="4" w:space="0"/>
              <w:right w:val="single" w:color="auto" w:sz="4" w:space="0"/>
            </w:tcBorders>
            <w:vAlign w:val="center"/>
          </w:tcPr>
          <w:p w14:paraId="2258EDDB">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48A9AFF1">
            <w:pPr>
              <w:adjustRightInd w:val="0"/>
              <w:snapToGrid w:val="0"/>
              <w:spacing w:line="360" w:lineRule="auto"/>
              <w:jc w:val="center"/>
              <w:rPr>
                <w:rFonts w:hint="eastAsia" w:ascii="宋体" w:hAnsi="宋体" w:eastAsia="宋体" w:cs="宋体"/>
                <w:b/>
                <w:bCs/>
                <w:szCs w:val="21"/>
              </w:rPr>
            </w:pPr>
          </w:p>
        </w:tc>
      </w:tr>
      <w:tr w14:paraId="76FF6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62222D0">
            <w:pPr>
              <w:adjustRightInd w:val="0"/>
              <w:snapToGrid w:val="0"/>
              <w:jc w:val="center"/>
              <w:rPr>
                <w:rFonts w:hint="eastAsia" w:ascii="黑体" w:hAnsi="黑体" w:eastAsia="黑体" w:cs="黑体"/>
                <w:szCs w:val="21"/>
              </w:rPr>
            </w:pPr>
            <w:r>
              <w:rPr>
                <w:rFonts w:hint="eastAsia" w:ascii="黑体" w:hAnsi="黑体" w:eastAsia="黑体" w:cs="黑体"/>
                <w:szCs w:val="21"/>
              </w:rPr>
              <w:t>（2）</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069E3A3E">
            <w:pPr>
              <w:adjustRightInd w:val="0"/>
              <w:snapToGrid w:val="0"/>
              <w:jc w:val="center"/>
              <w:rPr>
                <w:rFonts w:hint="eastAsia" w:ascii="黑体" w:hAnsi="黑体" w:eastAsia="黑体" w:cs="黑体"/>
                <w:szCs w:val="21"/>
              </w:rPr>
            </w:pPr>
            <w:r>
              <w:rPr>
                <w:rFonts w:ascii="Times New Roman" w:hAnsi="Times New Roman" w:cs="Times New Roman"/>
                <w:b/>
                <w:bCs/>
                <w:szCs w:val="21"/>
                <w:lang w:bidi="ar"/>
              </w:rPr>
              <w:t>数据采集终端</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7F2D043B">
            <w:pPr>
              <w:adjustRightInd w:val="0"/>
              <w:snapToGrid w:val="0"/>
              <w:spacing w:line="360" w:lineRule="auto"/>
              <w:jc w:val="center"/>
              <w:rPr>
                <w:rFonts w:hint="eastAsia" w:ascii="宋体" w:hAnsi="宋体" w:eastAsia="宋体" w:cs="宋体"/>
                <w:b/>
                <w:bCs/>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7D0855F9">
            <w:pPr>
              <w:adjustRightInd w:val="0"/>
              <w:snapToGrid w:val="0"/>
              <w:spacing w:line="360" w:lineRule="auto"/>
              <w:jc w:val="center"/>
              <w:rPr>
                <w:rFonts w:hint="eastAsia" w:ascii="宋体" w:hAnsi="宋体" w:eastAsia="宋体" w:cs="宋体"/>
                <w:b/>
                <w:bCs/>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43D72C1D">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30C43BB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个</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73339386">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0" w:type="pct"/>
            <w:tcBorders>
              <w:top w:val="single" w:color="auto" w:sz="4" w:space="0"/>
              <w:left w:val="single" w:color="auto" w:sz="4" w:space="0"/>
              <w:bottom w:val="single" w:color="auto" w:sz="4" w:space="0"/>
              <w:right w:val="single" w:color="auto" w:sz="4" w:space="0"/>
            </w:tcBorders>
            <w:vAlign w:val="center"/>
          </w:tcPr>
          <w:p w14:paraId="1CAF76CA">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126CE7A5">
            <w:pPr>
              <w:adjustRightInd w:val="0"/>
              <w:snapToGrid w:val="0"/>
              <w:spacing w:line="360" w:lineRule="auto"/>
              <w:jc w:val="center"/>
              <w:rPr>
                <w:rFonts w:hint="eastAsia" w:ascii="宋体" w:hAnsi="宋体" w:eastAsia="宋体" w:cs="宋体"/>
                <w:b/>
                <w:bCs/>
                <w:szCs w:val="21"/>
              </w:rPr>
            </w:pPr>
          </w:p>
        </w:tc>
      </w:tr>
      <w:tr w14:paraId="56EE8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FAA531E">
            <w:pPr>
              <w:adjustRightInd w:val="0"/>
              <w:snapToGrid w:val="0"/>
              <w:jc w:val="center"/>
              <w:rPr>
                <w:rFonts w:hint="eastAsia" w:ascii="黑体" w:hAnsi="黑体" w:eastAsia="黑体" w:cs="黑体"/>
                <w:szCs w:val="21"/>
              </w:rPr>
            </w:pPr>
            <w:r>
              <w:rPr>
                <w:rFonts w:hint="eastAsia" w:ascii="黑体" w:hAnsi="黑体" w:eastAsia="黑体" w:cs="黑体"/>
                <w:szCs w:val="21"/>
              </w:rPr>
              <w:t>（3）</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04437B65">
            <w:pPr>
              <w:adjustRightInd w:val="0"/>
              <w:snapToGrid w:val="0"/>
              <w:jc w:val="center"/>
              <w:rPr>
                <w:rFonts w:hint="eastAsia" w:ascii="黑体" w:hAnsi="黑体" w:eastAsia="黑体" w:cs="黑体"/>
                <w:szCs w:val="21"/>
              </w:rPr>
            </w:pPr>
            <w:r>
              <w:rPr>
                <w:rFonts w:ascii="Times New Roman" w:hAnsi="Times New Roman"/>
                <w:b/>
                <w:bCs/>
                <w:szCs w:val="21"/>
                <w:lang w:bidi="ar"/>
              </w:rPr>
              <w:t>专用工作站</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2BE18ED6">
            <w:pPr>
              <w:adjustRightInd w:val="0"/>
              <w:snapToGrid w:val="0"/>
              <w:spacing w:line="360" w:lineRule="auto"/>
              <w:jc w:val="center"/>
              <w:rPr>
                <w:rFonts w:hint="eastAsia" w:ascii="宋体" w:hAnsi="宋体" w:eastAsia="宋体" w:cs="宋体"/>
                <w:b/>
                <w:bCs/>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0731639D">
            <w:pPr>
              <w:adjustRightInd w:val="0"/>
              <w:snapToGrid w:val="0"/>
              <w:spacing w:line="360" w:lineRule="auto"/>
              <w:jc w:val="center"/>
              <w:rPr>
                <w:rFonts w:hint="eastAsia" w:ascii="宋体" w:hAnsi="宋体" w:eastAsia="宋体" w:cs="宋体"/>
                <w:b/>
                <w:bCs/>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0CC73689">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5183D799">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个</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49F2DA67">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0" w:type="pct"/>
            <w:tcBorders>
              <w:top w:val="single" w:color="auto" w:sz="4" w:space="0"/>
              <w:left w:val="single" w:color="auto" w:sz="4" w:space="0"/>
              <w:bottom w:val="single" w:color="auto" w:sz="4" w:space="0"/>
              <w:right w:val="single" w:color="auto" w:sz="4" w:space="0"/>
            </w:tcBorders>
            <w:vAlign w:val="center"/>
          </w:tcPr>
          <w:p w14:paraId="04B188BF">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29D7CD5F">
            <w:pPr>
              <w:adjustRightInd w:val="0"/>
              <w:snapToGrid w:val="0"/>
              <w:spacing w:line="360" w:lineRule="auto"/>
              <w:jc w:val="center"/>
              <w:rPr>
                <w:rFonts w:hint="eastAsia" w:ascii="宋体" w:hAnsi="宋体" w:eastAsia="宋体" w:cs="宋体"/>
                <w:b/>
                <w:bCs/>
                <w:szCs w:val="21"/>
              </w:rPr>
            </w:pPr>
          </w:p>
        </w:tc>
      </w:tr>
      <w:tr w14:paraId="7CF29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0" w:hRule="atLeast"/>
        </w:trPr>
        <w:tc>
          <w:tcPr>
            <w:tcW w:w="440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6FE9864">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小计（小计金额应等于开标一览表中“</w:t>
            </w:r>
            <w:r>
              <w:rPr>
                <w:rFonts w:hint="eastAsia" w:ascii="宋体" w:hAnsi="宋体" w:eastAsia="宋体" w:cs="Times New Roman"/>
                <w:b/>
                <w:bCs/>
                <w:spacing w:val="-6"/>
                <w:szCs w:val="21"/>
              </w:rPr>
              <w:t>“数字+”驾驶舱平台</w:t>
            </w:r>
            <w:r>
              <w:rPr>
                <w:rFonts w:hint="eastAsia" w:ascii="宋体" w:hAnsi="宋体" w:eastAsia="宋体" w:cs="宋体"/>
                <w:b/>
                <w:bCs/>
                <w:szCs w:val="21"/>
              </w:rPr>
              <w:t>”的金额）</w:t>
            </w:r>
          </w:p>
        </w:tc>
        <w:tc>
          <w:tcPr>
            <w:tcW w:w="597" w:type="pct"/>
            <w:tcBorders>
              <w:top w:val="single" w:color="auto" w:sz="4" w:space="0"/>
              <w:left w:val="single" w:color="auto" w:sz="4" w:space="0"/>
              <w:bottom w:val="single" w:color="auto" w:sz="4" w:space="0"/>
              <w:right w:val="single" w:color="auto" w:sz="4" w:space="0"/>
            </w:tcBorders>
            <w:vAlign w:val="center"/>
          </w:tcPr>
          <w:p w14:paraId="4028EC00">
            <w:pPr>
              <w:adjustRightInd w:val="0"/>
              <w:snapToGrid w:val="0"/>
              <w:spacing w:line="360" w:lineRule="auto"/>
              <w:jc w:val="center"/>
              <w:rPr>
                <w:rFonts w:hint="eastAsia" w:ascii="宋体" w:hAnsi="宋体" w:eastAsia="宋体" w:cs="宋体"/>
                <w:b/>
                <w:bCs/>
                <w:szCs w:val="21"/>
              </w:rPr>
            </w:pPr>
          </w:p>
        </w:tc>
      </w:tr>
    </w:tbl>
    <w:p w14:paraId="012ECD7F">
      <w:pPr>
        <w:adjustRightInd w:val="0"/>
        <w:snapToGrid w:val="0"/>
        <w:spacing w:line="288" w:lineRule="auto"/>
        <w:rPr>
          <w:rFonts w:hint="eastAsia" w:ascii="宋体" w:hAnsi="宋体" w:eastAsia="宋体" w:cs="Times New Roman"/>
          <w:b/>
          <w:bCs/>
          <w:spacing w:val="-6"/>
          <w:szCs w:val="21"/>
        </w:rPr>
      </w:pPr>
    </w:p>
    <w:p w14:paraId="7B8E3E0D">
      <w:pPr>
        <w:adjustRightInd w:val="0"/>
        <w:snapToGrid w:val="0"/>
        <w:spacing w:line="288" w:lineRule="auto"/>
        <w:rPr>
          <w:rFonts w:hint="eastAsia" w:ascii="宋体" w:hAnsi="宋体" w:eastAsia="宋体" w:cs="Times New Roman"/>
          <w:b/>
          <w:bCs/>
          <w:spacing w:val="-6"/>
          <w:szCs w:val="21"/>
        </w:rPr>
      </w:pPr>
    </w:p>
    <w:p w14:paraId="1AEF6C6A">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6E1EEEE7">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33C0104D">
      <w:pPr>
        <w:adjustRightInd w:val="0"/>
        <w:snapToGrid w:val="0"/>
        <w:spacing w:line="288" w:lineRule="auto"/>
        <w:rPr>
          <w:rFonts w:hint="eastAsia" w:ascii="宋体" w:hAnsi="宋体" w:eastAsia="宋体" w:cs="Times New Roman"/>
          <w:b/>
          <w:bCs/>
          <w:spacing w:val="-6"/>
          <w:szCs w:val="21"/>
        </w:rPr>
      </w:pPr>
    </w:p>
    <w:p w14:paraId="6A3E2187">
      <w:pPr>
        <w:rPr>
          <w:rFonts w:hint="eastAsia" w:ascii="宋体" w:hAnsi="宋体" w:eastAsia="宋体" w:cs="Times New Roman"/>
          <w:b/>
          <w:bCs/>
          <w:spacing w:val="-6"/>
          <w:szCs w:val="21"/>
        </w:rPr>
      </w:pPr>
      <w:r>
        <w:rPr>
          <w:rFonts w:hint="eastAsia" w:ascii="宋体" w:hAnsi="宋体" w:eastAsia="宋体" w:cs="Times New Roman"/>
          <w:b/>
          <w:bCs/>
          <w:spacing w:val="-6"/>
          <w:szCs w:val="21"/>
        </w:rPr>
        <w:br w:type="page"/>
      </w:r>
    </w:p>
    <w:p w14:paraId="6C9923CA">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）开标一览表（标项三）</w:t>
      </w:r>
    </w:p>
    <w:p w14:paraId="49FEDDDD">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采 购 人：浙江工商大学</w:t>
      </w:r>
    </w:p>
    <w:p w14:paraId="51924D43">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项目名称：浙江工商大学未来营养健康与共同富裕计算设备更新-共同富裕计算设备（第一批）</w:t>
      </w:r>
    </w:p>
    <w:p w14:paraId="74AAE558">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项目编号：QSZB-Z(H)-C24374(GK)</w:t>
      </w:r>
    </w:p>
    <w:p w14:paraId="5B2D5149">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标    项：3</w:t>
      </w:r>
    </w:p>
    <w:tbl>
      <w:tblPr>
        <w:tblStyle w:val="23"/>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1682"/>
        <w:gridCol w:w="1591"/>
        <w:gridCol w:w="802"/>
        <w:gridCol w:w="870"/>
        <w:gridCol w:w="544"/>
        <w:gridCol w:w="544"/>
        <w:gridCol w:w="924"/>
        <w:gridCol w:w="1016"/>
        <w:gridCol w:w="1001"/>
      </w:tblGrid>
      <w:tr w14:paraId="045A9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4944225">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76BA8378">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标的名称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6C528083">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34190D6A">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0245DAB">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4E2A51DF">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4893AF4E">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480" w:type="pct"/>
            <w:tcBorders>
              <w:top w:val="single" w:color="auto" w:sz="4" w:space="0"/>
              <w:left w:val="single" w:color="auto" w:sz="4" w:space="0"/>
              <w:bottom w:val="single" w:color="auto" w:sz="4" w:space="0"/>
              <w:right w:val="single" w:color="auto" w:sz="4" w:space="0"/>
            </w:tcBorders>
            <w:vAlign w:val="center"/>
          </w:tcPr>
          <w:p w14:paraId="64B90E43">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28" w:type="pct"/>
            <w:tcBorders>
              <w:top w:val="single" w:color="auto" w:sz="4" w:space="0"/>
              <w:left w:val="single" w:color="auto" w:sz="4" w:space="0"/>
              <w:bottom w:val="single" w:color="auto" w:sz="4" w:space="0"/>
              <w:right w:val="single" w:color="auto" w:sz="4" w:space="0"/>
            </w:tcBorders>
            <w:vAlign w:val="center"/>
          </w:tcPr>
          <w:p w14:paraId="2A6512C2">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c>
          <w:tcPr>
            <w:tcW w:w="515" w:type="pct"/>
            <w:tcBorders>
              <w:top w:val="single" w:color="auto" w:sz="4" w:space="0"/>
              <w:left w:val="single" w:color="auto" w:sz="4" w:space="0"/>
              <w:bottom w:val="single" w:color="auto" w:sz="4" w:space="0"/>
              <w:right w:val="single" w:color="auto" w:sz="4" w:space="0"/>
            </w:tcBorders>
            <w:vAlign w:val="center"/>
          </w:tcPr>
          <w:p w14:paraId="028D5DF8">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6C4E2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34AD103">
            <w:pPr>
              <w:jc w:val="center"/>
              <w:rPr>
                <w:rFonts w:hint="eastAsia" w:ascii="黑体" w:hAnsi="黑体" w:eastAsia="黑体" w:cs="黑体"/>
                <w:b/>
                <w:bCs/>
                <w:szCs w:val="21"/>
              </w:rPr>
            </w:pPr>
            <w:r>
              <w:rPr>
                <w:rFonts w:hint="eastAsia" w:ascii="黑体" w:hAnsi="黑体" w:eastAsia="黑体" w:cs="黑体"/>
                <w:szCs w:val="28"/>
                <w:lang w:eastAsia="zh"/>
              </w:rPr>
              <w:t>1</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08411848">
            <w:pPr>
              <w:jc w:val="center"/>
              <w:rPr>
                <w:rFonts w:hint="eastAsia" w:ascii="黑体" w:hAnsi="黑体" w:eastAsia="黑体" w:cs="黑体"/>
                <w:b/>
                <w:bCs/>
                <w:szCs w:val="21"/>
              </w:rPr>
            </w:pPr>
            <w:r>
              <w:rPr>
                <w:rFonts w:hint="eastAsia" w:ascii="黑体" w:hAnsi="黑体" w:eastAsia="黑体" w:cs="黑体"/>
                <w:szCs w:val="21"/>
              </w:rPr>
              <w:t>大模型私有化实施服务系统</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444D2F3A">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60199494">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5065E574">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70207E5C">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99C8CDB">
            <w:pPr>
              <w:jc w:val="center"/>
              <w:textAlignment w:val="center"/>
              <w:rPr>
                <w:rFonts w:hint="eastAsia" w:ascii="宋体" w:hAnsi="宋体" w:eastAsia="宋体" w:cs="宋体"/>
                <w:b/>
                <w:bCs/>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75D463BB">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7002E348">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9D64628">
            <w:pPr>
              <w:adjustRightInd w:val="0"/>
              <w:snapToGrid w:val="0"/>
              <w:spacing w:line="360" w:lineRule="auto"/>
              <w:jc w:val="center"/>
              <w:rPr>
                <w:rFonts w:hint="eastAsia" w:ascii="宋体" w:hAnsi="宋体" w:eastAsia="宋体" w:cs="宋体"/>
                <w:b/>
                <w:bCs/>
                <w:szCs w:val="21"/>
              </w:rPr>
            </w:pPr>
          </w:p>
        </w:tc>
      </w:tr>
      <w:tr w14:paraId="545BC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0E9022FC">
            <w:pPr>
              <w:jc w:val="center"/>
              <w:rPr>
                <w:rFonts w:hint="eastAsia" w:ascii="黑体" w:hAnsi="黑体" w:eastAsia="黑体" w:cs="黑体"/>
                <w:b/>
                <w:bCs/>
                <w:szCs w:val="21"/>
              </w:rPr>
            </w:pPr>
            <w:r>
              <w:rPr>
                <w:rFonts w:hint="eastAsia" w:ascii="黑体" w:hAnsi="黑体" w:eastAsia="黑体" w:cs="黑体"/>
                <w:szCs w:val="28"/>
                <w:lang w:eastAsia="zh"/>
              </w:rPr>
              <w:t>2</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4A9AD96A">
            <w:pPr>
              <w:jc w:val="center"/>
              <w:rPr>
                <w:rFonts w:hint="eastAsia" w:ascii="黑体" w:hAnsi="黑体" w:eastAsia="黑体" w:cs="黑体"/>
                <w:b/>
                <w:bCs/>
                <w:szCs w:val="21"/>
              </w:rPr>
            </w:pPr>
            <w:r>
              <w:rPr>
                <w:rFonts w:hint="eastAsia" w:ascii="黑体" w:hAnsi="黑体" w:eastAsia="黑体" w:cs="黑体"/>
                <w:szCs w:val="21"/>
              </w:rPr>
              <w:t>“共同富裕智慧大脑”私有数据模型训练服务平台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3193965E">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5FC6C58">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3FD5176D">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CF097EC">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5012514">
            <w:pPr>
              <w:jc w:val="center"/>
              <w:textAlignment w:val="center"/>
              <w:rPr>
                <w:rFonts w:hint="eastAsia" w:ascii="宋体" w:hAnsi="宋体" w:eastAsia="宋体" w:cs="宋体"/>
                <w:b/>
                <w:bCs/>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77F86347">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0F059408">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640CA67C">
            <w:pPr>
              <w:adjustRightInd w:val="0"/>
              <w:snapToGrid w:val="0"/>
              <w:spacing w:line="360" w:lineRule="auto"/>
              <w:jc w:val="center"/>
              <w:rPr>
                <w:rFonts w:hint="eastAsia" w:ascii="宋体" w:hAnsi="宋体" w:eastAsia="宋体" w:cs="宋体"/>
                <w:b/>
                <w:bCs/>
                <w:szCs w:val="21"/>
              </w:rPr>
            </w:pPr>
          </w:p>
        </w:tc>
      </w:tr>
      <w:tr w14:paraId="0ACED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0612B81">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★以下（联合体其他成员）承担的部分：</w:t>
            </w:r>
          </w:p>
        </w:tc>
      </w:tr>
      <w:tr w14:paraId="6AE3B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3BCD1785">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460C1299">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583243C8">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1B5F4572">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30F7EE92">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32882DCF">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D521EB7">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42711504">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07401FAF">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420C3F43">
            <w:pPr>
              <w:adjustRightInd w:val="0"/>
              <w:snapToGrid w:val="0"/>
              <w:spacing w:line="360" w:lineRule="auto"/>
              <w:jc w:val="center"/>
              <w:rPr>
                <w:rFonts w:hint="eastAsia" w:ascii="宋体" w:hAnsi="宋体" w:eastAsia="宋体" w:cs="宋体"/>
                <w:b/>
                <w:bCs/>
                <w:szCs w:val="21"/>
              </w:rPr>
            </w:pPr>
          </w:p>
        </w:tc>
      </w:tr>
      <w:tr w14:paraId="7A2EE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D68D7E3">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★以下（分包单位）承担的部分：</w:t>
            </w:r>
          </w:p>
        </w:tc>
      </w:tr>
      <w:tr w14:paraId="79B9A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5478C37">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54DB0B32">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724968AF">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541F485">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E4E3801">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9C76637">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1A91C60">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2FB28B42">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6F952A88">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488D8F27">
            <w:pPr>
              <w:adjustRightInd w:val="0"/>
              <w:snapToGrid w:val="0"/>
              <w:spacing w:line="360" w:lineRule="auto"/>
              <w:jc w:val="center"/>
              <w:rPr>
                <w:rFonts w:hint="eastAsia" w:ascii="宋体" w:hAnsi="宋体" w:eastAsia="宋体" w:cs="宋体"/>
                <w:b/>
                <w:bCs/>
                <w:szCs w:val="21"/>
              </w:rPr>
            </w:pPr>
          </w:p>
        </w:tc>
      </w:tr>
      <w:tr w14:paraId="02411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632701F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投标总价（人民币元）</w:t>
            </w:r>
          </w:p>
          <w:p w14:paraId="6A829A38">
            <w:pPr>
              <w:adjustRightInd w:val="0"/>
              <w:snapToGrid w:val="0"/>
              <w:spacing w:line="288" w:lineRule="auto"/>
              <w:rPr>
                <w:rFonts w:hint="eastAsia" w:ascii="宋体" w:hAnsi="宋体" w:eastAsia="宋体" w:cs="宋体"/>
                <w:b/>
                <w:bCs/>
                <w:szCs w:val="21"/>
              </w:rPr>
            </w:pPr>
          </w:p>
          <w:p w14:paraId="2F635978">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小写：_________________________</w:t>
            </w:r>
          </w:p>
          <w:p w14:paraId="116C257E">
            <w:pPr>
              <w:adjustRightInd w:val="0"/>
              <w:snapToGrid w:val="0"/>
              <w:spacing w:line="288" w:lineRule="auto"/>
              <w:rPr>
                <w:rFonts w:hint="eastAsia" w:ascii="宋体" w:hAnsi="宋体" w:eastAsia="宋体" w:cs="宋体"/>
                <w:b/>
                <w:bCs/>
                <w:szCs w:val="21"/>
              </w:rPr>
            </w:pPr>
          </w:p>
          <w:p w14:paraId="7CE6FE87">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大写：_________________________</w:t>
            </w:r>
          </w:p>
          <w:p w14:paraId="44BF843E">
            <w:pPr>
              <w:adjustRightInd w:val="0"/>
              <w:snapToGrid w:val="0"/>
              <w:spacing w:line="288" w:lineRule="auto"/>
              <w:rPr>
                <w:rFonts w:hint="eastAsia" w:ascii="宋体" w:hAnsi="宋体" w:eastAsia="宋体" w:cs="宋体"/>
                <w:b/>
                <w:bCs/>
                <w:szCs w:val="21"/>
              </w:rPr>
            </w:pPr>
          </w:p>
        </w:tc>
      </w:tr>
    </w:tbl>
    <w:p w14:paraId="16A0F5D7">
      <w:pPr>
        <w:adjustRightInd w:val="0"/>
        <w:snapToGrid w:val="0"/>
        <w:spacing w:line="288" w:lineRule="auto"/>
        <w:rPr>
          <w:rFonts w:hint="eastAsia" w:ascii="宋体" w:hAnsi="宋体" w:eastAsia="宋体" w:cs="Times New Roman"/>
          <w:spacing w:val="-6"/>
          <w:szCs w:val="21"/>
        </w:rPr>
      </w:pPr>
    </w:p>
    <w:p w14:paraId="3803EBD6">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说明：</w:t>
      </w:r>
    </w:p>
    <w:p w14:paraId="097B3A1A">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1.开标一览表应按照本招标文件“第三章 投标人须知”关于“投标报价”的规定填写；</w:t>
      </w:r>
    </w:p>
    <w:p w14:paraId="5770A44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★2.联合体其他成员承担的部分、分包单位承担的部分，应在表中列明。</w:t>
      </w:r>
    </w:p>
    <w:p w14:paraId="009347F5">
      <w:pPr>
        <w:adjustRightInd w:val="0"/>
        <w:snapToGrid w:val="0"/>
        <w:spacing w:line="288" w:lineRule="auto"/>
        <w:rPr>
          <w:rFonts w:hint="default" w:ascii="宋体" w:hAnsi="宋体" w:eastAsia="宋体" w:cs="宋体"/>
          <w:b/>
          <w:bCs/>
          <w:szCs w:val="21"/>
          <w:lang w:val="en-US" w:eastAsia="zh-CN"/>
        </w:rPr>
      </w:pPr>
      <w:r>
        <w:rPr>
          <w:rFonts w:ascii="宋体" w:hAnsi="宋体" w:eastAsia="宋体" w:cs="Times New Roman"/>
          <w:b/>
          <w:bCs/>
          <w:color w:val="000000" w:themeColor="text1"/>
          <w:spacing w:val="-6"/>
          <w:szCs w:val="21"/>
          <w14:textFill>
            <w14:solidFill>
              <w14:schemeClr w14:val="tx1"/>
            </w14:solidFill>
          </w14:textFill>
        </w:rPr>
        <w:t>▲</w:t>
      </w:r>
      <w:r>
        <w:rPr>
          <w:rFonts w:hint="eastAsia" w:ascii="宋体" w:hAnsi="宋体" w:eastAsia="宋体" w:cs="宋体"/>
          <w:b/>
          <w:bCs/>
          <w:szCs w:val="21"/>
          <w:lang w:val="en-US" w:eastAsia="zh-CN"/>
        </w:rPr>
        <w:t>3.单价不得超过采购需求中规定的单价最高限价，总价不得超过采购需求中规定预算金额。</w:t>
      </w:r>
    </w:p>
    <w:p w14:paraId="33DD6C1A">
      <w:pPr>
        <w:adjustRightInd w:val="0"/>
        <w:snapToGrid w:val="0"/>
        <w:spacing w:line="288" w:lineRule="auto"/>
        <w:rPr>
          <w:rFonts w:hint="eastAsia" w:ascii="宋体" w:hAnsi="宋体" w:eastAsia="宋体" w:cs="宋体"/>
          <w:szCs w:val="21"/>
        </w:rPr>
      </w:pPr>
    </w:p>
    <w:p w14:paraId="175A1CEB">
      <w:pPr>
        <w:adjustRightInd w:val="0"/>
        <w:snapToGrid w:val="0"/>
        <w:spacing w:line="288" w:lineRule="auto"/>
        <w:rPr>
          <w:rFonts w:hint="eastAsia" w:ascii="宋体" w:hAnsi="宋体" w:eastAsia="宋体" w:cs="Times New Roman"/>
          <w:szCs w:val="21"/>
        </w:rPr>
      </w:pPr>
    </w:p>
    <w:p w14:paraId="77142BE6">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5BE51029">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7DA9ED9A">
      <w:pPr>
        <w:rPr>
          <w:rFonts w:hint="eastAsia" w:ascii="宋体" w:hAnsi="宋体" w:eastAsia="宋体" w:cs="Times New Roman"/>
          <w:b/>
          <w:bCs/>
          <w:spacing w:val="-6"/>
          <w:szCs w:val="21"/>
        </w:rPr>
      </w:pPr>
      <w:r>
        <w:rPr>
          <w:rFonts w:hint="eastAsia" w:ascii="宋体" w:hAnsi="宋体" w:eastAsia="宋体" w:cs="Times New Roman"/>
          <w:b/>
          <w:bCs/>
          <w:spacing w:val="-6"/>
          <w:szCs w:val="21"/>
        </w:rPr>
        <w:br w:type="page"/>
      </w:r>
    </w:p>
    <w:p w14:paraId="7B0D1EAF">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）开标一览表（标项四）</w:t>
      </w:r>
    </w:p>
    <w:p w14:paraId="415F1596">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采 购 人：浙江工商大学</w:t>
      </w:r>
    </w:p>
    <w:p w14:paraId="77CBF8A0">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项目名称：浙江工商大学未来营养健康与共同富裕计算设备更新-共同富裕计算设备（第一批）</w:t>
      </w:r>
    </w:p>
    <w:p w14:paraId="670E09DC">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项目编号：QSZB-Z(H)-C24374(GK)</w:t>
      </w:r>
    </w:p>
    <w:p w14:paraId="209D20F4">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标    项：4</w:t>
      </w:r>
    </w:p>
    <w:tbl>
      <w:tblPr>
        <w:tblStyle w:val="23"/>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1682"/>
        <w:gridCol w:w="1591"/>
        <w:gridCol w:w="802"/>
        <w:gridCol w:w="870"/>
        <w:gridCol w:w="544"/>
        <w:gridCol w:w="544"/>
        <w:gridCol w:w="924"/>
        <w:gridCol w:w="1016"/>
        <w:gridCol w:w="1001"/>
      </w:tblGrid>
      <w:tr w14:paraId="67D18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4705F6EC">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4ADEA41C">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标的名称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5A4AA0FC">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7C0EC314">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5D5EC6CE">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17FDC673">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7DB2D5AF">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480" w:type="pct"/>
            <w:tcBorders>
              <w:top w:val="single" w:color="auto" w:sz="4" w:space="0"/>
              <w:left w:val="single" w:color="auto" w:sz="4" w:space="0"/>
              <w:bottom w:val="single" w:color="auto" w:sz="4" w:space="0"/>
              <w:right w:val="single" w:color="auto" w:sz="4" w:space="0"/>
            </w:tcBorders>
            <w:vAlign w:val="center"/>
          </w:tcPr>
          <w:p w14:paraId="50BC8559">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28" w:type="pct"/>
            <w:tcBorders>
              <w:top w:val="single" w:color="auto" w:sz="4" w:space="0"/>
              <w:left w:val="single" w:color="auto" w:sz="4" w:space="0"/>
              <w:bottom w:val="single" w:color="auto" w:sz="4" w:space="0"/>
              <w:right w:val="single" w:color="auto" w:sz="4" w:space="0"/>
            </w:tcBorders>
            <w:vAlign w:val="center"/>
          </w:tcPr>
          <w:p w14:paraId="6B547B0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c>
          <w:tcPr>
            <w:tcW w:w="515" w:type="pct"/>
            <w:tcBorders>
              <w:top w:val="single" w:color="auto" w:sz="4" w:space="0"/>
              <w:left w:val="single" w:color="auto" w:sz="4" w:space="0"/>
              <w:bottom w:val="single" w:color="auto" w:sz="4" w:space="0"/>
              <w:right w:val="single" w:color="auto" w:sz="4" w:space="0"/>
            </w:tcBorders>
            <w:vAlign w:val="center"/>
          </w:tcPr>
          <w:p w14:paraId="23009143">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备注</w:t>
            </w:r>
          </w:p>
        </w:tc>
      </w:tr>
      <w:tr w14:paraId="64DDE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C9070D5">
            <w:pPr>
              <w:jc w:val="center"/>
              <w:rPr>
                <w:rFonts w:hint="eastAsia" w:ascii="黑体" w:hAnsi="黑体" w:eastAsia="黑体" w:cs="黑体"/>
                <w:b/>
                <w:bCs/>
                <w:szCs w:val="21"/>
              </w:rPr>
            </w:pPr>
            <w:r>
              <w:rPr>
                <w:rFonts w:hint="eastAsia" w:ascii="Times New Roman" w:hAnsi="Times New Roman" w:cs="Times New Roman"/>
                <w:szCs w:val="28"/>
              </w:rPr>
              <w:t>1</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7C457B5C">
            <w:pPr>
              <w:jc w:val="center"/>
              <w:rPr>
                <w:rFonts w:hint="eastAsia" w:ascii="黑体" w:hAnsi="黑体" w:eastAsia="黑体" w:cs="黑体"/>
                <w:b/>
                <w:bCs/>
                <w:szCs w:val="21"/>
              </w:rPr>
            </w:pPr>
            <w:r>
              <w:rPr>
                <w:rFonts w:hint="eastAsia" w:ascii="Times New Roman" w:hAnsi="Times New Roman" w:cs="Times New Roman"/>
                <w:szCs w:val="21"/>
              </w:rPr>
              <w:t>智能人机交互界面开发服务平台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109A6C7D">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F40B8D3">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0FF4015">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1B4A3FC5">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1</w:t>
            </w: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0A7D2FC0">
            <w:pPr>
              <w:jc w:val="center"/>
              <w:textAlignment w:val="center"/>
              <w:rPr>
                <w:rFonts w:hint="eastAsia" w:ascii="宋体" w:hAnsi="宋体" w:eastAsia="宋体" w:cs="宋体"/>
                <w:b/>
                <w:bCs/>
                <w:szCs w:val="21"/>
              </w:rPr>
            </w:pPr>
            <w:r>
              <w:rPr>
                <w:rFonts w:hint="eastAsia"/>
                <w:szCs w:val="21"/>
                <w:lang w:bidi="ar"/>
              </w:rPr>
              <w:t>套</w:t>
            </w:r>
          </w:p>
        </w:tc>
        <w:tc>
          <w:tcPr>
            <w:tcW w:w="480" w:type="pct"/>
            <w:tcBorders>
              <w:top w:val="single" w:color="auto" w:sz="4" w:space="0"/>
              <w:left w:val="single" w:color="auto" w:sz="4" w:space="0"/>
              <w:bottom w:val="single" w:color="auto" w:sz="4" w:space="0"/>
              <w:right w:val="single" w:color="auto" w:sz="4" w:space="0"/>
            </w:tcBorders>
            <w:vAlign w:val="center"/>
          </w:tcPr>
          <w:p w14:paraId="7F9DA1A7">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5D4F79C1">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4CFEC524">
            <w:pPr>
              <w:adjustRightInd w:val="0"/>
              <w:snapToGrid w:val="0"/>
              <w:spacing w:line="360" w:lineRule="auto"/>
              <w:jc w:val="center"/>
              <w:rPr>
                <w:rFonts w:hint="eastAsia" w:ascii="宋体" w:hAnsi="宋体" w:eastAsia="宋体" w:cs="宋体"/>
                <w:b/>
                <w:bCs/>
                <w:szCs w:val="21"/>
              </w:rPr>
            </w:pPr>
          </w:p>
        </w:tc>
      </w:tr>
      <w:tr w14:paraId="20DC1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F4FBB95">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★以下（联合体其他成员）承担的部分：</w:t>
            </w:r>
          </w:p>
        </w:tc>
      </w:tr>
      <w:tr w14:paraId="7F524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37758616">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32A5C42C">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1C639F15">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34DAACF7">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442A4C62">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25C11E79">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7CBADDBF">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27D9E7C4">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6D9D1BF3">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F4619A3">
            <w:pPr>
              <w:adjustRightInd w:val="0"/>
              <w:snapToGrid w:val="0"/>
              <w:spacing w:line="360" w:lineRule="auto"/>
              <w:jc w:val="center"/>
              <w:rPr>
                <w:rFonts w:hint="eastAsia" w:ascii="宋体" w:hAnsi="宋体" w:eastAsia="宋体" w:cs="宋体"/>
                <w:b/>
                <w:bCs/>
                <w:szCs w:val="21"/>
              </w:rPr>
            </w:pPr>
          </w:p>
        </w:tc>
      </w:tr>
      <w:tr w14:paraId="76B12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34C71A9">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★以下（分包单位）承担的部分：</w:t>
            </w:r>
          </w:p>
        </w:tc>
      </w:tr>
      <w:tr w14:paraId="11F18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04428D72">
            <w:pPr>
              <w:adjustRightInd w:val="0"/>
              <w:snapToGrid w:val="0"/>
              <w:spacing w:line="360" w:lineRule="auto"/>
              <w:jc w:val="center"/>
              <w:rPr>
                <w:rFonts w:hint="eastAsia" w:ascii="宋体" w:hAnsi="宋体" w:eastAsia="宋体" w:cs="宋体"/>
                <w:b/>
                <w:bCs/>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0838EF50">
            <w:pPr>
              <w:adjustRightInd w:val="0"/>
              <w:snapToGrid w:val="0"/>
              <w:spacing w:line="360" w:lineRule="auto"/>
              <w:jc w:val="center"/>
              <w:rPr>
                <w:rFonts w:hint="eastAsia" w:ascii="宋体" w:hAnsi="宋体" w:eastAsia="宋体" w:cs="宋体"/>
                <w:b/>
                <w:bCs/>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0B417994">
            <w:pPr>
              <w:adjustRightInd w:val="0"/>
              <w:snapToGrid w:val="0"/>
              <w:spacing w:line="360" w:lineRule="auto"/>
              <w:jc w:val="center"/>
              <w:rPr>
                <w:rFonts w:hint="eastAsia" w:ascii="宋体" w:hAnsi="宋体" w:eastAsia="宋体" w:cs="宋体"/>
                <w:b/>
                <w:bCs/>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69E1C801">
            <w:pPr>
              <w:adjustRightInd w:val="0"/>
              <w:snapToGrid w:val="0"/>
              <w:spacing w:line="360" w:lineRule="auto"/>
              <w:jc w:val="center"/>
              <w:rPr>
                <w:rFonts w:hint="eastAsia" w:ascii="宋体" w:hAnsi="宋体" w:eastAsia="宋体" w:cs="宋体"/>
                <w:b/>
                <w:bCs/>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15C2B2C5">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950F253">
            <w:pPr>
              <w:adjustRightInd w:val="0"/>
              <w:snapToGrid w:val="0"/>
              <w:spacing w:line="360" w:lineRule="auto"/>
              <w:jc w:val="center"/>
              <w:rPr>
                <w:rFonts w:hint="eastAsia" w:ascii="宋体" w:hAnsi="宋体" w:eastAsia="宋体" w:cs="宋体"/>
                <w:b/>
                <w:bCs/>
                <w:szCs w:val="21"/>
              </w:rPr>
            </w:pPr>
          </w:p>
        </w:tc>
        <w:tc>
          <w:tcPr>
            <w:tcW w:w="283" w:type="pct"/>
            <w:tcBorders>
              <w:top w:val="single" w:color="auto" w:sz="4" w:space="0"/>
              <w:left w:val="single" w:color="auto" w:sz="4" w:space="0"/>
              <w:bottom w:val="single" w:color="auto" w:sz="4" w:space="0"/>
              <w:right w:val="single" w:color="auto" w:sz="4" w:space="0"/>
            </w:tcBorders>
            <w:shd w:val="clear" w:color="auto" w:fill="FFFFFF"/>
            <w:vAlign w:val="center"/>
          </w:tcPr>
          <w:p w14:paraId="616D5449">
            <w:pPr>
              <w:adjustRightInd w:val="0"/>
              <w:snapToGrid w:val="0"/>
              <w:spacing w:line="360" w:lineRule="auto"/>
              <w:jc w:val="center"/>
              <w:rPr>
                <w:rFonts w:hint="eastAsia" w:ascii="宋体" w:hAnsi="宋体" w:eastAsia="宋体" w:cs="宋体"/>
                <w:b/>
                <w:bCs/>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3A475135">
            <w:pPr>
              <w:adjustRightInd w:val="0"/>
              <w:snapToGrid w:val="0"/>
              <w:spacing w:line="360" w:lineRule="auto"/>
              <w:jc w:val="center"/>
              <w:rPr>
                <w:rFonts w:hint="eastAsia" w:ascii="宋体" w:hAnsi="宋体" w:eastAsia="宋体" w:cs="宋体"/>
                <w:b/>
                <w:bCs/>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5D032C2E">
            <w:pPr>
              <w:adjustRightInd w:val="0"/>
              <w:snapToGrid w:val="0"/>
              <w:spacing w:line="360" w:lineRule="auto"/>
              <w:jc w:val="center"/>
              <w:rPr>
                <w:rFonts w:hint="eastAsia" w:ascii="宋体" w:hAnsi="宋体" w:eastAsia="宋体" w:cs="宋体"/>
                <w:b/>
                <w:bCs/>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5DC2B6F4">
            <w:pPr>
              <w:adjustRightInd w:val="0"/>
              <w:snapToGrid w:val="0"/>
              <w:spacing w:line="360" w:lineRule="auto"/>
              <w:jc w:val="center"/>
              <w:rPr>
                <w:rFonts w:hint="eastAsia" w:ascii="宋体" w:hAnsi="宋体" w:eastAsia="宋体" w:cs="宋体"/>
                <w:b/>
                <w:bCs/>
                <w:szCs w:val="21"/>
              </w:rPr>
            </w:pPr>
          </w:p>
        </w:tc>
      </w:tr>
      <w:tr w14:paraId="0F82F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7A7243D3">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投标总价（人民币元）</w:t>
            </w:r>
          </w:p>
          <w:p w14:paraId="0CA0FEA0">
            <w:pPr>
              <w:adjustRightInd w:val="0"/>
              <w:snapToGrid w:val="0"/>
              <w:spacing w:line="288" w:lineRule="auto"/>
              <w:rPr>
                <w:rFonts w:hint="eastAsia" w:ascii="宋体" w:hAnsi="宋体" w:eastAsia="宋体" w:cs="宋体"/>
                <w:b/>
                <w:bCs/>
                <w:szCs w:val="21"/>
              </w:rPr>
            </w:pPr>
          </w:p>
          <w:p w14:paraId="1754F51A">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小写：_________________________</w:t>
            </w:r>
          </w:p>
          <w:p w14:paraId="314BAA08">
            <w:pPr>
              <w:adjustRightInd w:val="0"/>
              <w:snapToGrid w:val="0"/>
              <w:spacing w:line="288" w:lineRule="auto"/>
              <w:rPr>
                <w:rFonts w:hint="eastAsia" w:ascii="宋体" w:hAnsi="宋体" w:eastAsia="宋体" w:cs="宋体"/>
                <w:b/>
                <w:bCs/>
                <w:szCs w:val="21"/>
              </w:rPr>
            </w:pPr>
          </w:p>
          <w:p w14:paraId="3EC6C89A">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大写：_________________________</w:t>
            </w:r>
          </w:p>
          <w:p w14:paraId="6B0A91A9">
            <w:pPr>
              <w:adjustRightInd w:val="0"/>
              <w:snapToGrid w:val="0"/>
              <w:spacing w:line="288" w:lineRule="auto"/>
              <w:rPr>
                <w:rFonts w:hint="eastAsia" w:ascii="宋体" w:hAnsi="宋体" w:eastAsia="宋体" w:cs="宋体"/>
                <w:b/>
                <w:bCs/>
                <w:szCs w:val="21"/>
              </w:rPr>
            </w:pPr>
          </w:p>
        </w:tc>
      </w:tr>
    </w:tbl>
    <w:p w14:paraId="2E8FCCC8">
      <w:pPr>
        <w:adjustRightInd w:val="0"/>
        <w:snapToGrid w:val="0"/>
        <w:spacing w:line="288" w:lineRule="auto"/>
        <w:rPr>
          <w:rFonts w:hint="eastAsia" w:ascii="宋体" w:hAnsi="宋体" w:eastAsia="宋体" w:cs="Times New Roman"/>
          <w:spacing w:val="-6"/>
          <w:szCs w:val="21"/>
        </w:rPr>
      </w:pPr>
    </w:p>
    <w:p w14:paraId="5DAFD53E">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说明：</w:t>
      </w:r>
    </w:p>
    <w:p w14:paraId="3D949B64">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1.开标一览表应按照本招标文件“第三章 投标人须知”关于“投标报价”的规定填写；</w:t>
      </w:r>
    </w:p>
    <w:p w14:paraId="091A2C7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★2.联合体其他成员承担的部分、分包单位承担的部分，应在表中列明。</w:t>
      </w:r>
    </w:p>
    <w:p w14:paraId="2C1F9F25">
      <w:pPr>
        <w:adjustRightInd w:val="0"/>
        <w:snapToGrid w:val="0"/>
        <w:spacing w:line="288" w:lineRule="auto"/>
        <w:rPr>
          <w:rFonts w:hint="eastAsia" w:ascii="宋体" w:hAnsi="宋体" w:eastAsia="宋体" w:cs="宋体"/>
          <w:szCs w:val="21"/>
        </w:rPr>
      </w:pPr>
      <w:r>
        <w:rPr>
          <w:rFonts w:ascii="宋体" w:hAnsi="宋体" w:eastAsia="宋体" w:cs="Times New Roman"/>
          <w:b/>
          <w:bCs/>
          <w:color w:val="000000" w:themeColor="text1"/>
          <w:spacing w:val="-6"/>
          <w:szCs w:val="21"/>
          <w14:textFill>
            <w14:solidFill>
              <w14:schemeClr w14:val="tx1"/>
            </w14:solidFill>
          </w14:textFill>
        </w:rPr>
        <w:t>▲</w:t>
      </w:r>
      <w:r>
        <w:rPr>
          <w:rFonts w:hint="eastAsia" w:ascii="宋体" w:hAnsi="宋体" w:eastAsia="宋体" w:cs="宋体"/>
          <w:b/>
          <w:bCs/>
          <w:szCs w:val="21"/>
          <w:lang w:val="en-US" w:eastAsia="zh-CN"/>
        </w:rPr>
        <w:t>3.单价不得超过采购需求中规定的单价最高限价，总价不得超过采购需求中规定预算金额。</w:t>
      </w:r>
    </w:p>
    <w:p w14:paraId="4C2787BF">
      <w:pPr>
        <w:adjustRightInd w:val="0"/>
        <w:snapToGrid w:val="0"/>
        <w:spacing w:line="288" w:lineRule="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.后附</w:t>
      </w:r>
      <w:r>
        <w:rPr>
          <w:rFonts w:hint="eastAsia" w:ascii="宋体" w:hAnsi="宋体" w:eastAsia="宋体" w:cs="宋体"/>
          <w:b/>
          <w:bCs/>
          <w:szCs w:val="21"/>
        </w:rPr>
        <w:t>组成明细表。</w:t>
      </w:r>
    </w:p>
    <w:p w14:paraId="238F9A08">
      <w:pPr>
        <w:adjustRightInd w:val="0"/>
        <w:snapToGrid w:val="0"/>
        <w:spacing w:line="288" w:lineRule="auto"/>
        <w:rPr>
          <w:rFonts w:hint="eastAsia" w:ascii="宋体" w:hAnsi="宋体" w:eastAsia="宋体" w:cs="宋体"/>
          <w:szCs w:val="21"/>
        </w:rPr>
      </w:pPr>
    </w:p>
    <w:p w14:paraId="5714F11B">
      <w:pPr>
        <w:adjustRightInd w:val="0"/>
        <w:snapToGrid w:val="0"/>
        <w:spacing w:line="288" w:lineRule="auto"/>
        <w:rPr>
          <w:rFonts w:hint="eastAsia" w:ascii="宋体" w:hAnsi="宋体" w:eastAsia="宋体" w:cs="宋体"/>
          <w:szCs w:val="21"/>
        </w:rPr>
      </w:pPr>
    </w:p>
    <w:p w14:paraId="59728E98">
      <w:pPr>
        <w:adjustRightInd w:val="0"/>
        <w:snapToGrid w:val="0"/>
        <w:spacing w:line="288" w:lineRule="auto"/>
        <w:rPr>
          <w:rFonts w:hint="eastAsia" w:ascii="宋体" w:hAnsi="宋体" w:eastAsia="宋体" w:cs="Times New Roman"/>
          <w:szCs w:val="21"/>
        </w:rPr>
      </w:pPr>
    </w:p>
    <w:p w14:paraId="1AD54BBE">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03C7686E">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13FE047A">
      <w:pPr>
        <w:adjustRightInd w:val="0"/>
        <w:snapToGrid w:val="0"/>
        <w:spacing w:line="288" w:lineRule="auto"/>
        <w:rPr>
          <w:rFonts w:hint="eastAsia" w:ascii="宋体" w:hAnsi="宋体" w:eastAsia="宋体" w:cs="Times New Roman"/>
          <w:b/>
          <w:bCs/>
          <w:spacing w:val="-6"/>
          <w:szCs w:val="21"/>
        </w:rPr>
      </w:pPr>
    </w:p>
    <w:p w14:paraId="12FE7EDC">
      <w:pPr>
        <w:rPr>
          <w:rFonts w:hint="eastAsia" w:ascii="宋体" w:hAnsi="宋体" w:eastAsia="宋体" w:cs="Times New Roman"/>
          <w:b/>
          <w:bCs/>
          <w:spacing w:val="-6"/>
          <w:szCs w:val="21"/>
        </w:rPr>
      </w:pPr>
      <w:r>
        <w:rPr>
          <w:rFonts w:hint="eastAsia" w:ascii="宋体" w:hAnsi="宋体" w:eastAsia="宋体" w:cs="Times New Roman"/>
          <w:b/>
          <w:bCs/>
          <w:spacing w:val="-6"/>
          <w:szCs w:val="21"/>
        </w:rPr>
        <w:br w:type="page"/>
      </w:r>
    </w:p>
    <w:p w14:paraId="48557CC9">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附1：智能人机交互界面开发服务平台组成明细表</w:t>
      </w:r>
    </w:p>
    <w:tbl>
      <w:tblPr>
        <w:tblStyle w:val="23"/>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1864"/>
        <w:gridCol w:w="1361"/>
        <w:gridCol w:w="1285"/>
        <w:gridCol w:w="960"/>
        <w:gridCol w:w="604"/>
        <w:gridCol w:w="604"/>
        <w:gridCol w:w="1046"/>
        <w:gridCol w:w="1150"/>
      </w:tblGrid>
      <w:tr w14:paraId="488BC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12A11412">
            <w:pPr>
              <w:adjustRightInd w:val="0"/>
              <w:snapToGrid w:val="0"/>
              <w:jc w:val="center"/>
              <w:rPr>
                <w:rFonts w:hint="eastAsia" w:ascii="宋体" w:hAnsi="宋体" w:eastAsia="宋体" w:cs="宋体"/>
                <w:b/>
                <w:bCs/>
                <w:szCs w:val="21"/>
              </w:rPr>
            </w:pPr>
            <w:r>
              <w:rPr>
                <w:rFonts w:hint="eastAsia" w:ascii="宋体" w:hAnsi="宋体" w:eastAsia="宋体" w:cs="Times New Roman"/>
                <w:b/>
                <w:bCs/>
                <w:spacing w:val="-6"/>
                <w:szCs w:val="21"/>
              </w:rPr>
              <w:t>智能人机交互界面开发服务平台组成明细表</w:t>
            </w:r>
          </w:p>
        </w:tc>
      </w:tr>
      <w:tr w14:paraId="43E48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4D1C16A">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6DF5CD0E">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09C89238">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6E9E12D5">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w:t>
            </w: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414560D4">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1DA06AC7">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单位</w:t>
            </w: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2E2D0BE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数量</w:t>
            </w:r>
          </w:p>
        </w:tc>
        <w:tc>
          <w:tcPr>
            <w:tcW w:w="540" w:type="pct"/>
            <w:tcBorders>
              <w:top w:val="single" w:color="auto" w:sz="4" w:space="0"/>
              <w:left w:val="single" w:color="auto" w:sz="4" w:space="0"/>
              <w:bottom w:val="single" w:color="auto" w:sz="4" w:space="0"/>
              <w:right w:val="single" w:color="auto" w:sz="4" w:space="0"/>
            </w:tcBorders>
            <w:vAlign w:val="center"/>
          </w:tcPr>
          <w:p w14:paraId="112DFB21">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单价</w:t>
            </w:r>
          </w:p>
        </w:tc>
        <w:tc>
          <w:tcPr>
            <w:tcW w:w="597" w:type="pct"/>
            <w:tcBorders>
              <w:top w:val="single" w:color="auto" w:sz="4" w:space="0"/>
              <w:left w:val="single" w:color="auto" w:sz="4" w:space="0"/>
              <w:bottom w:val="single" w:color="auto" w:sz="4" w:space="0"/>
              <w:right w:val="single" w:color="auto" w:sz="4" w:space="0"/>
            </w:tcBorders>
            <w:vAlign w:val="center"/>
          </w:tcPr>
          <w:p w14:paraId="2C07D78A">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金额（人民币元）</w:t>
            </w:r>
          </w:p>
        </w:tc>
      </w:tr>
      <w:tr w14:paraId="78543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0E62ED3">
            <w:pPr>
              <w:adjustRightInd w:val="0"/>
              <w:snapToGrid w:val="0"/>
              <w:jc w:val="center"/>
              <w:rPr>
                <w:rFonts w:hint="eastAsia" w:ascii="黑体" w:hAnsi="黑体" w:eastAsia="黑体" w:cs="黑体"/>
                <w:szCs w:val="21"/>
              </w:rPr>
            </w:pPr>
            <w:r>
              <w:rPr>
                <w:rFonts w:hint="eastAsia" w:ascii="黑体" w:hAnsi="黑体" w:eastAsia="黑体" w:cs="黑体"/>
                <w:szCs w:val="21"/>
              </w:rPr>
              <w:t>（1）</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099F323E">
            <w:pPr>
              <w:adjustRightInd w:val="0"/>
              <w:snapToGrid w:val="0"/>
              <w:jc w:val="center"/>
              <w:rPr>
                <w:rFonts w:hint="eastAsia" w:ascii="黑体" w:hAnsi="黑体" w:eastAsia="黑体" w:cs="黑体"/>
                <w:szCs w:val="21"/>
              </w:rPr>
            </w:pPr>
            <w:r>
              <w:rPr>
                <w:rFonts w:ascii="Times New Roman" w:hAnsi="Times New Roman"/>
                <w:b/>
                <w:bCs/>
                <w:szCs w:val="21"/>
                <w:lang w:eastAsia="zh" w:bidi="ar"/>
              </w:rPr>
              <w:t>智</w:t>
            </w:r>
            <w:r>
              <w:rPr>
                <w:rFonts w:ascii="Times New Roman" w:hAnsi="Times New Roman"/>
                <w:b/>
                <w:bCs/>
                <w:szCs w:val="21"/>
                <w:lang w:bidi="ar"/>
              </w:rPr>
              <w:t>能人机交互界面开发服务平台</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3B5722FB">
            <w:pPr>
              <w:adjustRightInd w:val="0"/>
              <w:snapToGrid w:val="0"/>
              <w:spacing w:line="360" w:lineRule="auto"/>
              <w:jc w:val="center"/>
              <w:rPr>
                <w:rFonts w:hint="eastAsia" w:ascii="宋体" w:hAnsi="宋体" w:eastAsia="宋体" w:cs="宋体"/>
                <w:b/>
                <w:bCs/>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18E5C257">
            <w:pPr>
              <w:adjustRightInd w:val="0"/>
              <w:snapToGrid w:val="0"/>
              <w:spacing w:line="360" w:lineRule="auto"/>
              <w:jc w:val="center"/>
              <w:rPr>
                <w:rFonts w:hint="eastAsia" w:ascii="宋体" w:hAnsi="宋体" w:eastAsia="宋体" w:cs="宋体"/>
                <w:b/>
                <w:bCs/>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415D3E33">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31280604">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677B98F9">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0" w:type="pct"/>
            <w:tcBorders>
              <w:top w:val="single" w:color="auto" w:sz="4" w:space="0"/>
              <w:left w:val="single" w:color="auto" w:sz="4" w:space="0"/>
              <w:bottom w:val="single" w:color="auto" w:sz="4" w:space="0"/>
              <w:right w:val="single" w:color="auto" w:sz="4" w:space="0"/>
            </w:tcBorders>
            <w:vAlign w:val="center"/>
          </w:tcPr>
          <w:p w14:paraId="0BA87A47">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5967A5E5">
            <w:pPr>
              <w:adjustRightInd w:val="0"/>
              <w:snapToGrid w:val="0"/>
              <w:spacing w:line="360" w:lineRule="auto"/>
              <w:jc w:val="center"/>
              <w:rPr>
                <w:rFonts w:hint="eastAsia" w:ascii="宋体" w:hAnsi="宋体" w:eastAsia="宋体" w:cs="宋体"/>
                <w:b/>
                <w:bCs/>
                <w:szCs w:val="21"/>
              </w:rPr>
            </w:pPr>
          </w:p>
        </w:tc>
      </w:tr>
      <w:tr w14:paraId="47E59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14AC7F8">
            <w:pPr>
              <w:adjustRightInd w:val="0"/>
              <w:snapToGrid w:val="0"/>
              <w:jc w:val="center"/>
              <w:rPr>
                <w:rFonts w:hint="eastAsia" w:ascii="黑体" w:hAnsi="黑体" w:eastAsia="黑体" w:cs="黑体"/>
                <w:szCs w:val="21"/>
              </w:rPr>
            </w:pPr>
            <w:r>
              <w:rPr>
                <w:rFonts w:hint="eastAsia" w:ascii="黑体" w:hAnsi="黑体" w:eastAsia="黑体" w:cs="黑体"/>
                <w:szCs w:val="21"/>
              </w:rPr>
              <w:t>（2）</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14:paraId="3CE658D3">
            <w:pPr>
              <w:adjustRightInd w:val="0"/>
              <w:snapToGrid w:val="0"/>
              <w:jc w:val="center"/>
              <w:rPr>
                <w:rFonts w:hint="eastAsia" w:ascii="黑体" w:hAnsi="黑体" w:eastAsia="黑体" w:cs="黑体"/>
                <w:szCs w:val="21"/>
              </w:rPr>
            </w:pPr>
            <w:r>
              <w:rPr>
                <w:rFonts w:hint="eastAsia"/>
                <w:b/>
                <w:color w:val="000000" w:themeColor="text1"/>
                <w:szCs w:val="21"/>
                <w14:textFill>
                  <w14:solidFill>
                    <w14:schemeClr w14:val="tx1"/>
                  </w14:solidFill>
                </w14:textFill>
              </w:rPr>
              <w:t>数字人终端</w:t>
            </w:r>
          </w:p>
        </w:tc>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14:paraId="6BEA676C">
            <w:pPr>
              <w:adjustRightInd w:val="0"/>
              <w:snapToGrid w:val="0"/>
              <w:spacing w:line="360" w:lineRule="auto"/>
              <w:jc w:val="center"/>
              <w:rPr>
                <w:rFonts w:hint="eastAsia" w:ascii="宋体" w:hAnsi="宋体" w:eastAsia="宋体" w:cs="宋体"/>
                <w:b/>
                <w:bCs/>
                <w:szCs w:val="21"/>
              </w:rPr>
            </w:pPr>
          </w:p>
        </w:tc>
        <w:tc>
          <w:tcPr>
            <w:tcW w:w="668" w:type="pct"/>
            <w:tcBorders>
              <w:top w:val="single" w:color="auto" w:sz="4" w:space="0"/>
              <w:left w:val="single" w:color="auto" w:sz="4" w:space="0"/>
              <w:bottom w:val="single" w:color="auto" w:sz="4" w:space="0"/>
              <w:right w:val="single" w:color="auto" w:sz="4" w:space="0"/>
            </w:tcBorders>
            <w:shd w:val="clear" w:color="auto" w:fill="FFFFFF"/>
            <w:vAlign w:val="center"/>
          </w:tcPr>
          <w:p w14:paraId="1A8E9319">
            <w:pPr>
              <w:adjustRightInd w:val="0"/>
              <w:snapToGrid w:val="0"/>
              <w:spacing w:line="360" w:lineRule="auto"/>
              <w:jc w:val="center"/>
              <w:rPr>
                <w:rFonts w:hint="eastAsia" w:ascii="宋体" w:hAnsi="宋体" w:eastAsia="宋体" w:cs="宋体"/>
                <w:b/>
                <w:bCs/>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FFFFFF"/>
            <w:vAlign w:val="center"/>
          </w:tcPr>
          <w:p w14:paraId="6AADD91B">
            <w:pPr>
              <w:adjustRightInd w:val="0"/>
              <w:snapToGrid w:val="0"/>
              <w:spacing w:line="360" w:lineRule="auto"/>
              <w:jc w:val="center"/>
              <w:rPr>
                <w:rFonts w:hint="eastAsia" w:ascii="宋体" w:hAnsi="宋体" w:eastAsia="宋体" w:cs="宋体"/>
                <w:b/>
                <w:bCs/>
                <w:szCs w:val="21"/>
              </w:rPr>
            </w:pPr>
          </w:p>
        </w:tc>
        <w:tc>
          <w:tcPr>
            <w:tcW w:w="314" w:type="pct"/>
            <w:tcBorders>
              <w:top w:val="single" w:color="auto" w:sz="4" w:space="0"/>
              <w:left w:val="single" w:color="auto" w:sz="4" w:space="0"/>
              <w:bottom w:val="single" w:color="auto" w:sz="4" w:space="0"/>
              <w:right w:val="single" w:color="auto" w:sz="4" w:space="0"/>
            </w:tcBorders>
            <w:shd w:val="clear" w:color="auto" w:fill="FFFFFF"/>
            <w:vAlign w:val="center"/>
          </w:tcPr>
          <w:p w14:paraId="2A6ED566">
            <w:pPr>
              <w:adjustRightInd w:val="0"/>
              <w:snapToGrid w:val="0"/>
              <w:jc w:val="center"/>
              <w:rPr>
                <w:rFonts w:hint="eastAsia" w:ascii="宋体" w:hAnsi="宋体" w:eastAsia="宋体" w:cs="宋体"/>
                <w:b/>
                <w:bCs/>
                <w:szCs w:val="21"/>
              </w:rPr>
            </w:pPr>
            <w:r>
              <w:rPr>
                <w:rFonts w:hint="eastAsia" w:ascii="宋体" w:hAnsi="宋体" w:eastAsia="宋体" w:cs="宋体"/>
                <w:b/>
                <w:bCs/>
                <w:szCs w:val="21"/>
              </w:rPr>
              <w:t>套</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14:paraId="78FD75CE">
            <w:pPr>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540" w:type="pct"/>
            <w:tcBorders>
              <w:top w:val="single" w:color="auto" w:sz="4" w:space="0"/>
              <w:left w:val="single" w:color="auto" w:sz="4" w:space="0"/>
              <w:bottom w:val="single" w:color="auto" w:sz="4" w:space="0"/>
              <w:right w:val="single" w:color="auto" w:sz="4" w:space="0"/>
            </w:tcBorders>
            <w:vAlign w:val="center"/>
          </w:tcPr>
          <w:p w14:paraId="2E9D522E">
            <w:pPr>
              <w:adjustRightInd w:val="0"/>
              <w:snapToGrid w:val="0"/>
              <w:spacing w:line="360" w:lineRule="auto"/>
              <w:jc w:val="center"/>
              <w:rPr>
                <w:rFonts w:hint="eastAsia" w:ascii="宋体" w:hAnsi="宋体" w:eastAsia="宋体" w:cs="宋体"/>
                <w:b/>
                <w:bCs/>
                <w:szCs w:val="21"/>
              </w:rPr>
            </w:pPr>
          </w:p>
        </w:tc>
        <w:tc>
          <w:tcPr>
            <w:tcW w:w="597" w:type="pct"/>
            <w:tcBorders>
              <w:top w:val="single" w:color="auto" w:sz="4" w:space="0"/>
              <w:left w:val="single" w:color="auto" w:sz="4" w:space="0"/>
              <w:bottom w:val="single" w:color="auto" w:sz="4" w:space="0"/>
              <w:right w:val="single" w:color="auto" w:sz="4" w:space="0"/>
            </w:tcBorders>
            <w:vAlign w:val="center"/>
          </w:tcPr>
          <w:p w14:paraId="64666961">
            <w:pPr>
              <w:adjustRightInd w:val="0"/>
              <w:snapToGrid w:val="0"/>
              <w:spacing w:line="360" w:lineRule="auto"/>
              <w:jc w:val="center"/>
              <w:rPr>
                <w:rFonts w:hint="eastAsia" w:ascii="宋体" w:hAnsi="宋体" w:eastAsia="宋体" w:cs="宋体"/>
                <w:b/>
                <w:bCs/>
                <w:szCs w:val="21"/>
              </w:rPr>
            </w:pPr>
          </w:p>
        </w:tc>
      </w:tr>
      <w:tr w14:paraId="23BC8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0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CECCA11">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小计（小计金额应等于开标一览表中“智能人机交互界面开发服务平台”的金额）</w:t>
            </w:r>
          </w:p>
        </w:tc>
        <w:tc>
          <w:tcPr>
            <w:tcW w:w="597" w:type="pct"/>
            <w:tcBorders>
              <w:top w:val="single" w:color="auto" w:sz="4" w:space="0"/>
              <w:left w:val="single" w:color="auto" w:sz="4" w:space="0"/>
              <w:bottom w:val="single" w:color="auto" w:sz="4" w:space="0"/>
              <w:right w:val="single" w:color="auto" w:sz="4" w:space="0"/>
            </w:tcBorders>
            <w:vAlign w:val="center"/>
          </w:tcPr>
          <w:p w14:paraId="3310BA01">
            <w:pPr>
              <w:adjustRightInd w:val="0"/>
              <w:snapToGrid w:val="0"/>
              <w:spacing w:line="360" w:lineRule="auto"/>
              <w:jc w:val="center"/>
              <w:rPr>
                <w:rFonts w:hint="eastAsia" w:ascii="宋体" w:hAnsi="宋体" w:eastAsia="宋体" w:cs="宋体"/>
                <w:b/>
                <w:bCs/>
                <w:szCs w:val="21"/>
              </w:rPr>
            </w:pPr>
          </w:p>
        </w:tc>
      </w:tr>
    </w:tbl>
    <w:p w14:paraId="13393277">
      <w:pPr>
        <w:adjustRightInd w:val="0"/>
        <w:snapToGrid w:val="0"/>
        <w:spacing w:line="288" w:lineRule="auto"/>
        <w:rPr>
          <w:rFonts w:hint="eastAsia" w:ascii="宋体" w:hAnsi="宋体" w:eastAsia="宋体" w:cs="Times New Roman"/>
          <w:b/>
          <w:bCs/>
          <w:spacing w:val="-6"/>
          <w:szCs w:val="21"/>
        </w:rPr>
      </w:pPr>
    </w:p>
    <w:p w14:paraId="1451ADC4">
      <w:pPr>
        <w:adjustRightInd w:val="0"/>
        <w:snapToGrid w:val="0"/>
        <w:spacing w:line="288" w:lineRule="auto"/>
        <w:rPr>
          <w:rFonts w:hint="eastAsia" w:ascii="宋体" w:hAnsi="宋体" w:eastAsia="宋体" w:cs="Times New Roman"/>
          <w:b/>
          <w:bCs/>
          <w:spacing w:val="-6"/>
          <w:szCs w:val="21"/>
        </w:rPr>
      </w:pPr>
    </w:p>
    <w:p w14:paraId="1C83E3F7">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0ACD3135">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7CE573C0">
      <w:pPr>
        <w:adjustRightInd w:val="0"/>
        <w:snapToGrid w:val="0"/>
        <w:spacing w:line="288" w:lineRule="auto"/>
        <w:rPr>
          <w:rFonts w:hint="eastAsia" w:ascii="宋体" w:hAnsi="宋体" w:eastAsia="宋体" w:cs="Times New Roman"/>
          <w:b/>
          <w:bCs/>
          <w:spacing w:val="-6"/>
          <w:szCs w:val="21"/>
        </w:rPr>
      </w:pPr>
    </w:p>
    <w:p w14:paraId="0996811E">
      <w:pPr>
        <w:adjustRightInd w:val="0"/>
        <w:snapToGrid w:val="0"/>
        <w:spacing w:line="288" w:lineRule="auto"/>
        <w:jc w:val="center"/>
        <w:rPr>
          <w:rFonts w:hint="eastAsia" w:ascii="宋体" w:hAnsi="宋体" w:eastAsia="宋体" w:cs="宋体"/>
          <w:b/>
          <w:spacing w:val="-6"/>
          <w:szCs w:val="21"/>
        </w:rPr>
      </w:pPr>
      <w:r>
        <w:rPr>
          <w:rFonts w:hint="eastAsia" w:ascii="宋体" w:hAnsi="宋体" w:eastAsia="宋体" w:cs="Times New Roman"/>
          <w:bCs/>
          <w:spacing w:val="-6"/>
          <w:szCs w:val="21"/>
        </w:rPr>
        <w:br w:type="page"/>
      </w:r>
    </w:p>
    <w:p w14:paraId="6DE412D2">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2</w:t>
      </w:r>
      <w:r>
        <w:rPr>
          <w:rFonts w:hint="eastAsia" w:ascii="宋体" w:hAnsi="宋体" w:eastAsia="宋体" w:cs="宋体"/>
          <w:b/>
          <w:spacing w:val="-6"/>
          <w:szCs w:val="21"/>
        </w:rPr>
        <w:t>）</w:t>
      </w:r>
      <w:r>
        <w:rPr>
          <w:rFonts w:ascii="宋体" w:hAnsi="宋体" w:eastAsia="宋体" w:cs="宋体"/>
          <w:b/>
          <w:spacing w:val="-6"/>
          <w:szCs w:val="21"/>
        </w:rPr>
        <w:t>中小企业声明函（货物）</w:t>
      </w:r>
      <w:r>
        <w:rPr>
          <w:rFonts w:hint="eastAsia" w:ascii="宋体" w:hAnsi="宋体" w:eastAsia="宋体" w:cs="宋体"/>
          <w:b/>
          <w:spacing w:val="-6"/>
          <w:szCs w:val="21"/>
        </w:rPr>
        <w:t>（若属于中小企业）（标项一）</w:t>
      </w:r>
    </w:p>
    <w:p w14:paraId="61B2E199">
      <w:pPr>
        <w:adjustRightInd w:val="0"/>
        <w:snapToGrid w:val="0"/>
        <w:spacing w:line="288" w:lineRule="auto"/>
        <w:ind w:firstLine="498" w:firstLineChars="236"/>
        <w:rPr>
          <w:rFonts w:hint="eastAsia" w:ascii="宋体" w:hAnsi="宋体" w:eastAsia="宋体" w:cs="Times New Roman"/>
          <w:b/>
          <w:szCs w:val="21"/>
        </w:rPr>
      </w:pPr>
    </w:p>
    <w:p w14:paraId="26858639">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本公司（联合体）郑重声明，根据《政府采购促进中小企业发展管理办法》（财库</w:t>
      </w:r>
      <w:r>
        <w:rPr>
          <w:rFonts w:hint="eastAsia" w:ascii="宋体" w:hAnsi="宋体" w:eastAsia="宋体" w:cs="Times New Roman"/>
          <w:szCs w:val="21"/>
        </w:rPr>
        <w:t>﹝</w:t>
      </w:r>
      <w:r>
        <w:rPr>
          <w:rFonts w:ascii="宋体" w:hAnsi="宋体" w:eastAsia="宋体" w:cs="Times New Roman"/>
          <w:szCs w:val="21"/>
        </w:rPr>
        <w:t>2020</w:t>
      </w:r>
      <w:r>
        <w:rPr>
          <w:rFonts w:hint="eastAsia" w:ascii="宋体" w:hAnsi="宋体" w:eastAsia="宋体" w:cs="Times New Roman"/>
          <w:szCs w:val="21"/>
        </w:rPr>
        <w:t>﹞</w:t>
      </w:r>
      <w:r>
        <w:rPr>
          <w:rFonts w:ascii="宋体" w:hAnsi="宋体" w:eastAsia="宋体" w:cs="Times New Roman"/>
          <w:szCs w:val="21"/>
        </w:rPr>
        <w:t>46 号）的规定，本公司（联合体）参加</w:t>
      </w:r>
      <w:r>
        <w:rPr>
          <w:rFonts w:hint="eastAsia" w:ascii="宋体" w:hAnsi="宋体" w:eastAsia="宋体" w:cs="Times New Roman"/>
          <w:szCs w:val="21"/>
          <w:u w:val="single"/>
        </w:rPr>
        <w:t>浙江工商大学</w:t>
      </w:r>
      <w:r>
        <w:rPr>
          <w:rFonts w:ascii="宋体" w:hAnsi="宋体" w:eastAsia="宋体" w:cs="Times New Roman"/>
          <w:szCs w:val="21"/>
        </w:rPr>
        <w:t>的</w:t>
      </w:r>
      <w:r>
        <w:rPr>
          <w:rFonts w:hint="eastAsia" w:ascii="宋体" w:hAnsi="宋体" w:eastAsia="宋体" w:cs="Times New Roman"/>
          <w:szCs w:val="21"/>
          <w:u w:val="single"/>
        </w:rPr>
        <w:t>浙江工商大学未来营养健康与共同富裕计算设备更新-共同富裕计算设备（第一批）</w:t>
      </w:r>
      <w:r>
        <w:rPr>
          <w:rFonts w:ascii="宋体" w:hAnsi="宋体" w:eastAsia="宋体" w:cs="Times New Roman"/>
          <w:szCs w:val="21"/>
        </w:rPr>
        <w:t>采购活动，提供的货物全部由符合政策要求的中小企业制造。相关企业（含联合体中的中小企业、签订分包意向协议的中小企业）的具体情况如下：</w:t>
      </w:r>
    </w:p>
    <w:p w14:paraId="6B7AF1CD">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 xml:space="preserve">1. </w:t>
      </w:r>
      <w:r>
        <w:rPr>
          <w:rFonts w:hint="eastAsia" w:ascii="宋体" w:hAnsi="宋体" w:eastAsia="宋体" w:cs="Times New Roman"/>
          <w:i/>
          <w:szCs w:val="21"/>
          <w:u w:val="single"/>
        </w:rPr>
        <w:t>超模态行为洞察平台等</w:t>
      </w:r>
      <w:r>
        <w:rPr>
          <w:rFonts w:ascii="宋体" w:hAnsi="宋体" w:eastAsia="宋体" w:cs="Times New Roman"/>
          <w:i/>
          <w:szCs w:val="21"/>
          <w:u w:val="single"/>
        </w:rPr>
        <w:t>（标的名称）</w:t>
      </w:r>
      <w:r>
        <w:rPr>
          <w:rFonts w:ascii="宋体" w:hAnsi="宋体" w:eastAsia="宋体" w:cs="Times New Roman"/>
          <w:i/>
          <w:szCs w:val="21"/>
        </w:rPr>
        <w:t xml:space="preserve"> </w:t>
      </w:r>
      <w:r>
        <w:rPr>
          <w:rFonts w:ascii="宋体" w:hAnsi="宋体" w:eastAsia="宋体" w:cs="Times New Roman"/>
          <w:szCs w:val="21"/>
        </w:rPr>
        <w:t>，属于</w:t>
      </w:r>
      <w:r>
        <w:rPr>
          <w:rFonts w:hint="eastAsia" w:ascii="宋体" w:hAnsi="宋体" w:eastAsia="宋体" w:cs="Times New Roman"/>
          <w:szCs w:val="21"/>
          <w:u w:val="single"/>
        </w:rPr>
        <w:t>软件和信息技术服务业</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ascii="宋体" w:hAnsi="宋体" w:eastAsia="宋体" w:cs="Times New Roman"/>
          <w:szCs w:val="21"/>
        </w:rPr>
        <w:t>；</w:t>
      </w:r>
    </w:p>
    <w:p w14:paraId="669B2F0B">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2. （标的名称）</w:t>
      </w:r>
      <w:r>
        <w:rPr>
          <w:rFonts w:ascii="宋体" w:hAnsi="宋体" w:eastAsia="宋体" w:cs="Times New Roman"/>
          <w:i/>
          <w:szCs w:val="21"/>
        </w:rPr>
        <w:t xml:space="preserve"> </w:t>
      </w:r>
      <w:r>
        <w:rPr>
          <w:rFonts w:ascii="宋体" w:hAnsi="宋体" w:eastAsia="宋体" w:cs="Times New Roman"/>
          <w:szCs w:val="21"/>
        </w:rPr>
        <w:t>，属于</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hint="eastAsia" w:ascii="宋体" w:hAnsi="宋体" w:eastAsia="宋体" w:cs="Times New Roman"/>
          <w:szCs w:val="21"/>
        </w:rPr>
        <w:t>；</w:t>
      </w:r>
    </w:p>
    <w:p w14:paraId="6A68B6A6">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w:t>
      </w:r>
    </w:p>
    <w:p w14:paraId="4E33EF99">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以上企业，不属于大企业的分支机构，不存在控股股东为大企业的情形，也不存在与大企业的负责人为同一人的情形。</w:t>
      </w:r>
    </w:p>
    <w:p w14:paraId="397B8CA3">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本企业对上述声明内容的真实性负责。如有虚假，将依法承担相应责任。</w:t>
      </w:r>
    </w:p>
    <w:p w14:paraId="53CF0AB4">
      <w:pPr>
        <w:adjustRightInd w:val="0"/>
        <w:snapToGrid w:val="0"/>
        <w:spacing w:line="288" w:lineRule="auto"/>
        <w:ind w:firstLine="495" w:firstLineChars="236"/>
        <w:rPr>
          <w:rFonts w:hint="eastAsia" w:ascii="宋体" w:hAnsi="宋体" w:eastAsia="宋体" w:cs="Times New Roman"/>
          <w:szCs w:val="21"/>
        </w:rPr>
      </w:pPr>
    </w:p>
    <w:p w14:paraId="48DA6BCA">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企业名称（盖章）：</w:t>
      </w:r>
    </w:p>
    <w:p w14:paraId="7E65FA66">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日期：</w:t>
      </w:r>
    </w:p>
    <w:p w14:paraId="294408FA">
      <w:pPr>
        <w:adjustRightInd w:val="0"/>
        <w:snapToGrid w:val="0"/>
        <w:spacing w:line="288" w:lineRule="auto"/>
        <w:ind w:firstLine="495" w:firstLineChars="236"/>
        <w:rPr>
          <w:rFonts w:hint="eastAsia" w:ascii="宋体" w:hAnsi="宋体" w:eastAsia="宋体" w:cs="Times New Roman"/>
          <w:szCs w:val="21"/>
        </w:rPr>
      </w:pPr>
    </w:p>
    <w:p w14:paraId="32192448">
      <w:pPr>
        <w:adjustRightInd w:val="0"/>
        <w:snapToGrid w:val="0"/>
        <w:spacing w:line="288" w:lineRule="auto"/>
        <w:ind w:firstLine="495" w:firstLineChars="236"/>
        <w:rPr>
          <w:rFonts w:hint="eastAsia" w:ascii="宋体" w:hAnsi="宋体" w:eastAsia="宋体" w:cs="Times New Roman"/>
          <w:szCs w:val="21"/>
        </w:rPr>
      </w:pPr>
      <w:r>
        <w:rPr>
          <w:rFonts w:hint="eastAsia" w:ascii="宋体" w:hAnsi="宋体" w:eastAsia="宋体" w:cs="Times New Roman"/>
          <w:szCs w:val="21"/>
        </w:rPr>
        <w:t>注：</w:t>
      </w:r>
    </w:p>
    <w:p w14:paraId="0991A03F">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从业人员、营业收入、资产总额填报上一年度数据，无上一年度数据的新成立企业可不填报。</w:t>
      </w:r>
    </w:p>
    <w:p w14:paraId="32BD4C4E">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中小企业参加政府采购活动，应当出具财库〔2020〕46号文件规定的《中小企业声明函》，否则不得享受相关中小企业扶持政策。</w:t>
      </w:r>
    </w:p>
    <w:p w14:paraId="232527C0">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.本项目仅以《中小企业声明函》作为评判供应商是否属于中小企业的唯一依据。</w:t>
      </w:r>
    </w:p>
    <w:p w14:paraId="6372BB4D">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.供应商提供《中小企业声明函》内容不实的，属于提供虚假材料谋取中标、成交，依照《中华人民共和国政府采购法》等国家有关规定追究相应责任。</w:t>
      </w:r>
    </w:p>
    <w:p w14:paraId="43886EE9">
      <w:pPr>
        <w:adjustRightInd w:val="0"/>
        <w:snapToGrid w:val="0"/>
        <w:spacing w:line="288" w:lineRule="auto"/>
        <w:ind w:firstLine="495" w:firstLineChars="236"/>
        <w:rPr>
          <w:rFonts w:hint="eastAsia" w:ascii="宋体" w:hAnsi="宋体" w:eastAsia="宋体"/>
          <w:u w:val="single"/>
        </w:rPr>
      </w:pPr>
      <w:r>
        <w:rPr>
          <w:rFonts w:ascii="宋体" w:hAnsi="宋体" w:eastAsia="宋体" w:cs="Times New Roman"/>
          <w:szCs w:val="21"/>
          <w:u w:val="single"/>
        </w:rPr>
        <w:t>5.</w:t>
      </w:r>
      <w:r>
        <w:rPr>
          <w:rFonts w:hint="eastAsia" w:ascii="宋体" w:hAnsi="宋体" w:eastAsia="宋体" w:cs="Times New Roman"/>
          <w:szCs w:val="21"/>
          <w:u w:val="single"/>
        </w:rPr>
        <w:t>《中小企业声明函》填写不全（从业人员、营业收入、资产总额在中小企业划型标准规定中不涉及的除外），或未按照《中小企业声明函》要求填写的，视为未提供《中小企业声明函》，</w:t>
      </w:r>
      <w:r>
        <w:rPr>
          <w:rFonts w:hint="eastAsia" w:ascii="宋体" w:hAnsi="宋体" w:eastAsia="宋体"/>
          <w:u w:val="single"/>
        </w:rPr>
        <w:t>不享受中小企业扶持政策。</w:t>
      </w:r>
    </w:p>
    <w:p w14:paraId="6413B6BC">
      <w:pPr>
        <w:adjustRightInd w:val="0"/>
        <w:snapToGrid w:val="0"/>
        <w:spacing w:line="288" w:lineRule="auto"/>
        <w:ind w:firstLine="495" w:firstLineChars="236"/>
        <w:rPr>
          <w:rFonts w:hint="eastAsia" w:ascii="宋体" w:hAnsi="宋体" w:eastAsia="宋体" w:cs="宋体"/>
          <w:szCs w:val="21"/>
          <w:u w:val="single"/>
        </w:rPr>
      </w:pPr>
      <w:r>
        <w:rPr>
          <w:rFonts w:hint="eastAsia" w:ascii="宋体" w:hAnsi="宋体" w:eastAsia="宋体" w:cs="Times New Roman"/>
          <w:szCs w:val="21"/>
          <w:u w:val="single"/>
        </w:rPr>
        <w:t>6</w:t>
      </w:r>
      <w:r>
        <w:rPr>
          <w:rFonts w:ascii="宋体" w:hAnsi="宋体" w:eastAsia="宋体" w:cs="Times New Roman"/>
          <w:szCs w:val="21"/>
          <w:u w:val="single"/>
        </w:rPr>
        <w:t>.如项目包含“多件”标的物的，需按标的物项数逐项填写。</w:t>
      </w:r>
    </w:p>
    <w:p w14:paraId="63563F2F">
      <w:pPr>
        <w:widowControl/>
        <w:adjustRightInd w:val="0"/>
        <w:snapToGrid w:val="0"/>
        <w:spacing w:line="288" w:lineRule="auto"/>
        <w:ind w:firstLine="495" w:firstLineChars="236"/>
        <w:jc w:val="left"/>
        <w:rPr>
          <w:rFonts w:hint="eastAsia" w:ascii="宋体" w:hAnsi="宋体" w:eastAsia="宋体" w:cs="Times New Roman"/>
          <w:szCs w:val="21"/>
        </w:rPr>
      </w:pPr>
    </w:p>
    <w:p w14:paraId="7EC2D5B2">
      <w:pPr>
        <w:rPr>
          <w:rFonts w:hint="eastAsia" w:ascii="宋体" w:hAnsi="宋体" w:eastAsia="宋体" w:cs="Times New Roman"/>
          <w:szCs w:val="21"/>
        </w:rPr>
      </w:pPr>
      <w:r>
        <w:rPr>
          <w:rFonts w:ascii="宋体" w:hAnsi="宋体" w:eastAsia="宋体" w:cs="Times New Roman"/>
          <w:szCs w:val="21"/>
        </w:rPr>
        <w:br w:type="page"/>
      </w:r>
    </w:p>
    <w:p w14:paraId="138D15E3">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2</w:t>
      </w:r>
      <w:r>
        <w:rPr>
          <w:rFonts w:hint="eastAsia" w:ascii="宋体" w:hAnsi="宋体" w:eastAsia="宋体" w:cs="宋体"/>
          <w:b/>
          <w:spacing w:val="-6"/>
          <w:szCs w:val="21"/>
        </w:rPr>
        <w:t>）</w:t>
      </w:r>
      <w:r>
        <w:rPr>
          <w:rFonts w:ascii="宋体" w:hAnsi="宋体" w:eastAsia="宋体" w:cs="宋体"/>
          <w:b/>
          <w:spacing w:val="-6"/>
          <w:szCs w:val="21"/>
        </w:rPr>
        <w:t>中小企业声明函（货物）</w:t>
      </w:r>
      <w:r>
        <w:rPr>
          <w:rFonts w:hint="eastAsia" w:ascii="宋体" w:hAnsi="宋体" w:eastAsia="宋体" w:cs="宋体"/>
          <w:b/>
          <w:spacing w:val="-6"/>
          <w:szCs w:val="21"/>
        </w:rPr>
        <w:t>（若属于中小企业）（标项二）</w:t>
      </w:r>
    </w:p>
    <w:p w14:paraId="268D61A2">
      <w:pPr>
        <w:adjustRightInd w:val="0"/>
        <w:snapToGrid w:val="0"/>
        <w:spacing w:line="288" w:lineRule="auto"/>
        <w:ind w:firstLine="498" w:firstLineChars="236"/>
        <w:rPr>
          <w:rFonts w:hint="eastAsia" w:ascii="宋体" w:hAnsi="宋体" w:eastAsia="宋体" w:cs="Times New Roman"/>
          <w:b/>
          <w:szCs w:val="21"/>
        </w:rPr>
      </w:pPr>
    </w:p>
    <w:p w14:paraId="18E75839">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本公司（联合体）郑重声明，根据《政府采购促进中小企业发展管理办法》（财库</w:t>
      </w:r>
      <w:r>
        <w:rPr>
          <w:rFonts w:hint="eastAsia" w:ascii="宋体" w:hAnsi="宋体" w:eastAsia="宋体" w:cs="Times New Roman"/>
          <w:szCs w:val="21"/>
        </w:rPr>
        <w:t>﹝</w:t>
      </w:r>
      <w:r>
        <w:rPr>
          <w:rFonts w:ascii="宋体" w:hAnsi="宋体" w:eastAsia="宋体" w:cs="Times New Roman"/>
          <w:szCs w:val="21"/>
        </w:rPr>
        <w:t>2020</w:t>
      </w:r>
      <w:r>
        <w:rPr>
          <w:rFonts w:hint="eastAsia" w:ascii="宋体" w:hAnsi="宋体" w:eastAsia="宋体" w:cs="Times New Roman"/>
          <w:szCs w:val="21"/>
        </w:rPr>
        <w:t>﹞</w:t>
      </w:r>
      <w:r>
        <w:rPr>
          <w:rFonts w:ascii="宋体" w:hAnsi="宋体" w:eastAsia="宋体" w:cs="Times New Roman"/>
          <w:szCs w:val="21"/>
        </w:rPr>
        <w:t>46 号）的规定，本公司（联合体）参加</w:t>
      </w:r>
      <w:r>
        <w:rPr>
          <w:rFonts w:hint="eastAsia" w:ascii="宋体" w:hAnsi="宋体" w:eastAsia="宋体" w:cs="Times New Roman"/>
          <w:szCs w:val="21"/>
          <w:u w:val="single"/>
        </w:rPr>
        <w:t>浙江工商大学</w:t>
      </w:r>
      <w:r>
        <w:rPr>
          <w:rFonts w:ascii="宋体" w:hAnsi="宋体" w:eastAsia="宋体" w:cs="Times New Roman"/>
          <w:szCs w:val="21"/>
        </w:rPr>
        <w:t>的</w:t>
      </w:r>
      <w:r>
        <w:rPr>
          <w:rFonts w:hint="eastAsia" w:ascii="宋体" w:hAnsi="宋体" w:eastAsia="宋体" w:cs="Times New Roman"/>
          <w:szCs w:val="21"/>
          <w:u w:val="single"/>
        </w:rPr>
        <w:t>浙江工商大学未来营养健康与共同富裕计算设备更新-共同富裕计算设备（第一批）</w:t>
      </w:r>
      <w:r>
        <w:rPr>
          <w:rFonts w:ascii="宋体" w:hAnsi="宋体" w:eastAsia="宋体" w:cs="Times New Roman"/>
          <w:szCs w:val="21"/>
        </w:rPr>
        <w:t>采购活动，提供的货物全部由符合政策要求的中小企业制造。相关企业（含联合体中的中小企业、签订分包意向协议的中小企业）的具体情况如下：</w:t>
      </w:r>
    </w:p>
    <w:p w14:paraId="7E304A69">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 xml:space="preserve">1. </w:t>
      </w:r>
      <w:r>
        <w:rPr>
          <w:rFonts w:hint="eastAsia" w:ascii="宋体" w:hAnsi="宋体" w:eastAsia="宋体" w:cs="Times New Roman"/>
          <w:i/>
          <w:szCs w:val="21"/>
          <w:u w:val="single"/>
        </w:rPr>
        <w:t>共同富裕数据采集系统等</w:t>
      </w:r>
      <w:r>
        <w:rPr>
          <w:rFonts w:ascii="宋体" w:hAnsi="宋体" w:eastAsia="宋体" w:cs="Times New Roman"/>
          <w:i/>
          <w:szCs w:val="21"/>
          <w:u w:val="single"/>
        </w:rPr>
        <w:t>（标的名称）</w:t>
      </w:r>
      <w:r>
        <w:rPr>
          <w:rFonts w:ascii="宋体" w:hAnsi="宋体" w:eastAsia="宋体" w:cs="Times New Roman"/>
          <w:i/>
          <w:szCs w:val="21"/>
        </w:rPr>
        <w:t xml:space="preserve"> </w:t>
      </w:r>
      <w:r>
        <w:rPr>
          <w:rFonts w:ascii="宋体" w:hAnsi="宋体" w:eastAsia="宋体" w:cs="Times New Roman"/>
          <w:szCs w:val="21"/>
        </w:rPr>
        <w:t>，属于</w:t>
      </w:r>
      <w:r>
        <w:rPr>
          <w:rFonts w:hint="eastAsia" w:ascii="宋体" w:hAnsi="宋体" w:eastAsia="宋体" w:cs="Times New Roman"/>
          <w:szCs w:val="21"/>
          <w:u w:val="single"/>
        </w:rPr>
        <w:t>软件和信息技术服务业</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ascii="宋体" w:hAnsi="宋体" w:eastAsia="宋体" w:cs="Times New Roman"/>
          <w:szCs w:val="21"/>
        </w:rPr>
        <w:t>；</w:t>
      </w:r>
    </w:p>
    <w:p w14:paraId="1DA397D5">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2. （标的名称）</w:t>
      </w:r>
      <w:r>
        <w:rPr>
          <w:rFonts w:ascii="宋体" w:hAnsi="宋体" w:eastAsia="宋体" w:cs="Times New Roman"/>
          <w:i/>
          <w:szCs w:val="21"/>
        </w:rPr>
        <w:t xml:space="preserve"> </w:t>
      </w:r>
      <w:r>
        <w:rPr>
          <w:rFonts w:ascii="宋体" w:hAnsi="宋体" w:eastAsia="宋体" w:cs="Times New Roman"/>
          <w:szCs w:val="21"/>
        </w:rPr>
        <w:t>，属于</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hint="eastAsia" w:ascii="宋体" w:hAnsi="宋体" w:eastAsia="宋体" w:cs="Times New Roman"/>
          <w:szCs w:val="21"/>
        </w:rPr>
        <w:t>；</w:t>
      </w:r>
    </w:p>
    <w:p w14:paraId="28047942">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w:t>
      </w:r>
    </w:p>
    <w:p w14:paraId="4EAC9944">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以上企业，不属于大企业的分支机构，不存在控股股东为大企业的情形，也不存在与大企业的负责人为同一人的情形。</w:t>
      </w:r>
    </w:p>
    <w:p w14:paraId="4E8099B2">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本企业对上述声明内容的真实性负责。如有虚假，将依法承担相应责任。</w:t>
      </w:r>
    </w:p>
    <w:p w14:paraId="36953342">
      <w:pPr>
        <w:adjustRightInd w:val="0"/>
        <w:snapToGrid w:val="0"/>
        <w:spacing w:line="288" w:lineRule="auto"/>
        <w:ind w:firstLine="495" w:firstLineChars="236"/>
        <w:rPr>
          <w:rFonts w:hint="eastAsia" w:ascii="宋体" w:hAnsi="宋体" w:eastAsia="宋体" w:cs="Times New Roman"/>
          <w:szCs w:val="21"/>
        </w:rPr>
      </w:pPr>
    </w:p>
    <w:p w14:paraId="14DC2C8B">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企业名称（盖章）：</w:t>
      </w:r>
    </w:p>
    <w:p w14:paraId="5DA5817F">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日期：</w:t>
      </w:r>
    </w:p>
    <w:p w14:paraId="3165DD66">
      <w:pPr>
        <w:adjustRightInd w:val="0"/>
        <w:snapToGrid w:val="0"/>
        <w:spacing w:line="288" w:lineRule="auto"/>
        <w:ind w:firstLine="495" w:firstLineChars="236"/>
        <w:rPr>
          <w:rFonts w:hint="eastAsia" w:ascii="宋体" w:hAnsi="宋体" w:eastAsia="宋体" w:cs="Times New Roman"/>
          <w:szCs w:val="21"/>
        </w:rPr>
      </w:pPr>
    </w:p>
    <w:p w14:paraId="2BEB59FD">
      <w:pPr>
        <w:adjustRightInd w:val="0"/>
        <w:snapToGrid w:val="0"/>
        <w:spacing w:line="288" w:lineRule="auto"/>
        <w:ind w:firstLine="495" w:firstLineChars="236"/>
        <w:rPr>
          <w:rFonts w:hint="eastAsia" w:ascii="宋体" w:hAnsi="宋体" w:eastAsia="宋体" w:cs="Times New Roman"/>
          <w:szCs w:val="21"/>
        </w:rPr>
      </w:pPr>
      <w:r>
        <w:rPr>
          <w:rFonts w:hint="eastAsia" w:ascii="宋体" w:hAnsi="宋体" w:eastAsia="宋体" w:cs="Times New Roman"/>
          <w:szCs w:val="21"/>
        </w:rPr>
        <w:t>注：</w:t>
      </w:r>
    </w:p>
    <w:p w14:paraId="7EE800C5">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从业人员、营业收入、资产总额填报上一年度数据，无上一年度数据的新成立企业可不填报。</w:t>
      </w:r>
    </w:p>
    <w:p w14:paraId="257278CF">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中小企业参加政府采购活动，应当出具财库〔2020〕46号文件规定的《中小企业声明函》，否则不得享受相关中小企业扶持政策。</w:t>
      </w:r>
    </w:p>
    <w:p w14:paraId="33915EC3">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.本项目仅以《中小企业声明函》作为评判供应商是否属于中小企业的唯一依据。</w:t>
      </w:r>
    </w:p>
    <w:p w14:paraId="6AED3634">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.供应商提供《中小企业声明函》内容不实的，属于提供虚假材料谋取中标、成交，依照《中华人民共和国政府采购法》等国家有关规定追究相应责任。</w:t>
      </w:r>
    </w:p>
    <w:p w14:paraId="29456127">
      <w:pPr>
        <w:adjustRightInd w:val="0"/>
        <w:snapToGrid w:val="0"/>
        <w:spacing w:line="288" w:lineRule="auto"/>
        <w:ind w:firstLine="495" w:firstLineChars="236"/>
        <w:rPr>
          <w:rFonts w:hint="eastAsia" w:ascii="宋体" w:hAnsi="宋体" w:eastAsia="宋体"/>
          <w:u w:val="single"/>
        </w:rPr>
      </w:pPr>
      <w:r>
        <w:rPr>
          <w:rFonts w:ascii="宋体" w:hAnsi="宋体" w:eastAsia="宋体" w:cs="Times New Roman"/>
          <w:szCs w:val="21"/>
          <w:u w:val="single"/>
        </w:rPr>
        <w:t>5.</w:t>
      </w:r>
      <w:r>
        <w:rPr>
          <w:rFonts w:hint="eastAsia" w:ascii="宋体" w:hAnsi="宋体" w:eastAsia="宋体" w:cs="Times New Roman"/>
          <w:szCs w:val="21"/>
          <w:u w:val="single"/>
        </w:rPr>
        <w:t>《中小企业声明函》填写不全（从业人员、营业收入、资产总额在中小企业划型标准规定中不涉及的除外），或未按照《中小企业声明函》要求填写的，视为未提供《中小企业声明函》，</w:t>
      </w:r>
      <w:r>
        <w:rPr>
          <w:rFonts w:hint="eastAsia" w:ascii="宋体" w:hAnsi="宋体" w:eastAsia="宋体"/>
          <w:u w:val="single"/>
        </w:rPr>
        <w:t>不享受中小企业扶持政策。</w:t>
      </w:r>
    </w:p>
    <w:p w14:paraId="65ACDD2C">
      <w:pPr>
        <w:adjustRightInd w:val="0"/>
        <w:snapToGrid w:val="0"/>
        <w:spacing w:line="288" w:lineRule="auto"/>
        <w:ind w:firstLine="495" w:firstLineChars="236"/>
        <w:rPr>
          <w:rFonts w:hint="eastAsia" w:ascii="宋体" w:hAnsi="宋体" w:eastAsia="宋体" w:cs="宋体"/>
          <w:szCs w:val="21"/>
          <w:u w:val="single"/>
        </w:rPr>
      </w:pPr>
      <w:r>
        <w:rPr>
          <w:rFonts w:hint="eastAsia" w:ascii="宋体" w:hAnsi="宋体" w:eastAsia="宋体" w:cs="Times New Roman"/>
          <w:szCs w:val="21"/>
          <w:u w:val="single"/>
        </w:rPr>
        <w:t>6</w:t>
      </w:r>
      <w:r>
        <w:rPr>
          <w:rFonts w:ascii="宋体" w:hAnsi="宋体" w:eastAsia="宋体" w:cs="Times New Roman"/>
          <w:szCs w:val="21"/>
          <w:u w:val="single"/>
        </w:rPr>
        <w:t>.如项目包含“多件”标的物的，需按标的物项数逐项填写。</w:t>
      </w:r>
    </w:p>
    <w:p w14:paraId="33ADD02E">
      <w:pPr>
        <w:rPr>
          <w:rFonts w:hint="eastAsia" w:ascii="宋体" w:hAnsi="宋体" w:eastAsia="宋体" w:cs="Times New Roman"/>
          <w:szCs w:val="21"/>
        </w:rPr>
      </w:pPr>
      <w:r>
        <w:rPr>
          <w:rFonts w:ascii="宋体" w:hAnsi="宋体" w:eastAsia="宋体" w:cs="Times New Roman"/>
          <w:szCs w:val="21"/>
        </w:rPr>
        <w:br w:type="page"/>
      </w:r>
    </w:p>
    <w:p w14:paraId="2E183D78">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2</w:t>
      </w:r>
      <w:r>
        <w:rPr>
          <w:rFonts w:hint="eastAsia" w:ascii="宋体" w:hAnsi="宋体" w:eastAsia="宋体" w:cs="宋体"/>
          <w:b/>
          <w:spacing w:val="-6"/>
          <w:szCs w:val="21"/>
        </w:rPr>
        <w:t>）</w:t>
      </w:r>
      <w:r>
        <w:rPr>
          <w:rFonts w:ascii="宋体" w:hAnsi="宋体" w:eastAsia="宋体" w:cs="宋体"/>
          <w:b/>
          <w:spacing w:val="-6"/>
          <w:szCs w:val="21"/>
        </w:rPr>
        <w:t>中小企业声明函（货物）</w:t>
      </w:r>
      <w:r>
        <w:rPr>
          <w:rFonts w:hint="eastAsia" w:ascii="宋体" w:hAnsi="宋体" w:eastAsia="宋体" w:cs="宋体"/>
          <w:b/>
          <w:spacing w:val="-6"/>
          <w:szCs w:val="21"/>
        </w:rPr>
        <w:t>（若属于中小企业）（标项三）</w:t>
      </w:r>
    </w:p>
    <w:p w14:paraId="72FAE661">
      <w:pPr>
        <w:adjustRightInd w:val="0"/>
        <w:snapToGrid w:val="0"/>
        <w:spacing w:line="288" w:lineRule="auto"/>
        <w:ind w:firstLine="498" w:firstLineChars="236"/>
        <w:rPr>
          <w:rFonts w:hint="eastAsia" w:ascii="宋体" w:hAnsi="宋体" w:eastAsia="宋体" w:cs="Times New Roman"/>
          <w:b/>
          <w:szCs w:val="21"/>
        </w:rPr>
      </w:pPr>
    </w:p>
    <w:p w14:paraId="1E650383">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本公司（联合体）郑重声明，根据《政府采购促进中小企业发展管理办法》（财库</w:t>
      </w:r>
      <w:r>
        <w:rPr>
          <w:rFonts w:hint="eastAsia" w:ascii="宋体" w:hAnsi="宋体" w:eastAsia="宋体" w:cs="Times New Roman"/>
          <w:szCs w:val="21"/>
        </w:rPr>
        <w:t>﹝</w:t>
      </w:r>
      <w:r>
        <w:rPr>
          <w:rFonts w:ascii="宋体" w:hAnsi="宋体" w:eastAsia="宋体" w:cs="Times New Roman"/>
          <w:szCs w:val="21"/>
        </w:rPr>
        <w:t>2020</w:t>
      </w:r>
      <w:r>
        <w:rPr>
          <w:rFonts w:hint="eastAsia" w:ascii="宋体" w:hAnsi="宋体" w:eastAsia="宋体" w:cs="Times New Roman"/>
          <w:szCs w:val="21"/>
        </w:rPr>
        <w:t>﹞</w:t>
      </w:r>
      <w:r>
        <w:rPr>
          <w:rFonts w:ascii="宋体" w:hAnsi="宋体" w:eastAsia="宋体" w:cs="Times New Roman"/>
          <w:szCs w:val="21"/>
        </w:rPr>
        <w:t>46 号）的规定，本公司（联合体）参加</w:t>
      </w:r>
      <w:r>
        <w:rPr>
          <w:rFonts w:hint="eastAsia" w:ascii="宋体" w:hAnsi="宋体" w:eastAsia="宋体" w:cs="Times New Roman"/>
          <w:szCs w:val="21"/>
          <w:u w:val="single"/>
        </w:rPr>
        <w:t>浙江工商大学</w:t>
      </w:r>
      <w:r>
        <w:rPr>
          <w:rFonts w:ascii="宋体" w:hAnsi="宋体" w:eastAsia="宋体" w:cs="Times New Roman"/>
          <w:szCs w:val="21"/>
        </w:rPr>
        <w:t>的</w:t>
      </w:r>
      <w:r>
        <w:rPr>
          <w:rFonts w:hint="eastAsia" w:ascii="宋体" w:hAnsi="宋体" w:eastAsia="宋体" w:cs="Times New Roman"/>
          <w:szCs w:val="21"/>
          <w:u w:val="single"/>
        </w:rPr>
        <w:t>浙江工商大学未来营养健康与共同富裕计算设备更新-共同富裕计算设备（第一批）</w:t>
      </w:r>
      <w:r>
        <w:rPr>
          <w:rFonts w:ascii="宋体" w:hAnsi="宋体" w:eastAsia="宋体" w:cs="Times New Roman"/>
          <w:szCs w:val="21"/>
        </w:rPr>
        <w:t>采购活动，提供的货物全部由符合政策要求的中小企业制造。相关企业（含联合体中的中小企业、签订分包意向协议的中小企业）的具体情况如下：</w:t>
      </w:r>
    </w:p>
    <w:p w14:paraId="24447E33">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 xml:space="preserve">1. </w:t>
      </w:r>
      <w:r>
        <w:rPr>
          <w:rFonts w:hint="eastAsia" w:ascii="宋体" w:hAnsi="宋体" w:eastAsia="宋体" w:cs="Times New Roman"/>
          <w:i/>
          <w:szCs w:val="21"/>
          <w:u w:val="single"/>
        </w:rPr>
        <w:t>“共同富裕智慧大脑”私有数据模型训练服务平台等</w:t>
      </w:r>
      <w:r>
        <w:rPr>
          <w:rFonts w:ascii="宋体" w:hAnsi="宋体" w:eastAsia="宋体" w:cs="Times New Roman"/>
          <w:i/>
          <w:szCs w:val="21"/>
          <w:u w:val="single"/>
        </w:rPr>
        <w:t>（标的名称）</w:t>
      </w:r>
      <w:r>
        <w:rPr>
          <w:rFonts w:ascii="宋体" w:hAnsi="宋体" w:eastAsia="宋体" w:cs="Times New Roman"/>
          <w:i/>
          <w:szCs w:val="21"/>
        </w:rPr>
        <w:t xml:space="preserve"> </w:t>
      </w:r>
      <w:r>
        <w:rPr>
          <w:rFonts w:ascii="宋体" w:hAnsi="宋体" w:eastAsia="宋体" w:cs="Times New Roman"/>
          <w:szCs w:val="21"/>
        </w:rPr>
        <w:t>，属于</w:t>
      </w:r>
      <w:r>
        <w:rPr>
          <w:rFonts w:hint="eastAsia" w:ascii="宋体" w:hAnsi="宋体" w:eastAsia="宋体" w:cs="Times New Roman"/>
          <w:szCs w:val="21"/>
          <w:u w:val="single"/>
        </w:rPr>
        <w:t>软件和信息技术服务业</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ascii="宋体" w:hAnsi="宋体" w:eastAsia="宋体" w:cs="Times New Roman"/>
          <w:szCs w:val="21"/>
        </w:rPr>
        <w:t>；</w:t>
      </w:r>
    </w:p>
    <w:p w14:paraId="72AA3A8C">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2. （标的名称）</w:t>
      </w:r>
      <w:r>
        <w:rPr>
          <w:rFonts w:ascii="宋体" w:hAnsi="宋体" w:eastAsia="宋体" w:cs="Times New Roman"/>
          <w:i/>
          <w:szCs w:val="21"/>
        </w:rPr>
        <w:t xml:space="preserve"> </w:t>
      </w:r>
      <w:r>
        <w:rPr>
          <w:rFonts w:ascii="宋体" w:hAnsi="宋体" w:eastAsia="宋体" w:cs="Times New Roman"/>
          <w:szCs w:val="21"/>
        </w:rPr>
        <w:t>，属于</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hint="eastAsia" w:ascii="宋体" w:hAnsi="宋体" w:eastAsia="宋体" w:cs="Times New Roman"/>
          <w:szCs w:val="21"/>
        </w:rPr>
        <w:t>；</w:t>
      </w:r>
    </w:p>
    <w:p w14:paraId="07950CC4">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w:t>
      </w:r>
    </w:p>
    <w:p w14:paraId="7C177113">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以上企业，不属于大企业的分支机构，不存在控股股东为大企业的情形，也不存在与大企业的负责人为同一人的情形。</w:t>
      </w:r>
    </w:p>
    <w:p w14:paraId="2A59D6BF">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本企业对上述声明内容的真实性负责。如有虚假，将依法承担相应责任。</w:t>
      </w:r>
    </w:p>
    <w:p w14:paraId="53902624">
      <w:pPr>
        <w:adjustRightInd w:val="0"/>
        <w:snapToGrid w:val="0"/>
        <w:spacing w:line="288" w:lineRule="auto"/>
        <w:ind w:firstLine="495" w:firstLineChars="236"/>
        <w:rPr>
          <w:rFonts w:hint="eastAsia" w:ascii="宋体" w:hAnsi="宋体" w:eastAsia="宋体" w:cs="Times New Roman"/>
          <w:szCs w:val="21"/>
        </w:rPr>
      </w:pPr>
    </w:p>
    <w:p w14:paraId="5C141B3A">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企业名称（盖章）：</w:t>
      </w:r>
    </w:p>
    <w:p w14:paraId="0A656C58">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日期：</w:t>
      </w:r>
    </w:p>
    <w:p w14:paraId="6FFA3180">
      <w:pPr>
        <w:adjustRightInd w:val="0"/>
        <w:snapToGrid w:val="0"/>
        <w:spacing w:line="288" w:lineRule="auto"/>
        <w:ind w:firstLine="495" w:firstLineChars="236"/>
        <w:rPr>
          <w:rFonts w:hint="eastAsia" w:ascii="宋体" w:hAnsi="宋体" w:eastAsia="宋体" w:cs="Times New Roman"/>
          <w:szCs w:val="21"/>
        </w:rPr>
      </w:pPr>
    </w:p>
    <w:p w14:paraId="6C49EAEA">
      <w:pPr>
        <w:adjustRightInd w:val="0"/>
        <w:snapToGrid w:val="0"/>
        <w:spacing w:line="288" w:lineRule="auto"/>
        <w:ind w:firstLine="495" w:firstLineChars="236"/>
        <w:rPr>
          <w:rFonts w:hint="eastAsia" w:ascii="宋体" w:hAnsi="宋体" w:eastAsia="宋体" w:cs="Times New Roman"/>
          <w:szCs w:val="21"/>
        </w:rPr>
      </w:pPr>
      <w:r>
        <w:rPr>
          <w:rFonts w:hint="eastAsia" w:ascii="宋体" w:hAnsi="宋体" w:eastAsia="宋体" w:cs="Times New Roman"/>
          <w:szCs w:val="21"/>
        </w:rPr>
        <w:t>注：</w:t>
      </w:r>
    </w:p>
    <w:p w14:paraId="6AC6171B">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从业人员、营业收入、资产总额填报上一年度数据，无上一年度数据的新成立企业可不填报。</w:t>
      </w:r>
    </w:p>
    <w:p w14:paraId="4C7149A3">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中小企业参加政府采购活动，应当出具财库〔2020〕46号文件规定的《中小企业声明函》，否则不得享受相关中小企业扶持政策。</w:t>
      </w:r>
    </w:p>
    <w:p w14:paraId="3122E289">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.本项目仅以《中小企业声明函》作为评判供应商是否属于中小企业的唯一依据。</w:t>
      </w:r>
    </w:p>
    <w:p w14:paraId="22595FF6">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.供应商提供《中小企业声明函》内容不实的，属于提供虚假材料谋取中标、成交，依照《中华人民共和国政府采购法》等国家有关规定追究相应责任。</w:t>
      </w:r>
    </w:p>
    <w:p w14:paraId="59C33110">
      <w:pPr>
        <w:adjustRightInd w:val="0"/>
        <w:snapToGrid w:val="0"/>
        <w:spacing w:line="288" w:lineRule="auto"/>
        <w:ind w:firstLine="495" w:firstLineChars="236"/>
        <w:rPr>
          <w:rFonts w:hint="eastAsia" w:ascii="宋体" w:hAnsi="宋体" w:eastAsia="宋体"/>
          <w:u w:val="single"/>
        </w:rPr>
      </w:pPr>
      <w:r>
        <w:rPr>
          <w:rFonts w:ascii="宋体" w:hAnsi="宋体" w:eastAsia="宋体" w:cs="Times New Roman"/>
          <w:szCs w:val="21"/>
          <w:u w:val="single"/>
        </w:rPr>
        <w:t>5.</w:t>
      </w:r>
      <w:r>
        <w:rPr>
          <w:rFonts w:hint="eastAsia" w:ascii="宋体" w:hAnsi="宋体" w:eastAsia="宋体" w:cs="Times New Roman"/>
          <w:szCs w:val="21"/>
          <w:u w:val="single"/>
        </w:rPr>
        <w:t>《中小企业声明函》填写不全（从业人员、营业收入、资产总额在中小企业划型标准规定中不涉及的除外），或未按照《中小企业声明函》要求填写的，视为未提供《中小企业声明函》，</w:t>
      </w:r>
      <w:r>
        <w:rPr>
          <w:rFonts w:hint="eastAsia" w:ascii="宋体" w:hAnsi="宋体" w:eastAsia="宋体"/>
          <w:u w:val="single"/>
        </w:rPr>
        <w:t>不享受中小企业扶持政策。</w:t>
      </w:r>
    </w:p>
    <w:p w14:paraId="303E24B4">
      <w:pPr>
        <w:adjustRightInd w:val="0"/>
        <w:snapToGrid w:val="0"/>
        <w:spacing w:line="288" w:lineRule="auto"/>
        <w:ind w:firstLine="495" w:firstLineChars="236"/>
        <w:rPr>
          <w:rFonts w:hint="eastAsia" w:ascii="宋体" w:hAnsi="宋体" w:eastAsia="宋体" w:cs="宋体"/>
          <w:szCs w:val="21"/>
          <w:u w:val="single"/>
        </w:rPr>
      </w:pPr>
      <w:r>
        <w:rPr>
          <w:rFonts w:hint="eastAsia" w:ascii="宋体" w:hAnsi="宋体" w:eastAsia="宋体" w:cs="Times New Roman"/>
          <w:szCs w:val="21"/>
          <w:u w:val="single"/>
        </w:rPr>
        <w:t>6</w:t>
      </w:r>
      <w:r>
        <w:rPr>
          <w:rFonts w:ascii="宋体" w:hAnsi="宋体" w:eastAsia="宋体" w:cs="Times New Roman"/>
          <w:szCs w:val="21"/>
          <w:u w:val="single"/>
        </w:rPr>
        <w:t>.如项目包含“多件”标的物的，需按标的物项数逐项填写。</w:t>
      </w:r>
    </w:p>
    <w:p w14:paraId="5B12EAD3">
      <w:pPr>
        <w:rPr>
          <w:rFonts w:hint="eastAsia" w:ascii="宋体" w:hAnsi="宋体" w:eastAsia="宋体" w:cs="Times New Roman"/>
          <w:szCs w:val="21"/>
        </w:rPr>
      </w:pPr>
      <w:r>
        <w:rPr>
          <w:rFonts w:ascii="宋体" w:hAnsi="宋体" w:eastAsia="宋体" w:cs="Times New Roman"/>
          <w:szCs w:val="21"/>
        </w:rPr>
        <w:br w:type="page"/>
      </w:r>
    </w:p>
    <w:p w14:paraId="7FC78DE5">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2</w:t>
      </w:r>
      <w:r>
        <w:rPr>
          <w:rFonts w:hint="eastAsia" w:ascii="宋体" w:hAnsi="宋体" w:eastAsia="宋体" w:cs="宋体"/>
          <w:b/>
          <w:spacing w:val="-6"/>
          <w:szCs w:val="21"/>
        </w:rPr>
        <w:t>）</w:t>
      </w:r>
      <w:r>
        <w:rPr>
          <w:rFonts w:ascii="宋体" w:hAnsi="宋体" w:eastAsia="宋体" w:cs="宋体"/>
          <w:b/>
          <w:spacing w:val="-6"/>
          <w:szCs w:val="21"/>
        </w:rPr>
        <w:t>中小企业声明函（货物）</w:t>
      </w:r>
      <w:r>
        <w:rPr>
          <w:rFonts w:hint="eastAsia" w:ascii="宋体" w:hAnsi="宋体" w:eastAsia="宋体" w:cs="宋体"/>
          <w:b/>
          <w:spacing w:val="-6"/>
          <w:szCs w:val="21"/>
        </w:rPr>
        <w:t>（若属于中小企业）（标项四）</w:t>
      </w:r>
    </w:p>
    <w:p w14:paraId="259B83F4">
      <w:pPr>
        <w:adjustRightInd w:val="0"/>
        <w:snapToGrid w:val="0"/>
        <w:spacing w:line="288" w:lineRule="auto"/>
        <w:ind w:firstLine="498" w:firstLineChars="236"/>
        <w:rPr>
          <w:rFonts w:hint="eastAsia" w:ascii="宋体" w:hAnsi="宋体" w:eastAsia="宋体" w:cs="Times New Roman"/>
          <w:b/>
          <w:szCs w:val="21"/>
        </w:rPr>
      </w:pPr>
    </w:p>
    <w:p w14:paraId="5A21E18F">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本公司（联合体）郑重声明，根据《政府采购促进中小企业发展管理办法》（财库</w:t>
      </w:r>
      <w:r>
        <w:rPr>
          <w:rFonts w:hint="eastAsia" w:ascii="宋体" w:hAnsi="宋体" w:eastAsia="宋体" w:cs="Times New Roman"/>
          <w:szCs w:val="21"/>
        </w:rPr>
        <w:t>﹝</w:t>
      </w:r>
      <w:r>
        <w:rPr>
          <w:rFonts w:ascii="宋体" w:hAnsi="宋体" w:eastAsia="宋体" w:cs="Times New Roman"/>
          <w:szCs w:val="21"/>
        </w:rPr>
        <w:t>2020</w:t>
      </w:r>
      <w:r>
        <w:rPr>
          <w:rFonts w:hint="eastAsia" w:ascii="宋体" w:hAnsi="宋体" w:eastAsia="宋体" w:cs="Times New Roman"/>
          <w:szCs w:val="21"/>
        </w:rPr>
        <w:t>﹞</w:t>
      </w:r>
      <w:r>
        <w:rPr>
          <w:rFonts w:ascii="宋体" w:hAnsi="宋体" w:eastAsia="宋体" w:cs="Times New Roman"/>
          <w:szCs w:val="21"/>
        </w:rPr>
        <w:t>46 号）的规定，本公司（联合体）参加</w:t>
      </w:r>
      <w:r>
        <w:rPr>
          <w:rFonts w:hint="eastAsia" w:ascii="宋体" w:hAnsi="宋体" w:eastAsia="宋体" w:cs="Times New Roman"/>
          <w:szCs w:val="21"/>
          <w:u w:val="single"/>
        </w:rPr>
        <w:t>浙江工商大学</w:t>
      </w:r>
      <w:r>
        <w:rPr>
          <w:rFonts w:ascii="宋体" w:hAnsi="宋体" w:eastAsia="宋体" w:cs="Times New Roman"/>
          <w:szCs w:val="21"/>
        </w:rPr>
        <w:t>的</w:t>
      </w:r>
      <w:r>
        <w:rPr>
          <w:rFonts w:hint="eastAsia" w:ascii="宋体" w:hAnsi="宋体" w:eastAsia="宋体" w:cs="Times New Roman"/>
          <w:szCs w:val="21"/>
          <w:u w:val="single"/>
        </w:rPr>
        <w:t>浙江工商大学未来营养健康与共同富裕计算设备更新-共同富裕计算设备（第一批）</w:t>
      </w:r>
      <w:r>
        <w:rPr>
          <w:rFonts w:ascii="宋体" w:hAnsi="宋体" w:eastAsia="宋体" w:cs="Times New Roman"/>
          <w:szCs w:val="21"/>
        </w:rPr>
        <w:t>采购活动，提供的货物全部由符合政策要求的中小企业制造。相关企业（含联合体中的中小企业、签订分包意向协议的中小企业）的具体情况如下：</w:t>
      </w:r>
    </w:p>
    <w:p w14:paraId="60D71472">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 xml:space="preserve">1. </w:t>
      </w:r>
      <w:r>
        <w:rPr>
          <w:rFonts w:hint="eastAsia" w:ascii="宋体" w:hAnsi="宋体" w:eastAsia="宋体" w:cs="Times New Roman"/>
          <w:i/>
          <w:szCs w:val="21"/>
          <w:u w:val="single"/>
        </w:rPr>
        <w:t>智能人机交互界面开发服务平台</w:t>
      </w:r>
      <w:r>
        <w:rPr>
          <w:rFonts w:ascii="宋体" w:hAnsi="宋体" w:eastAsia="宋体" w:cs="Times New Roman"/>
          <w:i/>
          <w:szCs w:val="21"/>
          <w:u w:val="single"/>
        </w:rPr>
        <w:t>（标的名称）</w:t>
      </w:r>
      <w:r>
        <w:rPr>
          <w:rFonts w:ascii="宋体" w:hAnsi="宋体" w:eastAsia="宋体" w:cs="Times New Roman"/>
          <w:i/>
          <w:szCs w:val="21"/>
        </w:rPr>
        <w:t xml:space="preserve"> </w:t>
      </w:r>
      <w:r>
        <w:rPr>
          <w:rFonts w:ascii="宋体" w:hAnsi="宋体" w:eastAsia="宋体" w:cs="Times New Roman"/>
          <w:szCs w:val="21"/>
        </w:rPr>
        <w:t>，属于</w:t>
      </w:r>
      <w:r>
        <w:rPr>
          <w:rFonts w:hint="eastAsia" w:ascii="宋体" w:hAnsi="宋体" w:eastAsia="宋体" w:cs="Times New Roman"/>
          <w:szCs w:val="21"/>
          <w:u w:val="single"/>
        </w:rPr>
        <w:t>软件和信息技术服务业</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ascii="宋体" w:hAnsi="宋体" w:eastAsia="宋体" w:cs="Times New Roman"/>
          <w:szCs w:val="21"/>
        </w:rPr>
        <w:t>；</w:t>
      </w:r>
    </w:p>
    <w:p w14:paraId="36385007">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2. （标的名称）</w:t>
      </w:r>
      <w:r>
        <w:rPr>
          <w:rFonts w:ascii="宋体" w:hAnsi="宋体" w:eastAsia="宋体" w:cs="Times New Roman"/>
          <w:i/>
          <w:szCs w:val="21"/>
        </w:rPr>
        <w:t xml:space="preserve"> </w:t>
      </w:r>
      <w:r>
        <w:rPr>
          <w:rFonts w:ascii="宋体" w:hAnsi="宋体" w:eastAsia="宋体" w:cs="Times New Roman"/>
          <w:szCs w:val="21"/>
        </w:rPr>
        <w:t>，属于</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hint="eastAsia" w:ascii="宋体" w:hAnsi="宋体" w:eastAsia="宋体" w:cs="Times New Roman"/>
          <w:szCs w:val="21"/>
        </w:rPr>
        <w:t>；</w:t>
      </w:r>
    </w:p>
    <w:p w14:paraId="2962E4A0">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w:t>
      </w:r>
    </w:p>
    <w:p w14:paraId="51E99DEC">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以上企业，不属于大企业的分支机构，不存在控股股东为大企业的情形，也不存在与大企业的负责人为同一人的情形。</w:t>
      </w:r>
    </w:p>
    <w:p w14:paraId="0A5C51BC">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本企业对上述声明内容的真实性负责。如有虚假，将依法承担相应责任。</w:t>
      </w:r>
    </w:p>
    <w:p w14:paraId="12B85B76">
      <w:pPr>
        <w:adjustRightInd w:val="0"/>
        <w:snapToGrid w:val="0"/>
        <w:spacing w:line="288" w:lineRule="auto"/>
        <w:ind w:firstLine="495" w:firstLineChars="236"/>
        <w:rPr>
          <w:rFonts w:hint="eastAsia" w:ascii="宋体" w:hAnsi="宋体" w:eastAsia="宋体" w:cs="Times New Roman"/>
          <w:szCs w:val="21"/>
        </w:rPr>
      </w:pPr>
    </w:p>
    <w:p w14:paraId="45998041">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企业名称（盖章）：</w:t>
      </w:r>
    </w:p>
    <w:p w14:paraId="2CDA14E8">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日期：</w:t>
      </w:r>
    </w:p>
    <w:p w14:paraId="4560D336">
      <w:pPr>
        <w:adjustRightInd w:val="0"/>
        <w:snapToGrid w:val="0"/>
        <w:spacing w:line="288" w:lineRule="auto"/>
        <w:ind w:firstLine="495" w:firstLineChars="236"/>
        <w:rPr>
          <w:rFonts w:hint="eastAsia" w:ascii="宋体" w:hAnsi="宋体" w:eastAsia="宋体" w:cs="Times New Roman"/>
          <w:szCs w:val="21"/>
        </w:rPr>
      </w:pPr>
    </w:p>
    <w:p w14:paraId="2E938AAC">
      <w:pPr>
        <w:adjustRightInd w:val="0"/>
        <w:snapToGrid w:val="0"/>
        <w:spacing w:line="288" w:lineRule="auto"/>
        <w:ind w:firstLine="495" w:firstLineChars="236"/>
        <w:rPr>
          <w:rFonts w:hint="eastAsia" w:ascii="宋体" w:hAnsi="宋体" w:eastAsia="宋体" w:cs="Times New Roman"/>
          <w:szCs w:val="21"/>
        </w:rPr>
      </w:pPr>
      <w:r>
        <w:rPr>
          <w:rFonts w:hint="eastAsia" w:ascii="宋体" w:hAnsi="宋体" w:eastAsia="宋体" w:cs="Times New Roman"/>
          <w:szCs w:val="21"/>
        </w:rPr>
        <w:t>注：</w:t>
      </w:r>
    </w:p>
    <w:p w14:paraId="6D3BA9F8">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从业人员、营业收入、资产总额填报上一年度数据，无上一年度数据的新成立企业可不填报。</w:t>
      </w:r>
    </w:p>
    <w:p w14:paraId="24F485DB">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中小企业参加政府采购活动，应当出具财库〔2020〕46号文件规定的《中小企业声明函》，否则不得享受相关中小企业扶持政策。</w:t>
      </w:r>
    </w:p>
    <w:p w14:paraId="53BFF8A6">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.本项目仅以《中小企业声明函》作为评判供应商是否属于中小企业的唯一依据。</w:t>
      </w:r>
    </w:p>
    <w:p w14:paraId="06B2ED32">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.供应商提供《中小企业声明函》内容不实的，属于提供虚假材料谋取中标、成交，依照《中华人民共和国政府采购法》等国家有关规定追究相应责任。</w:t>
      </w:r>
    </w:p>
    <w:p w14:paraId="1942586E">
      <w:pPr>
        <w:adjustRightInd w:val="0"/>
        <w:snapToGrid w:val="0"/>
        <w:spacing w:line="288" w:lineRule="auto"/>
        <w:ind w:firstLine="495" w:firstLineChars="236"/>
        <w:rPr>
          <w:rFonts w:hint="eastAsia" w:ascii="宋体" w:hAnsi="宋体" w:eastAsia="宋体"/>
          <w:u w:val="single"/>
        </w:rPr>
      </w:pPr>
      <w:r>
        <w:rPr>
          <w:rFonts w:ascii="宋体" w:hAnsi="宋体" w:eastAsia="宋体" w:cs="Times New Roman"/>
          <w:szCs w:val="21"/>
          <w:u w:val="single"/>
        </w:rPr>
        <w:t>5.</w:t>
      </w:r>
      <w:r>
        <w:rPr>
          <w:rFonts w:hint="eastAsia" w:ascii="宋体" w:hAnsi="宋体" w:eastAsia="宋体" w:cs="Times New Roman"/>
          <w:szCs w:val="21"/>
          <w:u w:val="single"/>
        </w:rPr>
        <w:t>《中小企业声明函》填写不全（从业人员、营业收入、资产总额在中小企业划型标准规定中不涉及的除外），或未按照《中小企业声明函》要求填写的，视为未提供《中小企业声明函》，</w:t>
      </w:r>
      <w:r>
        <w:rPr>
          <w:rFonts w:hint="eastAsia" w:ascii="宋体" w:hAnsi="宋体" w:eastAsia="宋体"/>
          <w:u w:val="single"/>
        </w:rPr>
        <w:t>不享受中小企业扶持政策。</w:t>
      </w:r>
    </w:p>
    <w:p w14:paraId="21472F75">
      <w:pPr>
        <w:adjustRightInd w:val="0"/>
        <w:snapToGrid w:val="0"/>
        <w:spacing w:line="288" w:lineRule="auto"/>
        <w:ind w:firstLine="495" w:firstLineChars="236"/>
        <w:rPr>
          <w:rFonts w:hint="eastAsia" w:ascii="宋体" w:hAnsi="宋体" w:eastAsia="宋体" w:cs="宋体"/>
          <w:szCs w:val="21"/>
          <w:u w:val="single"/>
        </w:rPr>
      </w:pPr>
      <w:r>
        <w:rPr>
          <w:rFonts w:hint="eastAsia" w:ascii="宋体" w:hAnsi="宋体" w:eastAsia="宋体" w:cs="Times New Roman"/>
          <w:szCs w:val="21"/>
          <w:u w:val="single"/>
        </w:rPr>
        <w:t>6</w:t>
      </w:r>
      <w:r>
        <w:rPr>
          <w:rFonts w:ascii="宋体" w:hAnsi="宋体" w:eastAsia="宋体" w:cs="Times New Roman"/>
          <w:szCs w:val="21"/>
          <w:u w:val="single"/>
        </w:rPr>
        <w:t>.如项目包含“多件”标的物的，需按标的物项数逐项填写。</w:t>
      </w:r>
    </w:p>
    <w:p w14:paraId="42F45786">
      <w:pPr>
        <w:widowControl/>
        <w:adjustRightInd w:val="0"/>
        <w:snapToGrid w:val="0"/>
        <w:spacing w:line="288" w:lineRule="auto"/>
        <w:ind w:firstLine="495" w:firstLineChars="236"/>
        <w:jc w:val="left"/>
        <w:rPr>
          <w:rFonts w:hint="eastAsia" w:ascii="宋体" w:hAnsi="宋体" w:eastAsia="宋体" w:cs="Times New Roman"/>
          <w:szCs w:val="21"/>
        </w:rPr>
      </w:pPr>
    </w:p>
    <w:p w14:paraId="32CE761D">
      <w:pPr>
        <w:widowControl/>
        <w:adjustRightInd w:val="0"/>
        <w:snapToGrid w:val="0"/>
        <w:spacing w:line="288" w:lineRule="auto"/>
        <w:ind w:firstLine="495" w:firstLineChars="236"/>
        <w:jc w:val="left"/>
        <w:rPr>
          <w:rFonts w:hint="eastAsia" w:ascii="宋体" w:hAnsi="宋体" w:eastAsia="宋体" w:cs="Times New Roman"/>
          <w:szCs w:val="21"/>
        </w:rPr>
      </w:pPr>
      <w:r>
        <w:rPr>
          <w:rFonts w:ascii="宋体" w:hAnsi="宋体" w:eastAsia="宋体" w:cs="Times New Roman"/>
          <w:szCs w:val="21"/>
        </w:rPr>
        <w:br w:type="page"/>
      </w:r>
    </w:p>
    <w:p w14:paraId="3596067C">
      <w:pPr>
        <w:adjustRightInd w:val="0"/>
        <w:snapToGrid w:val="0"/>
        <w:spacing w:line="288" w:lineRule="auto"/>
        <w:jc w:val="center"/>
        <w:outlineLvl w:val="2"/>
        <w:rPr>
          <w:rFonts w:hint="eastAsia" w:ascii="宋体" w:hAnsi="宋体" w:eastAsia="宋体" w:cs="宋体"/>
          <w:color w:val="000000"/>
          <w:kern w:val="0"/>
          <w:szCs w:val="21"/>
          <w:highlight w:val="yellow"/>
        </w:rPr>
      </w:pPr>
      <w:r>
        <w:rPr>
          <w:rFonts w:hint="eastAsia" w:ascii="宋体" w:hAnsi="宋体" w:eastAsia="宋体" w:cs="宋体"/>
          <w:b/>
          <w:spacing w:val="-6"/>
          <w:szCs w:val="21"/>
        </w:rPr>
        <w:t>（</w:t>
      </w:r>
      <w:r>
        <w:rPr>
          <w:rFonts w:ascii="宋体" w:hAnsi="宋体" w:eastAsia="宋体" w:cs="宋体"/>
          <w:b/>
          <w:spacing w:val="-6"/>
          <w:szCs w:val="21"/>
        </w:rPr>
        <w:t>3</w:t>
      </w:r>
      <w:r>
        <w:rPr>
          <w:rFonts w:hint="eastAsia" w:ascii="宋体" w:hAnsi="宋体" w:eastAsia="宋体" w:cs="宋体"/>
          <w:b/>
          <w:spacing w:val="-6"/>
          <w:szCs w:val="21"/>
        </w:rPr>
        <w:t>）属于监狱企业的证明文件（若属于监狱企业）</w:t>
      </w:r>
    </w:p>
    <w:p w14:paraId="5783959E">
      <w:pPr>
        <w:adjustRightInd w:val="0"/>
        <w:snapToGrid w:val="0"/>
        <w:spacing w:line="288" w:lineRule="auto"/>
        <w:rPr>
          <w:rFonts w:hint="eastAsia" w:ascii="宋体" w:hAnsi="宋体" w:eastAsia="宋体" w:cs="宋体"/>
          <w:color w:val="000000"/>
          <w:kern w:val="0"/>
          <w:szCs w:val="21"/>
        </w:rPr>
      </w:pPr>
    </w:p>
    <w:p w14:paraId="6E0FAEAE">
      <w:pPr>
        <w:adjustRightInd w:val="0"/>
        <w:snapToGrid w:val="0"/>
        <w:spacing w:line="288" w:lineRule="auto"/>
        <w:ind w:firstLine="373" w:firstLineChars="177"/>
        <w:rPr>
          <w:rFonts w:hint="eastAsia" w:ascii="宋体" w:hAnsi="宋体" w:eastAsia="宋体"/>
          <w:b/>
          <w:bCs/>
          <w:szCs w:val="21"/>
        </w:rPr>
      </w:pPr>
      <w:r>
        <w:rPr>
          <w:rFonts w:hint="eastAsia" w:ascii="宋体" w:hAnsi="宋体" w:eastAsia="宋体" w:cs="宋体"/>
          <w:b/>
          <w:bCs/>
          <w:color w:val="000000"/>
          <w:kern w:val="0"/>
          <w:szCs w:val="21"/>
        </w:rPr>
        <w:t>监狱企业参加政府采购活动时，应当提供由省级以上监狱管理局、戒毒管理局（含新疆生产建设兵团）出具的属于监狱企业的证明文件。</w:t>
      </w:r>
    </w:p>
    <w:p w14:paraId="6AAD32B5">
      <w:pPr>
        <w:adjustRightInd w:val="0"/>
        <w:snapToGrid w:val="0"/>
        <w:spacing w:line="288" w:lineRule="auto"/>
        <w:rPr>
          <w:rFonts w:hint="eastAsia" w:ascii="宋体" w:hAnsi="宋体" w:eastAsia="宋体"/>
          <w:szCs w:val="21"/>
        </w:rPr>
      </w:pPr>
    </w:p>
    <w:p w14:paraId="117F405E">
      <w:pPr>
        <w:adjustRightInd w:val="0"/>
        <w:snapToGrid w:val="0"/>
        <w:spacing w:line="288" w:lineRule="auto"/>
        <w:rPr>
          <w:rFonts w:hint="eastAsia" w:ascii="宋体" w:hAnsi="宋体" w:eastAsia="宋体"/>
          <w:b/>
          <w:bCs/>
          <w:szCs w:val="21"/>
        </w:rPr>
      </w:pPr>
      <w:r>
        <w:rPr>
          <w:rFonts w:hint="eastAsia" w:ascii="宋体" w:hAnsi="宋体" w:eastAsia="宋体"/>
          <w:b/>
          <w:bCs/>
          <w:szCs w:val="21"/>
        </w:rPr>
        <w:t>说明：</w:t>
      </w:r>
    </w:p>
    <w:p w14:paraId="59D51E3A">
      <w:pPr>
        <w:widowControl/>
        <w:shd w:val="clear" w:color="auto" w:fill="FFFFFF"/>
        <w:adjustRightInd w:val="0"/>
        <w:snapToGrid w:val="0"/>
        <w:spacing w:line="288" w:lineRule="auto"/>
        <w:ind w:firstLine="371" w:firstLineChars="177"/>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FF58D3B">
      <w:pPr>
        <w:widowControl/>
        <w:shd w:val="clear" w:color="auto" w:fill="FFFFFF"/>
        <w:adjustRightInd w:val="0"/>
        <w:snapToGrid w:val="0"/>
        <w:spacing w:line="288" w:lineRule="auto"/>
        <w:ind w:firstLine="371" w:firstLineChars="177"/>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二、在政府采购活动中，监狱企业视同小型、微型企业，享受预留份额、评审中价格扣除等政府采购促进中小企业发展的政府采购政策。</w:t>
      </w:r>
    </w:p>
    <w:p w14:paraId="6A37FB6E">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00B5937D">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）残疾人福利性单位声明函（若属于残疾人福利性单位）</w:t>
      </w:r>
    </w:p>
    <w:p w14:paraId="50E7E4CC">
      <w:pPr>
        <w:adjustRightInd w:val="0"/>
        <w:snapToGrid w:val="0"/>
        <w:spacing w:line="288" w:lineRule="auto"/>
        <w:rPr>
          <w:rFonts w:hint="eastAsia" w:ascii="宋体" w:hAnsi="宋体" w:eastAsia="宋体" w:cs="Times New Roman"/>
          <w:b/>
          <w:spacing w:val="6"/>
          <w:szCs w:val="21"/>
        </w:rPr>
      </w:pPr>
    </w:p>
    <w:p w14:paraId="6B413D66">
      <w:pPr>
        <w:adjustRightInd w:val="0"/>
        <w:snapToGrid w:val="0"/>
        <w:spacing w:line="288" w:lineRule="auto"/>
        <w:ind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本单位郑重声明，根据《财政部 民政部 中国残疾人联合会关于促进残疾人就业政府采购政策的通知》（财库</w:t>
      </w:r>
      <w:r>
        <w:rPr>
          <w:rFonts w:hint="eastAsia" w:ascii="宋体" w:hAnsi="宋体" w:eastAsia="宋体" w:cs="Times New Roman"/>
          <w:szCs w:val="21"/>
        </w:rPr>
        <w:t>〔2017〕 141</w:t>
      </w:r>
      <w:r>
        <w:rPr>
          <w:rFonts w:hint="eastAsia" w:ascii="宋体" w:hAnsi="宋体" w:eastAsia="宋体" w:cs="Times New Roman"/>
          <w:spacing w:val="6"/>
          <w:szCs w:val="21"/>
        </w:rPr>
        <w:t>号）的规定，</w:t>
      </w:r>
      <w:r>
        <w:rPr>
          <w:rFonts w:hint="eastAsia" w:ascii="宋体" w:hAnsi="宋体" w:eastAsia="宋体" w:cs="Times New Roman"/>
          <w:b/>
          <w:bCs/>
          <w:spacing w:val="6"/>
          <w:szCs w:val="21"/>
        </w:rPr>
        <w:t>本单位为符合条件的残疾人福利性单位</w:t>
      </w:r>
      <w:r>
        <w:rPr>
          <w:rFonts w:hint="eastAsia" w:ascii="宋体" w:hAnsi="宋体" w:eastAsia="宋体" w:cs="Times New Roman"/>
          <w:spacing w:val="6"/>
          <w:szCs w:val="21"/>
        </w:rPr>
        <w:t>，且本单位参加______（采购人）单位的______（项目名称）项目采购活动提供本单位制造的货物（由本单位承担工程/提供服务），或者提供其他残疾人福利性单位制造的货物（不包括使用非残疾人福利性单位注册商标的货物）。</w:t>
      </w:r>
    </w:p>
    <w:p w14:paraId="40DD6ED0">
      <w:pPr>
        <w:adjustRightInd w:val="0"/>
        <w:snapToGrid w:val="0"/>
        <w:spacing w:line="288" w:lineRule="auto"/>
        <w:ind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本单位对上述声明的真实性负责。如有虚假，将依法承担相应责任。</w:t>
      </w:r>
    </w:p>
    <w:p w14:paraId="09F0E5AD">
      <w:pPr>
        <w:tabs>
          <w:tab w:val="left" w:pos="4860"/>
        </w:tabs>
        <w:adjustRightInd w:val="0"/>
        <w:snapToGrid w:val="0"/>
        <w:spacing w:line="288" w:lineRule="auto"/>
        <w:ind w:right="1560"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单位名称（盖章）：</w:t>
      </w:r>
    </w:p>
    <w:p w14:paraId="79A7D597">
      <w:pPr>
        <w:tabs>
          <w:tab w:val="left" w:pos="4860"/>
        </w:tabs>
        <w:adjustRightInd w:val="0"/>
        <w:snapToGrid w:val="0"/>
        <w:spacing w:line="288" w:lineRule="auto"/>
        <w:ind w:right="1560"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日  期：</w:t>
      </w:r>
    </w:p>
    <w:p w14:paraId="36BA0774">
      <w:pPr>
        <w:adjustRightInd w:val="0"/>
        <w:snapToGrid w:val="0"/>
        <w:spacing w:line="288" w:lineRule="auto"/>
        <w:rPr>
          <w:rFonts w:hint="eastAsia" w:ascii="宋体" w:hAnsi="宋体" w:eastAsia="宋体"/>
          <w:szCs w:val="21"/>
        </w:rPr>
      </w:pPr>
    </w:p>
    <w:p w14:paraId="19BCC1E3">
      <w:pPr>
        <w:adjustRightInd w:val="0"/>
        <w:snapToGrid w:val="0"/>
        <w:spacing w:line="288" w:lineRule="auto"/>
        <w:rPr>
          <w:rFonts w:hint="eastAsia" w:ascii="宋体" w:hAnsi="宋体" w:eastAsia="宋体"/>
          <w:b/>
          <w:bCs/>
          <w:szCs w:val="21"/>
        </w:rPr>
      </w:pPr>
      <w:r>
        <w:rPr>
          <w:rFonts w:hint="eastAsia" w:ascii="宋体" w:hAnsi="宋体" w:eastAsia="宋体"/>
          <w:b/>
          <w:bCs/>
          <w:szCs w:val="21"/>
        </w:rPr>
        <w:t>说明：</w:t>
      </w:r>
    </w:p>
    <w:p w14:paraId="7966E5A5">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一、享受政府采购支持政策的残疾人福利性单位应当同时满足以下条件：</w:t>
      </w:r>
    </w:p>
    <w:p w14:paraId="7B84F661">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（一）安置的残疾人占本单位在职职工人数的比例不低于25%（含25%），并且安置的残疾人人数不少于10人（含10人）；</w:t>
      </w:r>
    </w:p>
    <w:p w14:paraId="36ECE8CA">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（二）依法与安置的每位残疾人签订了一年以上（含一年）的劳动合同或服务协议；</w:t>
      </w:r>
    </w:p>
    <w:p w14:paraId="39AB6978">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（三）为安置的每位残疾人按月足额缴纳了基本养老保险、基本医疗保险、失业保险、工伤保险和生育保险等社会保险费；</w:t>
      </w:r>
    </w:p>
    <w:p w14:paraId="7FFA037F">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（四）通过银行等金融机构向安置的每位残疾人，按月支付了不低于单位所在区县适用的经省级人民政府批准的月最低工资标准的工资；</w:t>
      </w:r>
    </w:p>
    <w:p w14:paraId="35651659">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（五）提供本单位制造的货物、承担的工程或者服务（以下简称产品），或者提供其他残疾人福利性单位制造的货物（不包括使用非残疾人福利性单位注册商标的货物）。</w:t>
      </w:r>
    </w:p>
    <w:p w14:paraId="02172DE0">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E47A02C">
      <w:pPr>
        <w:pStyle w:val="20"/>
        <w:shd w:val="clear" w:color="auto" w:fill="FFFFFF"/>
        <w:adjustRightInd w:val="0"/>
        <w:snapToGrid w:val="0"/>
        <w:spacing w:before="0" w:beforeAutospacing="0" w:after="0" w:afterAutospacing="0" w:line="288" w:lineRule="auto"/>
        <w:ind w:firstLine="371" w:firstLineChars="177"/>
        <w:rPr>
          <w:rFonts w:hint="eastAsia"/>
          <w:color w:val="FF0000"/>
          <w:sz w:val="21"/>
          <w:szCs w:val="21"/>
        </w:rPr>
      </w:pPr>
      <w:r>
        <w:rPr>
          <w:rFonts w:hint="eastAsia"/>
          <w:color w:val="000000"/>
          <w:sz w:val="21"/>
          <w:szCs w:val="21"/>
        </w:rPr>
        <w:t>二、符合条件的残疾人福利性单位在参加政府采购活动时，应当提供</w:t>
      </w:r>
      <w:r>
        <w:rPr>
          <w:rFonts w:hint="eastAsia"/>
          <w:sz w:val="21"/>
          <w:szCs w:val="21"/>
        </w:rPr>
        <w:t>财库</w:t>
      </w:r>
      <w:r>
        <w:rPr>
          <w:sz w:val="21"/>
          <w:szCs w:val="21"/>
        </w:rPr>
        <w:t>[2017]141号</w:t>
      </w:r>
      <w:r>
        <w:rPr>
          <w:rFonts w:hint="eastAsia"/>
          <w:sz w:val="21"/>
          <w:szCs w:val="21"/>
        </w:rPr>
        <w:t>文件</w:t>
      </w:r>
      <w:r>
        <w:rPr>
          <w:rFonts w:hint="eastAsia"/>
          <w:color w:val="000000"/>
          <w:sz w:val="21"/>
          <w:szCs w:val="21"/>
        </w:rPr>
        <w:t>规定的《残疾人福利性单位声明函》</w:t>
      </w:r>
      <w:r>
        <w:rPr>
          <w:rFonts w:hint="eastAsia"/>
          <w:sz w:val="21"/>
          <w:szCs w:val="21"/>
        </w:rPr>
        <w:t>，并对声明的真实性负责。</w:t>
      </w:r>
    </w:p>
    <w:p w14:paraId="2CD8A1DD">
      <w:pPr>
        <w:pStyle w:val="20"/>
        <w:shd w:val="clear" w:color="auto" w:fill="FFFFFF"/>
        <w:adjustRightInd w:val="0"/>
        <w:snapToGrid w:val="0"/>
        <w:spacing w:before="0" w:beforeAutospacing="0" w:after="0" w:afterAutospacing="0" w:line="288" w:lineRule="auto"/>
        <w:ind w:firstLine="371" w:firstLineChars="177"/>
        <w:rPr>
          <w:rFonts w:hint="eastAsia"/>
          <w:color w:val="FF0000"/>
          <w:sz w:val="21"/>
          <w:szCs w:val="21"/>
        </w:rPr>
      </w:pPr>
      <w:r>
        <w:rPr>
          <w:rFonts w:hint="eastAsia"/>
          <w:color w:val="000000"/>
          <w:sz w:val="21"/>
          <w:szCs w:val="21"/>
        </w:rPr>
        <w:t>三、在政府采购活动中，残疾人福利性单位视同小型、微型企业，享受预留份额、评审中价格扣除等促进中小企业发展的政府采购政策。</w:t>
      </w:r>
    </w:p>
    <w:p w14:paraId="0DC658A8">
      <w:pPr>
        <w:pStyle w:val="20"/>
        <w:shd w:val="clear" w:color="auto" w:fill="FFFFFF"/>
        <w:adjustRightInd w:val="0"/>
        <w:snapToGrid w:val="0"/>
        <w:spacing w:before="0" w:beforeAutospacing="0" w:after="0" w:afterAutospacing="0" w:line="288" w:lineRule="auto"/>
        <w:ind w:firstLine="371" w:firstLineChars="177"/>
        <w:rPr>
          <w:rFonts w:hint="eastAsia"/>
          <w:sz w:val="21"/>
          <w:szCs w:val="21"/>
        </w:rPr>
      </w:pPr>
      <w:r>
        <w:rPr>
          <w:rFonts w:hint="eastAsia"/>
          <w:sz w:val="21"/>
          <w:szCs w:val="21"/>
        </w:rPr>
        <w:t>残疾人福利性单位属于小型、微型企业的，不重复享受政策。</w:t>
      </w:r>
    </w:p>
    <w:p w14:paraId="0D43CF72">
      <w:pPr>
        <w:widowControl/>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7D79F48B">
      <w:pPr>
        <w:adjustRightInd w:val="0"/>
        <w:snapToGrid w:val="0"/>
        <w:spacing w:line="288" w:lineRule="auto"/>
        <w:outlineLvl w:val="2"/>
        <w:rPr>
          <w:rFonts w:hint="eastAsia" w:ascii="宋体" w:hAnsi="宋体" w:eastAsia="宋体" w:cs="Times New Roman"/>
          <w:b/>
          <w:bCs/>
          <w:szCs w:val="21"/>
        </w:rPr>
      </w:pPr>
      <w:r>
        <w:rPr>
          <w:rFonts w:hint="eastAsia" w:ascii="宋体" w:hAnsi="宋体" w:eastAsia="宋体" w:cs="Times New Roman"/>
          <w:b/>
          <w:spacing w:val="-6"/>
          <w:szCs w:val="21"/>
        </w:rPr>
        <w:t>附件1：</w:t>
      </w:r>
      <w:r>
        <w:rPr>
          <w:rFonts w:hint="eastAsia" w:ascii="宋体" w:hAnsi="宋体" w:eastAsia="宋体" w:cs="Times New Roman"/>
          <w:b/>
          <w:bCs/>
          <w:szCs w:val="21"/>
        </w:rPr>
        <w:t>业务专用章使用说明函</w:t>
      </w:r>
    </w:p>
    <w:p w14:paraId="4AA7782C">
      <w:pPr>
        <w:snapToGrid w:val="0"/>
        <w:spacing w:line="288" w:lineRule="auto"/>
        <w:rPr>
          <w:rFonts w:hint="eastAsia" w:ascii="宋体" w:hAnsi="宋体" w:eastAsia="宋体" w:cs="仿宋_GB2312"/>
          <w:szCs w:val="21"/>
          <w:u w:val="single"/>
        </w:rPr>
      </w:pPr>
    </w:p>
    <w:p w14:paraId="15BA1D9B">
      <w:pPr>
        <w:snapToGrid w:val="0"/>
        <w:spacing w:line="288" w:lineRule="auto"/>
        <w:rPr>
          <w:rFonts w:hint="eastAsia" w:ascii="宋体" w:hAnsi="宋体" w:eastAsia="宋体" w:cs="Times New Roman"/>
          <w:szCs w:val="21"/>
        </w:rPr>
      </w:pPr>
      <w:r>
        <w:rPr>
          <w:rFonts w:hint="eastAsia" w:ascii="宋体" w:hAnsi="宋体" w:eastAsia="宋体" w:cs="仿宋_GB2312"/>
          <w:szCs w:val="21"/>
          <w:u w:val="single"/>
        </w:rPr>
        <w:t>（采购人）、（采购代理机构）</w:t>
      </w:r>
    </w:p>
    <w:p w14:paraId="200E932F">
      <w:pPr>
        <w:snapToGrid w:val="0"/>
        <w:spacing w:line="288" w:lineRule="auto"/>
        <w:ind w:firstLine="424" w:firstLineChars="202"/>
        <w:rPr>
          <w:rFonts w:hint="eastAsia" w:ascii="宋体" w:hAnsi="宋体" w:eastAsia="宋体" w:cs="宋体"/>
          <w:szCs w:val="21"/>
        </w:rPr>
      </w:pPr>
      <w:r>
        <w:rPr>
          <w:rFonts w:hint="eastAsia" w:ascii="宋体" w:hAnsi="宋体" w:eastAsia="宋体" w:cs="仿宋_GB2312"/>
          <w:kern w:val="0"/>
          <w:szCs w:val="21"/>
          <w:lang w:val="zh-CN"/>
        </w:rPr>
        <w:t>我方</w:t>
      </w:r>
      <w:r>
        <w:rPr>
          <w:rFonts w:ascii="宋体" w:hAnsi="宋体" w:eastAsia="宋体" w:cs="仿宋_GB2312"/>
          <w:kern w:val="0"/>
          <w:szCs w:val="21"/>
          <w:u w:val="single"/>
          <w:lang w:val="zh-CN"/>
        </w:rPr>
        <w:t xml:space="preserve">                         </w:t>
      </w:r>
      <w:r>
        <w:rPr>
          <w:rFonts w:ascii="宋体" w:hAnsi="宋体" w:eastAsia="宋体" w:cs="仿宋_GB2312"/>
          <w:szCs w:val="21"/>
        </w:rPr>
        <w:t>(</w:t>
      </w:r>
      <w:r>
        <w:rPr>
          <w:rFonts w:hint="eastAsia" w:ascii="宋体" w:hAnsi="宋体" w:eastAsia="宋体" w:cs="仿宋_GB2312"/>
          <w:szCs w:val="21"/>
        </w:rPr>
        <w:t>供应商</w:t>
      </w:r>
      <w:r>
        <w:rPr>
          <w:rFonts w:ascii="宋体" w:hAnsi="宋体" w:eastAsia="宋体" w:cs="仿宋_GB2312"/>
          <w:szCs w:val="21"/>
        </w:rPr>
        <w:t>全称)</w:t>
      </w:r>
      <w:r>
        <w:rPr>
          <w:rFonts w:hint="eastAsia" w:ascii="宋体" w:hAnsi="宋体" w:eastAsia="宋体" w:cs="Times New Roman"/>
          <w:szCs w:val="21"/>
        </w:rPr>
        <w:t>是中华人民共和国依法登记注册的合法企业，</w:t>
      </w:r>
      <w:r>
        <w:rPr>
          <w:rFonts w:hint="eastAsia" w:ascii="宋体" w:hAnsi="宋体" w:eastAsia="宋体" w:cs="宋体"/>
          <w:bCs/>
          <w:szCs w:val="21"/>
        </w:rPr>
        <w:t>在参加</w:t>
      </w:r>
      <w:r>
        <w:rPr>
          <w:rFonts w:hint="eastAsia" w:ascii="宋体" w:hAnsi="宋体" w:eastAsia="宋体" w:cs="仿宋_GB2312"/>
          <w:szCs w:val="21"/>
        </w:rPr>
        <w:t>你方组织的</w:t>
      </w:r>
      <w:r>
        <w:rPr>
          <w:rFonts w:hint="eastAsia" w:ascii="宋体" w:hAnsi="宋体" w:eastAsia="宋体" w:cs="仿宋_GB2312"/>
          <w:szCs w:val="21"/>
          <w:u w:val="single"/>
        </w:rPr>
        <w:t>（项目名称）</w:t>
      </w:r>
      <w:r>
        <w:rPr>
          <w:rFonts w:hint="eastAsia" w:ascii="宋体" w:hAnsi="宋体" w:eastAsia="宋体" w:cs="仿宋_GB2312"/>
          <w:szCs w:val="21"/>
        </w:rPr>
        <w:t>项目</w:t>
      </w:r>
      <w:r>
        <w:rPr>
          <w:rFonts w:hint="eastAsia" w:ascii="宋体" w:hAnsi="宋体" w:eastAsia="宋体" w:cs="仿宋_GB2312"/>
          <w:szCs w:val="21"/>
          <w:u w:val="single"/>
        </w:rPr>
        <w:t>（项目编号）</w:t>
      </w:r>
      <w:r>
        <w:rPr>
          <w:rFonts w:hint="eastAsia" w:ascii="宋体" w:hAnsi="宋体" w:eastAsia="宋体" w:cs="宋体"/>
          <w:bCs/>
          <w:szCs w:val="21"/>
        </w:rPr>
        <w:t>投标（响应）活动中作如下说明：</w:t>
      </w:r>
      <w:r>
        <w:rPr>
          <w:rFonts w:hint="eastAsia" w:ascii="宋体" w:hAnsi="宋体" w:eastAsia="宋体" w:cs="宋体"/>
          <w:szCs w:val="21"/>
        </w:rPr>
        <w:t>我方所使用的</w:t>
      </w:r>
      <w:r>
        <w:rPr>
          <w:rFonts w:hint="eastAsia" w:ascii="宋体" w:hAnsi="宋体" w:eastAsia="宋体" w:cs="宋体"/>
          <w:szCs w:val="21"/>
          <w:u w:val="single"/>
        </w:rPr>
        <w:t>“</w:t>
      </w:r>
      <w:r>
        <w:rPr>
          <w:rFonts w:ascii="宋体" w:hAnsi="宋体" w:eastAsia="宋体" w:cs="仿宋_GB2312"/>
          <w:szCs w:val="21"/>
          <w:u w:val="single"/>
        </w:rPr>
        <w:t>XX</w:t>
      </w:r>
      <w:r>
        <w:rPr>
          <w:rFonts w:hint="eastAsia" w:ascii="宋体" w:hAnsi="宋体" w:eastAsia="宋体" w:cs="宋体"/>
          <w:szCs w:val="21"/>
          <w:u w:val="single"/>
        </w:rPr>
        <w:t>专用章”</w:t>
      </w:r>
      <w:r>
        <w:rPr>
          <w:rFonts w:hint="eastAsia" w:ascii="宋体" w:hAnsi="宋体" w:eastAsia="宋体" w:cs="宋体"/>
          <w:szCs w:val="21"/>
        </w:rPr>
        <w:t>与法定名称章具有同等的法律效力，对使用</w:t>
      </w:r>
      <w:r>
        <w:rPr>
          <w:rFonts w:hint="eastAsia" w:ascii="宋体" w:hAnsi="宋体" w:eastAsia="宋体" w:cs="宋体"/>
          <w:szCs w:val="21"/>
          <w:u w:val="single"/>
        </w:rPr>
        <w:t>“</w:t>
      </w:r>
      <w:r>
        <w:rPr>
          <w:rFonts w:ascii="宋体" w:hAnsi="宋体" w:eastAsia="宋体" w:cs="仿宋_GB2312"/>
          <w:szCs w:val="21"/>
          <w:u w:val="single"/>
        </w:rPr>
        <w:t>XX</w:t>
      </w:r>
      <w:r>
        <w:rPr>
          <w:rFonts w:hint="eastAsia" w:ascii="宋体" w:hAnsi="宋体" w:eastAsia="宋体" w:cs="宋体"/>
          <w:szCs w:val="21"/>
          <w:u w:val="single"/>
        </w:rPr>
        <w:t>专用章”</w:t>
      </w:r>
      <w:r>
        <w:rPr>
          <w:rFonts w:hint="eastAsia" w:ascii="宋体" w:hAnsi="宋体" w:eastAsia="宋体" w:cs="宋体"/>
          <w:szCs w:val="21"/>
        </w:rPr>
        <w:t>的行为予以完全承认，并愿意承担相应责任。</w:t>
      </w:r>
    </w:p>
    <w:p w14:paraId="6A313DAD">
      <w:pPr>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特此说明。</w:t>
      </w:r>
    </w:p>
    <w:p w14:paraId="7E17FA40">
      <w:pPr>
        <w:snapToGrid w:val="0"/>
        <w:spacing w:line="288" w:lineRule="auto"/>
        <w:ind w:right="480" w:firstLine="424" w:firstLineChars="202"/>
        <w:rPr>
          <w:rFonts w:hint="eastAsia" w:ascii="宋体" w:hAnsi="宋体" w:eastAsia="宋体" w:cs="宋体"/>
          <w:szCs w:val="21"/>
        </w:rPr>
      </w:pPr>
      <w:r>
        <w:rPr>
          <w:rFonts w:hint="eastAsia" w:ascii="宋体" w:hAnsi="宋体" w:eastAsia="宋体" w:cs="宋体"/>
          <w:szCs w:val="21"/>
        </w:rPr>
        <w:t>供应商（法定名称章）：</w:t>
      </w:r>
    </w:p>
    <w:p w14:paraId="78E8525F">
      <w:pPr>
        <w:snapToGrid w:val="0"/>
        <w:spacing w:line="288" w:lineRule="auto"/>
        <w:ind w:right="1440" w:firstLine="424" w:firstLineChars="202"/>
        <w:rPr>
          <w:rFonts w:hint="eastAsia" w:ascii="宋体" w:hAnsi="宋体" w:eastAsia="宋体" w:cs="宋体"/>
          <w:szCs w:val="21"/>
        </w:rPr>
      </w:pPr>
      <w:r>
        <w:rPr>
          <w:rFonts w:ascii="宋体" w:hAnsi="宋体" w:eastAsia="宋体" w:cs="宋体"/>
          <w:szCs w:val="21"/>
        </w:rPr>
        <w:t>日期：       年     月     日</w:t>
      </w:r>
    </w:p>
    <w:p w14:paraId="03AD00B9">
      <w:pPr>
        <w:snapToGrid w:val="0"/>
        <w:spacing w:line="288" w:lineRule="auto"/>
        <w:rPr>
          <w:rFonts w:hint="eastAsia" w:ascii="宋体" w:hAnsi="宋体" w:eastAsia="宋体" w:cs="宋体"/>
          <w:b/>
          <w:bCs/>
          <w:szCs w:val="21"/>
        </w:rPr>
      </w:pPr>
    </w:p>
    <w:p w14:paraId="1F017693">
      <w:pPr>
        <w:snapToGrid w:val="0"/>
        <w:spacing w:line="288" w:lineRule="auto"/>
        <w:rPr>
          <w:rFonts w:hint="eastAsia" w:ascii="宋体" w:hAnsi="宋体" w:eastAsia="宋体" w:cs="宋体"/>
          <w:szCs w:val="21"/>
        </w:rPr>
      </w:pPr>
      <w:r>
        <w:rPr>
          <w:rFonts w:hint="eastAsia" w:ascii="宋体" w:hAnsi="宋体" w:eastAsia="宋体" w:cs="宋体"/>
          <w:b/>
          <w:bCs/>
          <w:szCs w:val="21"/>
        </w:rPr>
        <w:t>附：</w:t>
      </w:r>
      <w:r>
        <w:rPr>
          <w:rFonts w:hint="eastAsia" w:ascii="宋体" w:hAnsi="宋体" w:eastAsia="宋体" w:cs="宋体"/>
          <w:szCs w:val="21"/>
        </w:rPr>
        <w:t>供应商法定名称章（印模）</w:t>
      </w:r>
      <w:r>
        <w:rPr>
          <w:rFonts w:ascii="宋体" w:hAnsi="宋体" w:eastAsia="宋体" w:cs="宋体"/>
          <w:szCs w:val="21"/>
        </w:rPr>
        <w:t xml:space="preserve">                </w:t>
      </w:r>
      <w:r>
        <w:rPr>
          <w:rFonts w:hint="eastAsia" w:ascii="宋体" w:hAnsi="宋体" w:eastAsia="宋体" w:cs="宋体"/>
          <w:szCs w:val="21"/>
        </w:rPr>
        <w:t>供应商“</w:t>
      </w:r>
      <w:r>
        <w:rPr>
          <w:rFonts w:ascii="宋体" w:hAnsi="宋体" w:eastAsia="宋体" w:cs="仿宋_GB2312"/>
          <w:szCs w:val="21"/>
        </w:rPr>
        <w:t>XX</w:t>
      </w:r>
      <w:r>
        <w:rPr>
          <w:rFonts w:hint="eastAsia" w:ascii="宋体" w:hAnsi="宋体" w:eastAsia="宋体" w:cs="宋体"/>
          <w:szCs w:val="21"/>
        </w:rPr>
        <w:t>专用章”（印模）</w:t>
      </w:r>
    </w:p>
    <w:p w14:paraId="162EB62E">
      <w:pPr>
        <w:snapToGrid w:val="0"/>
        <w:spacing w:line="288" w:lineRule="auto"/>
        <w:rPr>
          <w:rFonts w:hint="eastAsia" w:ascii="宋体" w:hAnsi="宋体" w:eastAsia="宋体" w:cs="宋体"/>
          <w:szCs w:val="21"/>
        </w:rPr>
      </w:pPr>
      <w:r>
        <w:rPr>
          <w:rFonts w:ascii="宋体" w:hAnsi="宋体" w:eastAsia="宋体" w:cs="Times New Roman"/>
          <w:b/>
          <w:bCs/>
          <w:szCs w:val="21"/>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ascii="宋体" w:hAnsi="宋体" w:eastAsia="宋体" w:cs="宋体"/>
          <w:szCs w:val="21"/>
        </w:rPr>
        <w:t xml:space="preserve"> </w:t>
      </w:r>
      <w:r>
        <w:rPr>
          <w:rFonts w:ascii="宋体" w:hAnsi="宋体" w:eastAsia="宋体" w:cs="Times New Roman"/>
          <w:b/>
          <w:bCs/>
          <w:szCs w:val="21"/>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190FAED9">
      <w:pPr>
        <w:widowControl/>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09B36DC9">
      <w:pPr>
        <w:snapToGrid w:val="0"/>
        <w:spacing w:line="288" w:lineRule="auto"/>
        <w:jc w:val="center"/>
        <w:outlineLvl w:val="2"/>
        <w:rPr>
          <w:rFonts w:hint="eastAsia" w:ascii="宋体" w:hAnsi="宋体" w:eastAsia="宋体" w:cs="仿宋_GB2312"/>
          <w:b/>
          <w:kern w:val="0"/>
          <w:szCs w:val="21"/>
          <w:lang w:val="zh-CN"/>
        </w:rPr>
      </w:pPr>
      <w:r>
        <w:rPr>
          <w:rFonts w:hint="eastAsia" w:ascii="宋体" w:hAnsi="宋体" w:eastAsia="宋体" w:cs="仿宋_GB2312"/>
          <w:b/>
          <w:kern w:val="0"/>
          <w:szCs w:val="21"/>
          <w:lang w:val="zh-CN"/>
        </w:rPr>
        <w:t>附件2</w:t>
      </w:r>
      <w:r>
        <w:rPr>
          <w:rFonts w:ascii="宋体" w:hAnsi="宋体" w:eastAsia="宋体" w:cs="仿宋_GB2312"/>
          <w:b/>
          <w:kern w:val="0"/>
          <w:szCs w:val="21"/>
          <w:lang w:val="zh-CN"/>
        </w:rPr>
        <w:t>：</w:t>
      </w:r>
      <w:r>
        <w:rPr>
          <w:rFonts w:hint="eastAsia" w:ascii="宋体" w:hAnsi="宋体" w:eastAsia="宋体" w:cs="仿宋_GB2312"/>
          <w:b/>
          <w:kern w:val="0"/>
          <w:szCs w:val="21"/>
          <w:lang w:val="zh-CN"/>
        </w:rPr>
        <w:t>联合协议</w:t>
      </w:r>
    </w:p>
    <w:p w14:paraId="43877F47">
      <w:pPr>
        <w:widowControl/>
        <w:snapToGrid w:val="0"/>
        <w:spacing w:line="288" w:lineRule="auto"/>
        <w:ind w:firstLine="424" w:firstLineChars="201"/>
        <w:jc w:val="left"/>
        <w:rPr>
          <w:rFonts w:hint="eastAsia" w:ascii="宋体" w:hAnsi="宋体" w:eastAsia="宋体" w:cs="仿宋_GB2312"/>
          <w:b/>
          <w:szCs w:val="21"/>
        </w:rPr>
      </w:pPr>
      <w:r>
        <w:rPr>
          <w:rFonts w:hint="eastAsia" w:ascii="宋体" w:hAnsi="宋体" w:eastAsia="宋体" w:cs="仿宋_GB2312"/>
          <w:b/>
          <w:szCs w:val="21"/>
        </w:rPr>
        <w:t>（以联合体形式投标的，提供联合协议；本项目不接受联合体投标或者投标人不以联合体形式投标的，则不需要提供）</w:t>
      </w:r>
    </w:p>
    <w:p w14:paraId="402A96AB">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u w:val="single"/>
        </w:rPr>
        <w:t>（联合体所有成员名称）</w:t>
      </w:r>
      <w:r>
        <w:rPr>
          <w:rFonts w:hint="eastAsia" w:ascii="宋体" w:hAnsi="宋体" w:eastAsia="宋体" w:cs="仿宋_GB2312"/>
          <w:kern w:val="0"/>
          <w:szCs w:val="21"/>
        </w:rPr>
        <w:t>自愿</w:t>
      </w:r>
      <w:r>
        <w:rPr>
          <w:rFonts w:hint="eastAsia" w:ascii="宋体" w:hAnsi="宋体" w:eastAsia="宋体" w:cs="仿宋_GB2312"/>
          <w:kern w:val="0"/>
          <w:szCs w:val="21"/>
          <w:lang w:val="zh-CN"/>
        </w:rPr>
        <w:t>组成一个联合体，以一个投标人的身份</w:t>
      </w:r>
      <w:r>
        <w:rPr>
          <w:rFonts w:hint="eastAsia" w:ascii="宋体" w:hAnsi="宋体" w:eastAsia="宋体" w:cs="仿宋_GB2312"/>
          <w:kern w:val="0"/>
          <w:szCs w:val="21"/>
        </w:rPr>
        <w:t>参加</w:t>
      </w:r>
      <w:r>
        <w:rPr>
          <w:rFonts w:hint="eastAsia" w:ascii="宋体" w:hAnsi="宋体" w:eastAsia="宋体" w:cs="仿宋_GB2312"/>
          <w:szCs w:val="21"/>
        </w:rPr>
        <w:t>（项目名称）【招标编号：</w:t>
      </w:r>
      <w:r>
        <w:rPr>
          <w:rFonts w:hint="eastAsia" w:ascii="宋体" w:hAnsi="宋体" w:eastAsia="宋体" w:cs="Times New Roman"/>
          <w:szCs w:val="21"/>
        </w:rPr>
        <w:t>（采购编号）</w:t>
      </w:r>
      <w:r>
        <w:rPr>
          <w:rFonts w:hint="eastAsia" w:ascii="宋体" w:hAnsi="宋体" w:eastAsia="宋体" w:cs="仿宋_GB2312"/>
          <w:szCs w:val="21"/>
        </w:rPr>
        <w:t>】</w:t>
      </w:r>
      <w:r>
        <w:rPr>
          <w:rFonts w:hint="eastAsia" w:ascii="宋体" w:hAnsi="宋体" w:eastAsia="宋体" w:cs="仿宋_GB2312"/>
          <w:kern w:val="0"/>
          <w:szCs w:val="21"/>
          <w:lang w:val="zh-CN"/>
        </w:rPr>
        <w:t>投标。</w:t>
      </w:r>
      <w:r>
        <w:rPr>
          <w:rFonts w:ascii="宋体" w:hAnsi="宋体" w:eastAsia="宋体" w:cs="仿宋_GB2312"/>
          <w:kern w:val="0"/>
          <w:szCs w:val="21"/>
          <w:lang w:val="zh-CN"/>
        </w:rPr>
        <w:t xml:space="preserve"> </w:t>
      </w:r>
    </w:p>
    <w:p w14:paraId="3CE2E9B9">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一、各方一致决定，</w:t>
      </w:r>
      <w:r>
        <w:rPr>
          <w:rFonts w:hint="eastAsia" w:ascii="宋体" w:hAnsi="宋体" w:eastAsia="宋体" w:cs="仿宋_GB2312"/>
          <w:kern w:val="0"/>
          <w:szCs w:val="21"/>
          <w:u w:val="single"/>
        </w:rPr>
        <w:t>（某联合体成员名称）</w:t>
      </w:r>
      <w:r>
        <w:rPr>
          <w:rFonts w:hint="eastAsia" w:ascii="宋体" w:hAnsi="宋体" w:eastAsia="宋体" w:cs="仿宋_GB2312"/>
          <w:kern w:val="0"/>
          <w:szCs w:val="21"/>
        </w:rPr>
        <w:t>为联合体</w:t>
      </w:r>
      <w:r>
        <w:rPr>
          <w:rFonts w:hint="eastAsia" w:ascii="宋体" w:hAnsi="宋体" w:eastAsia="宋体" w:cs="仿宋_GB2312"/>
          <w:kern w:val="0"/>
          <w:szCs w:val="21"/>
          <w:lang w:val="zh-CN"/>
        </w:rPr>
        <w:t>牵头人</w:t>
      </w:r>
      <w:r>
        <w:rPr>
          <w:rFonts w:hint="eastAsia" w:ascii="宋体" w:hAnsi="宋体" w:eastAsia="宋体" w:cs="Arial"/>
          <w:szCs w:val="21"/>
        </w:rPr>
        <w:t>，代表所有联合体成员负责投标和合同实施阶段的主办、协调工作</w:t>
      </w:r>
      <w:r>
        <w:rPr>
          <w:rFonts w:hint="eastAsia" w:ascii="宋体" w:hAnsi="宋体" w:eastAsia="宋体" w:cs="仿宋_GB2312"/>
          <w:kern w:val="0"/>
          <w:szCs w:val="21"/>
          <w:lang w:val="zh-CN"/>
        </w:rPr>
        <w:t>。</w:t>
      </w:r>
    </w:p>
    <w:p w14:paraId="682D429C">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二、</w:t>
      </w:r>
      <w:r>
        <w:rPr>
          <w:rFonts w:hint="eastAsia" w:ascii="宋体" w:hAnsi="宋体" w:eastAsia="宋体" w:cs="Arial"/>
          <w:szCs w:val="21"/>
        </w:rPr>
        <w:t>所有联合体成员各方签署授权书，授权书载明的</w:t>
      </w:r>
      <w:r>
        <w:rPr>
          <w:rFonts w:hint="eastAsia" w:ascii="宋体" w:hAnsi="宋体" w:eastAsia="宋体" w:cs="仿宋_GB2312"/>
          <w:kern w:val="0"/>
          <w:szCs w:val="21"/>
          <w:lang w:val="zh-CN"/>
        </w:rPr>
        <w:t>授权代表根据招标文件规定及投标内容而对采购人、采购代理机构所作的任何合法承诺，包括书面澄清及</w:t>
      </w:r>
      <w:r>
        <w:rPr>
          <w:rFonts w:hint="eastAsia" w:ascii="宋体" w:hAnsi="宋体" w:eastAsia="宋体" w:cs="仿宋_GB2312"/>
          <w:kern w:val="0"/>
          <w:szCs w:val="21"/>
        </w:rPr>
        <w:t>响应</w:t>
      </w:r>
      <w:r>
        <w:rPr>
          <w:rFonts w:hint="eastAsia" w:ascii="宋体" w:hAnsi="宋体" w:eastAsia="宋体" w:cs="仿宋_GB2312"/>
          <w:kern w:val="0"/>
          <w:szCs w:val="21"/>
          <w:lang w:val="zh-CN"/>
        </w:rPr>
        <w:t>等均对联合投标各方产生约束力。</w:t>
      </w:r>
    </w:p>
    <w:p w14:paraId="2B6143CC">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三、本次联合投标中，分工如下：</w:t>
      </w:r>
      <w:r>
        <w:rPr>
          <w:rFonts w:hint="eastAsia" w:ascii="宋体" w:hAnsi="宋体" w:eastAsia="宋体" w:cs="仿宋_GB2312"/>
          <w:kern w:val="0"/>
          <w:szCs w:val="21"/>
          <w:u w:val="single"/>
        </w:rPr>
        <w:t>（联合体其中一方成员名称）</w:t>
      </w:r>
      <w:r>
        <w:rPr>
          <w:rFonts w:hint="eastAsia" w:ascii="宋体" w:hAnsi="宋体" w:eastAsia="宋体" w:cs="仿宋_GB2312"/>
          <w:kern w:val="0"/>
          <w:szCs w:val="21"/>
          <w:lang w:val="zh-CN"/>
        </w:rPr>
        <w:t>承担的工作和义务为：</w:t>
      </w:r>
      <w:r>
        <w:rPr>
          <w:rFonts w:ascii="宋体" w:hAnsi="宋体" w:eastAsia="宋体" w:cs="Times New Roman"/>
          <w:szCs w:val="21"/>
          <w:u w:val="single"/>
        </w:rPr>
        <w:t xml:space="preserve">             </w:t>
      </w:r>
      <w:r>
        <w:rPr>
          <w:rFonts w:hint="eastAsia" w:ascii="宋体" w:hAnsi="宋体" w:eastAsia="宋体" w:cs="仿宋_GB2312"/>
          <w:kern w:val="0"/>
          <w:szCs w:val="21"/>
          <w:lang w:val="zh-CN"/>
        </w:rPr>
        <w:t>；</w:t>
      </w:r>
      <w:r>
        <w:rPr>
          <w:rFonts w:ascii="宋体" w:hAnsi="宋体" w:eastAsia="宋体" w:cs="仿宋_GB2312"/>
          <w:kern w:val="0"/>
          <w:szCs w:val="21"/>
          <w:lang w:val="zh-CN"/>
        </w:rPr>
        <w:t>……。</w:t>
      </w:r>
    </w:p>
    <w:p w14:paraId="4D72BCE1">
      <w:pPr>
        <w:snapToGrid w:val="0"/>
        <w:spacing w:line="288" w:lineRule="auto"/>
        <w:ind w:firstLine="422" w:firstLineChars="201"/>
        <w:rPr>
          <w:rFonts w:hint="eastAsia" w:ascii="宋体" w:hAnsi="宋体" w:eastAsia="宋体" w:cs="仿宋_GB2312"/>
          <w:b/>
          <w:kern w:val="0"/>
          <w:szCs w:val="21"/>
          <w:lang w:val="zh-CN"/>
        </w:rPr>
      </w:pPr>
      <w:r>
        <w:rPr>
          <w:rFonts w:hint="eastAsia" w:ascii="宋体" w:hAnsi="宋体" w:eastAsia="宋体" w:cs="仿宋_GB2312"/>
          <w:kern w:val="0"/>
          <w:szCs w:val="21"/>
          <w:u w:val="single"/>
        </w:rPr>
        <w:t>（联合体其中一方成员名称）</w:t>
      </w:r>
      <w:r>
        <w:rPr>
          <w:rFonts w:hint="eastAsia" w:ascii="宋体" w:hAnsi="宋体" w:eastAsia="宋体" w:cs="仿宋_GB2312"/>
          <w:kern w:val="0"/>
          <w:szCs w:val="21"/>
        </w:rPr>
        <w:t>提供的全部货物由小微企业制造，其合同份额占到合同总金额</w:t>
      </w:r>
      <w:r>
        <w:rPr>
          <w:rFonts w:ascii="宋体" w:hAnsi="宋体" w:eastAsia="宋体" w:cs="仿宋_GB2312"/>
          <w:kern w:val="0"/>
          <w:szCs w:val="21"/>
          <w:u w:val="single"/>
        </w:rPr>
        <w:t xml:space="preserve">     </w:t>
      </w:r>
      <w:r>
        <w:rPr>
          <w:rFonts w:ascii="宋体" w:hAnsi="宋体" w:eastAsia="宋体" w:cs="仿宋_GB2312"/>
          <w:kern w:val="0"/>
          <w:szCs w:val="21"/>
        </w:rPr>
        <w:t>%以上；</w:t>
      </w:r>
      <w:r>
        <w:rPr>
          <w:rFonts w:hint="eastAsia" w:ascii="宋体" w:hAnsi="宋体" w:eastAsia="宋体" w:cs="仿宋_GB2312"/>
          <w:kern w:val="0"/>
          <w:szCs w:val="21"/>
          <w:lang w:val="zh-CN"/>
        </w:rPr>
        <w:t>……。</w:t>
      </w:r>
      <w:r>
        <w:rPr>
          <w:rFonts w:hint="eastAsia" w:ascii="宋体" w:hAnsi="宋体" w:eastAsia="宋体" w:cs="仿宋_GB2312"/>
          <w:b/>
          <w:kern w:val="0"/>
          <w:szCs w:val="21"/>
          <w:lang w:val="zh-CN"/>
        </w:rPr>
        <w:t>（未预留份额专门面向中小企业采购的采购项目，以及预留份额中的非预留部分采购包，接受联合体投标的，联合体其中一方提供的货物全部由小微企业制造，且其合同份额占到合同总金额</w:t>
      </w:r>
      <w:r>
        <w:rPr>
          <w:rFonts w:ascii="宋体" w:hAnsi="宋体" w:eastAsia="宋体" w:cs="仿宋_GB2312"/>
          <w:b/>
          <w:kern w:val="0"/>
          <w:szCs w:val="21"/>
          <w:lang w:val="zh-CN"/>
        </w:rPr>
        <w:t xml:space="preserve"> 30%以上</w:t>
      </w:r>
      <w:r>
        <w:rPr>
          <w:rFonts w:hint="eastAsia" w:ascii="宋体" w:hAnsi="宋体" w:eastAsia="宋体" w:cs="仿宋_GB2312"/>
          <w:b/>
          <w:kern w:val="0"/>
          <w:szCs w:val="21"/>
          <w:lang w:val="zh-CN"/>
        </w:rPr>
        <w:t>，对联合体报价给予</w:t>
      </w:r>
      <w:r>
        <w:rPr>
          <w:rFonts w:ascii="宋体" w:hAnsi="宋体" w:eastAsia="宋体" w:cs="仿宋_GB2312"/>
          <w:b/>
          <w:kern w:val="0"/>
          <w:szCs w:val="21"/>
          <w:lang w:val="zh-CN"/>
        </w:rPr>
        <w:t>6%的扣除</w:t>
      </w:r>
      <w:r>
        <w:rPr>
          <w:rFonts w:hint="eastAsia" w:ascii="宋体" w:hAnsi="宋体" w:eastAsia="宋体" w:cs="仿宋_GB2312"/>
          <w:b/>
          <w:kern w:val="0"/>
          <w:szCs w:val="21"/>
          <w:lang w:val="zh-CN"/>
        </w:rPr>
        <w:t>）</w:t>
      </w:r>
    </w:p>
    <w:p w14:paraId="45C4E06D">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五、如果中标，</w:t>
      </w:r>
      <w:r>
        <w:rPr>
          <w:rFonts w:hint="eastAsia" w:ascii="宋体" w:hAnsi="宋体" w:eastAsia="宋体" w:cs="Times New Roman"/>
          <w:szCs w:val="21"/>
        </w:rPr>
        <w:t>联合体各成员方共同与采购人签订合同，并就采购合同约定的事项对采购人承担连带责任。</w:t>
      </w:r>
    </w:p>
    <w:p w14:paraId="2CE28386">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六、有关本次联合投标的其他事宜：</w:t>
      </w:r>
    </w:p>
    <w:p w14:paraId="08DC81ED">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仿宋_GB2312"/>
          <w:kern w:val="0"/>
          <w:szCs w:val="21"/>
          <w:lang w:val="zh-CN"/>
        </w:rPr>
        <w:t>1、联合体各方不再单独参加或者与其</w:t>
      </w:r>
      <w:r>
        <w:rPr>
          <w:rFonts w:hint="eastAsia" w:ascii="宋体" w:hAnsi="宋体" w:eastAsia="宋体" w:cs="仿宋_GB2312"/>
          <w:kern w:val="0"/>
          <w:szCs w:val="21"/>
          <w:lang w:val="zh-CN"/>
        </w:rPr>
        <w:t>他供应商另外组成联合体参加同一合同项下的政府采购活动。</w:t>
      </w:r>
    </w:p>
    <w:p w14:paraId="0E711733">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仿宋_GB2312"/>
          <w:kern w:val="0"/>
          <w:szCs w:val="21"/>
          <w:lang w:val="zh-CN"/>
        </w:rPr>
        <w:t>2、联合体中有同类资质的各方按照联合体分工承担相同工作的，按照资质等级较低的供应商确定资质等级。</w:t>
      </w:r>
    </w:p>
    <w:p w14:paraId="2393B88D">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仿宋_GB2312"/>
          <w:kern w:val="0"/>
          <w:szCs w:val="21"/>
          <w:lang w:val="zh-CN"/>
        </w:rPr>
        <w:t>3、本协议提交采购人、</w:t>
      </w:r>
      <w:r>
        <w:rPr>
          <w:rFonts w:hint="eastAsia" w:ascii="宋体" w:hAnsi="宋体" w:eastAsia="宋体" w:cs="仿宋_GB2312"/>
          <w:kern w:val="0"/>
          <w:szCs w:val="21"/>
          <w:lang w:val="zh-CN"/>
        </w:rPr>
        <w:t>采购代理机构</w:t>
      </w:r>
      <w:r>
        <w:rPr>
          <w:rFonts w:ascii="宋体" w:hAnsi="宋体" w:eastAsia="宋体" w:cs="仿宋_GB2312"/>
          <w:kern w:val="0"/>
          <w:szCs w:val="21"/>
          <w:lang w:val="zh-CN"/>
        </w:rPr>
        <w:t>后，联合体各方不得以任何形式对上述内容进行修改或撤销。</w:t>
      </w:r>
    </w:p>
    <w:p w14:paraId="751BB576">
      <w:pPr>
        <w:snapToGrid w:val="0"/>
        <w:spacing w:line="288" w:lineRule="auto"/>
        <w:ind w:firstLine="422" w:firstLineChars="201"/>
        <w:rPr>
          <w:rFonts w:hint="eastAsia" w:ascii="宋体" w:hAnsi="宋体" w:eastAsia="宋体" w:cs="仿宋_GB2312"/>
          <w:kern w:val="0"/>
          <w:szCs w:val="21"/>
          <w:lang w:val="zh-CN"/>
        </w:rPr>
      </w:pPr>
    </w:p>
    <w:p w14:paraId="430D7191">
      <w:pPr>
        <w:snapToGrid w:val="0"/>
        <w:spacing w:line="288" w:lineRule="auto"/>
        <w:ind w:firstLine="422" w:firstLineChars="201"/>
        <w:rPr>
          <w:rFonts w:hint="eastAsia" w:ascii="宋体" w:hAnsi="宋体" w:eastAsia="宋体" w:cs="仿宋_GB2312"/>
          <w:kern w:val="0"/>
          <w:szCs w:val="21"/>
          <w:lang w:val="zh-CN"/>
        </w:rPr>
      </w:pPr>
    </w:p>
    <w:p w14:paraId="75CAB1B2">
      <w:pPr>
        <w:snapToGrid w:val="0"/>
        <w:spacing w:line="288" w:lineRule="auto"/>
        <w:ind w:firstLine="424" w:firstLineChars="201"/>
        <w:rPr>
          <w:rFonts w:hint="eastAsia" w:ascii="宋体" w:hAnsi="宋体" w:eastAsia="宋体" w:cs="仿宋_GB2312"/>
          <w:b/>
          <w:bCs/>
          <w:kern w:val="0"/>
          <w:szCs w:val="21"/>
          <w:lang w:val="zh-CN"/>
        </w:rPr>
      </w:pPr>
      <w:r>
        <w:rPr>
          <w:rFonts w:hint="eastAsia" w:ascii="宋体" w:hAnsi="宋体" w:eastAsia="宋体" w:cs="仿宋_GB2312"/>
          <w:b/>
          <w:bCs/>
          <w:kern w:val="0"/>
          <w:szCs w:val="21"/>
          <w:lang w:val="zh-CN"/>
        </w:rPr>
        <w:t>联合体成员名称</w:t>
      </w:r>
      <w:r>
        <w:rPr>
          <w:rFonts w:ascii="宋体" w:hAnsi="宋体" w:eastAsia="宋体" w:cs="仿宋_GB2312"/>
          <w:b/>
          <w:bCs/>
          <w:kern w:val="0"/>
          <w:szCs w:val="21"/>
          <w:lang w:val="zh-CN"/>
        </w:rPr>
        <w:t>(电子签名/公章)：</w:t>
      </w:r>
    </w:p>
    <w:p w14:paraId="7C0FFAB0">
      <w:pPr>
        <w:snapToGrid w:val="0"/>
        <w:spacing w:line="288" w:lineRule="auto"/>
        <w:ind w:firstLine="424" w:firstLineChars="201"/>
        <w:rPr>
          <w:rFonts w:hint="eastAsia" w:ascii="宋体" w:hAnsi="宋体" w:eastAsia="宋体" w:cs="仿宋_GB2312"/>
          <w:b/>
          <w:bCs/>
          <w:kern w:val="0"/>
          <w:szCs w:val="21"/>
          <w:lang w:val="zh-CN"/>
        </w:rPr>
      </w:pPr>
    </w:p>
    <w:p w14:paraId="0C112A0D">
      <w:pPr>
        <w:snapToGrid w:val="0"/>
        <w:spacing w:line="288" w:lineRule="auto"/>
        <w:ind w:firstLine="424" w:firstLineChars="201"/>
        <w:rPr>
          <w:rFonts w:hint="eastAsia" w:ascii="宋体" w:hAnsi="宋体" w:eastAsia="宋体" w:cs="Times New Roman"/>
          <w:b/>
          <w:bCs/>
          <w:szCs w:val="21"/>
        </w:rPr>
      </w:pPr>
    </w:p>
    <w:p w14:paraId="0986EECC">
      <w:pPr>
        <w:snapToGrid w:val="0"/>
        <w:spacing w:line="288" w:lineRule="auto"/>
        <w:ind w:firstLine="424" w:firstLineChars="201"/>
        <w:rPr>
          <w:rFonts w:hint="eastAsia" w:ascii="宋体" w:hAnsi="宋体" w:eastAsia="宋体" w:cs="仿宋_GB2312"/>
          <w:b/>
          <w:bCs/>
          <w:kern w:val="0"/>
          <w:szCs w:val="21"/>
          <w:lang w:val="zh-CN"/>
        </w:rPr>
      </w:pPr>
      <w:r>
        <w:rPr>
          <w:rFonts w:ascii="宋体" w:hAnsi="宋体" w:eastAsia="宋体" w:cs="仿宋_GB2312"/>
          <w:b/>
          <w:bCs/>
          <w:kern w:val="0"/>
          <w:szCs w:val="21"/>
          <w:lang w:val="zh-CN"/>
        </w:rPr>
        <w:t>日期：  年  月   日</w:t>
      </w:r>
    </w:p>
    <w:p w14:paraId="1883B2D2">
      <w:pPr>
        <w:widowControl/>
        <w:jc w:val="left"/>
        <w:rPr>
          <w:rFonts w:hint="eastAsia" w:ascii="宋体" w:hAnsi="宋体" w:eastAsia="宋体" w:cs="仿宋_GB2312"/>
          <w:b/>
          <w:kern w:val="0"/>
          <w:szCs w:val="21"/>
        </w:rPr>
      </w:pPr>
      <w:r>
        <w:rPr>
          <w:rFonts w:ascii="宋体" w:hAnsi="宋体" w:eastAsia="宋体" w:cs="仿宋_GB2312"/>
          <w:b/>
          <w:kern w:val="0"/>
          <w:szCs w:val="21"/>
        </w:rPr>
        <w:br w:type="page"/>
      </w:r>
    </w:p>
    <w:p w14:paraId="0F6FEA4C">
      <w:pPr>
        <w:snapToGrid w:val="0"/>
        <w:spacing w:line="288" w:lineRule="auto"/>
        <w:jc w:val="center"/>
        <w:outlineLvl w:val="2"/>
        <w:rPr>
          <w:rFonts w:hint="eastAsia" w:ascii="宋体" w:hAnsi="宋体" w:eastAsia="宋体" w:cs="仿宋_GB2312"/>
          <w:b/>
          <w:kern w:val="0"/>
          <w:szCs w:val="21"/>
        </w:rPr>
      </w:pPr>
      <w:r>
        <w:rPr>
          <w:rFonts w:hint="eastAsia" w:ascii="宋体" w:hAnsi="宋体" w:eastAsia="宋体" w:cs="仿宋_GB2312"/>
          <w:b/>
          <w:kern w:val="0"/>
          <w:szCs w:val="21"/>
        </w:rPr>
        <w:t>附件3</w:t>
      </w:r>
      <w:r>
        <w:rPr>
          <w:rFonts w:ascii="宋体" w:hAnsi="宋体" w:eastAsia="宋体" w:cs="仿宋_GB2312"/>
          <w:b/>
          <w:kern w:val="0"/>
          <w:szCs w:val="21"/>
        </w:rPr>
        <w:t>：</w:t>
      </w:r>
      <w:r>
        <w:rPr>
          <w:rFonts w:hint="eastAsia" w:ascii="宋体" w:hAnsi="宋体" w:eastAsia="宋体" w:cs="仿宋_GB2312"/>
          <w:b/>
          <w:kern w:val="0"/>
          <w:szCs w:val="21"/>
        </w:rPr>
        <w:t>分包意向协议</w:t>
      </w:r>
    </w:p>
    <w:p w14:paraId="537C2E70">
      <w:pPr>
        <w:widowControl/>
        <w:snapToGrid w:val="0"/>
        <w:spacing w:line="288" w:lineRule="auto"/>
        <w:ind w:firstLine="422" w:firstLineChars="201"/>
        <w:jc w:val="left"/>
        <w:rPr>
          <w:rFonts w:hint="eastAsia" w:ascii="宋体" w:hAnsi="宋体" w:eastAsia="宋体" w:cs="仿宋_GB2312"/>
          <w:szCs w:val="21"/>
        </w:rPr>
      </w:pPr>
      <w:r>
        <w:rPr>
          <w:rFonts w:hint="eastAsia" w:ascii="宋体" w:hAnsi="宋体" w:eastAsia="宋体" w:cs="仿宋_GB2312"/>
          <w:szCs w:val="21"/>
        </w:rPr>
        <w:t>（</w:t>
      </w:r>
      <w:r>
        <w:rPr>
          <w:rFonts w:hint="eastAsia" w:ascii="宋体" w:hAnsi="宋体" w:eastAsia="宋体" w:cs="仿宋_GB2312"/>
          <w:b/>
          <w:szCs w:val="21"/>
        </w:rPr>
        <w:t>中标后以分包方式履行合同的，提供分包意向协议；采购人不同意分包或者投标人中标后不以分包方式履行合同的，则不需要提供。</w:t>
      </w:r>
      <w:r>
        <w:rPr>
          <w:rFonts w:hint="eastAsia" w:ascii="宋体" w:hAnsi="宋体" w:eastAsia="宋体" w:cs="仿宋_GB2312"/>
          <w:szCs w:val="21"/>
        </w:rPr>
        <w:t>）</w:t>
      </w:r>
    </w:p>
    <w:p w14:paraId="5E0E6DCE">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u w:val="single"/>
        </w:rPr>
        <w:t>（投标人名称）</w:t>
      </w:r>
      <w:r>
        <w:rPr>
          <w:rFonts w:hint="eastAsia" w:ascii="宋体" w:hAnsi="宋体" w:eastAsia="宋体" w:cs="仿宋_GB2312"/>
          <w:kern w:val="0"/>
          <w:szCs w:val="21"/>
          <w:lang w:val="zh-CN"/>
        </w:rPr>
        <w:t>若成为</w:t>
      </w:r>
      <w:r>
        <w:rPr>
          <w:rFonts w:hint="eastAsia" w:ascii="宋体" w:hAnsi="宋体" w:eastAsia="宋体" w:cs="仿宋_GB2312"/>
          <w:szCs w:val="21"/>
        </w:rPr>
        <w:t>（项目名称）【招标编号：</w:t>
      </w:r>
      <w:r>
        <w:rPr>
          <w:rFonts w:hint="eastAsia" w:ascii="宋体" w:hAnsi="宋体" w:eastAsia="宋体" w:cs="Times New Roman"/>
          <w:szCs w:val="21"/>
        </w:rPr>
        <w:t>（采购编号）</w:t>
      </w:r>
      <w:r>
        <w:rPr>
          <w:rFonts w:hint="eastAsia" w:ascii="宋体" w:hAnsi="宋体" w:eastAsia="宋体" w:cs="仿宋_GB2312"/>
          <w:szCs w:val="21"/>
        </w:rPr>
        <w:t>】</w:t>
      </w:r>
      <w:r>
        <w:rPr>
          <w:rFonts w:hint="eastAsia" w:ascii="宋体" w:hAnsi="宋体" w:eastAsia="宋体" w:cs="仿宋_GB2312"/>
          <w:kern w:val="0"/>
          <w:szCs w:val="21"/>
          <w:lang w:val="zh-CN"/>
        </w:rPr>
        <w:t>的中标供应商，将依法采取分包方式履行合同。</w:t>
      </w:r>
      <w:r>
        <w:rPr>
          <w:rFonts w:hint="eastAsia" w:ascii="宋体" w:hAnsi="宋体" w:eastAsia="宋体" w:cs="仿宋_GB2312"/>
          <w:kern w:val="0"/>
          <w:szCs w:val="21"/>
          <w:u w:val="single"/>
        </w:rPr>
        <w:t>（投标人名称）</w:t>
      </w:r>
      <w:r>
        <w:rPr>
          <w:rFonts w:hint="eastAsia" w:ascii="宋体" w:hAnsi="宋体" w:eastAsia="宋体" w:cs="仿宋_GB2312"/>
          <w:kern w:val="0"/>
          <w:szCs w:val="21"/>
        </w:rPr>
        <w:t>与</w:t>
      </w:r>
      <w:r>
        <w:rPr>
          <w:rFonts w:hint="eastAsia" w:ascii="宋体" w:hAnsi="宋体" w:eastAsia="宋体" w:cs="仿宋_GB2312"/>
          <w:kern w:val="0"/>
          <w:szCs w:val="21"/>
          <w:u w:val="single"/>
        </w:rPr>
        <w:t>（所有分包供应商名称）</w:t>
      </w:r>
      <w:r>
        <w:rPr>
          <w:rFonts w:hint="eastAsia" w:ascii="宋体" w:hAnsi="宋体" w:eastAsia="宋体" w:cs="仿宋_GB2312"/>
          <w:kern w:val="0"/>
          <w:szCs w:val="21"/>
        </w:rPr>
        <w:t>达成分包意向协议</w:t>
      </w:r>
      <w:r>
        <w:rPr>
          <w:rFonts w:hint="eastAsia" w:ascii="宋体" w:hAnsi="宋体" w:eastAsia="宋体" w:cs="仿宋_GB2312"/>
          <w:kern w:val="0"/>
          <w:szCs w:val="21"/>
          <w:lang w:val="zh-CN"/>
        </w:rPr>
        <w:t>。</w:t>
      </w:r>
      <w:r>
        <w:rPr>
          <w:rFonts w:ascii="宋体" w:hAnsi="宋体" w:eastAsia="宋体" w:cs="仿宋_GB2312"/>
          <w:kern w:val="0"/>
          <w:szCs w:val="21"/>
          <w:lang w:val="zh-CN"/>
        </w:rPr>
        <w:t xml:space="preserve"> </w:t>
      </w:r>
    </w:p>
    <w:p w14:paraId="6A975FFC">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一、分包标的及数量</w:t>
      </w:r>
    </w:p>
    <w:p w14:paraId="4C4A32D1">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u w:val="single"/>
        </w:rPr>
        <w:t>（投标人名称）</w:t>
      </w:r>
      <w:r>
        <w:rPr>
          <w:rFonts w:hint="eastAsia" w:ascii="宋体" w:hAnsi="宋体" w:eastAsia="宋体" w:cs="仿宋_GB2312"/>
          <w:kern w:val="0"/>
          <w:szCs w:val="21"/>
          <w:lang w:val="zh-CN"/>
        </w:rPr>
        <w:t>将</w:t>
      </w:r>
      <w:r>
        <w:rPr>
          <w:rFonts w:ascii="宋体" w:hAnsi="宋体" w:eastAsia="宋体" w:cs="Times New Roman"/>
          <w:szCs w:val="21"/>
          <w:u w:val="single"/>
        </w:rPr>
        <w:t xml:space="preserve">   XX工作内容   </w:t>
      </w:r>
      <w:r>
        <w:rPr>
          <w:rFonts w:hint="eastAsia" w:ascii="宋体" w:hAnsi="宋体" w:eastAsia="宋体" w:cs="Arial"/>
          <w:szCs w:val="21"/>
        </w:rPr>
        <w:t>分包给</w:t>
      </w:r>
      <w:r>
        <w:rPr>
          <w:rFonts w:hint="eastAsia" w:ascii="宋体" w:hAnsi="宋体" w:eastAsia="宋体" w:cs="仿宋_GB2312"/>
          <w:kern w:val="0"/>
          <w:szCs w:val="21"/>
          <w:u w:val="single"/>
        </w:rPr>
        <w:t>（某分包供应商名称）</w:t>
      </w:r>
      <w:r>
        <w:rPr>
          <w:rFonts w:hint="eastAsia" w:ascii="宋体" w:hAnsi="宋体" w:eastAsia="宋体" w:cs="仿宋_GB2312"/>
          <w:kern w:val="0"/>
          <w:szCs w:val="21"/>
          <w:lang w:val="zh-CN"/>
        </w:rPr>
        <w:t>，</w:t>
      </w:r>
      <w:r>
        <w:rPr>
          <w:rFonts w:hint="eastAsia" w:ascii="宋体" w:hAnsi="宋体" w:eastAsia="宋体" w:cs="仿宋_GB2312"/>
          <w:kern w:val="0"/>
          <w:szCs w:val="21"/>
          <w:u w:val="single"/>
        </w:rPr>
        <w:t>（某分包供应商名称），</w:t>
      </w:r>
      <w:r>
        <w:rPr>
          <w:rFonts w:hint="eastAsia" w:ascii="宋体" w:hAnsi="宋体" w:eastAsia="宋体" w:cs="仿宋_GB2312"/>
          <w:kern w:val="0"/>
          <w:szCs w:val="21"/>
          <w:lang w:val="zh-CN"/>
        </w:rPr>
        <w:t>具备承</w:t>
      </w:r>
      <w:r>
        <w:rPr>
          <w:rFonts w:hint="eastAsia" w:ascii="宋体" w:hAnsi="宋体" w:eastAsia="宋体" w:cs="仿宋_GB2312"/>
          <w:kern w:val="0"/>
          <w:szCs w:val="21"/>
        </w:rPr>
        <w:t>担</w:t>
      </w:r>
      <w:r>
        <w:rPr>
          <w:rFonts w:ascii="宋体" w:hAnsi="宋体" w:eastAsia="宋体" w:cs="仿宋_GB2312"/>
          <w:kern w:val="0"/>
          <w:szCs w:val="21"/>
          <w:u w:val="single"/>
          <w:lang w:val="zh-CN"/>
        </w:rPr>
        <w:t>XX工作内容</w:t>
      </w:r>
      <w:r>
        <w:rPr>
          <w:rFonts w:hint="eastAsia" w:ascii="宋体" w:hAnsi="宋体" w:eastAsia="宋体" w:cs="仿宋_GB2312"/>
          <w:kern w:val="0"/>
          <w:szCs w:val="21"/>
          <w:lang w:val="zh-CN"/>
        </w:rPr>
        <w:t>相应资质条件且不得再次分包；</w:t>
      </w:r>
    </w:p>
    <w:p w14:paraId="558C67D2">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w:t>
      </w:r>
    </w:p>
    <w:p w14:paraId="0677D2B6">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二、分包工作履行期限、地点、方式</w:t>
      </w:r>
    </w:p>
    <w:p w14:paraId="3DDB476A">
      <w:pPr>
        <w:snapToGrid w:val="0"/>
        <w:spacing w:line="288" w:lineRule="auto"/>
        <w:ind w:firstLine="422" w:firstLineChars="201"/>
        <w:rPr>
          <w:rFonts w:hint="eastAsia" w:ascii="宋体" w:hAnsi="宋体" w:eastAsia="宋体" w:cs="Times New Roman"/>
          <w:szCs w:val="21"/>
          <w:u w:val="single"/>
        </w:rPr>
      </w:pPr>
      <w:r>
        <w:rPr>
          <w:rFonts w:ascii="宋体" w:hAnsi="宋体" w:eastAsia="宋体" w:cs="Times New Roman"/>
          <w:szCs w:val="21"/>
          <w:u w:val="single"/>
        </w:rPr>
        <w:t xml:space="preserve">                                                                                  </w:t>
      </w:r>
    </w:p>
    <w:p w14:paraId="204F894C">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三、质量</w:t>
      </w:r>
    </w:p>
    <w:p w14:paraId="2652EFA5">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56C047E9">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四、价款或者报酬</w:t>
      </w:r>
    </w:p>
    <w:p w14:paraId="29938D9D">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1CAC7CF4">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五、违约责任</w:t>
      </w:r>
    </w:p>
    <w:p w14:paraId="204269F8">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2EE813F4">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六、争议解决的办法</w:t>
      </w:r>
    </w:p>
    <w:p w14:paraId="18524EB6">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28A25224">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七、其他</w:t>
      </w:r>
    </w:p>
    <w:p w14:paraId="7636077E">
      <w:pPr>
        <w:snapToGrid w:val="0"/>
        <w:spacing w:line="288" w:lineRule="auto"/>
        <w:ind w:firstLine="422" w:firstLineChars="201"/>
        <w:rPr>
          <w:rFonts w:hint="eastAsia" w:ascii="宋体" w:hAnsi="宋体" w:eastAsia="宋体" w:cs="仿宋_GB2312"/>
          <w:b/>
          <w:kern w:val="0"/>
          <w:szCs w:val="21"/>
          <w:lang w:val="zh-CN"/>
        </w:rPr>
      </w:pPr>
      <w:r>
        <w:rPr>
          <w:rFonts w:hint="eastAsia" w:ascii="宋体" w:hAnsi="宋体" w:eastAsia="宋体" w:cs="仿宋_GB2312"/>
          <w:kern w:val="0"/>
          <w:szCs w:val="21"/>
          <w:u w:val="single"/>
        </w:rPr>
        <w:t>（分包供应商名称）提供的货物全部由小微企业制造，</w:t>
      </w:r>
      <w:r>
        <w:rPr>
          <w:rFonts w:hint="eastAsia" w:ascii="宋体" w:hAnsi="宋体" w:eastAsia="宋体" w:cs="仿宋_GB2312"/>
          <w:kern w:val="0"/>
          <w:szCs w:val="21"/>
        </w:rPr>
        <w:t>其合同份额占到合同总金额</w:t>
      </w:r>
      <w:r>
        <w:rPr>
          <w:rFonts w:ascii="宋体" w:hAnsi="宋体" w:eastAsia="宋体" w:cs="仿宋_GB2312"/>
          <w:kern w:val="0"/>
          <w:szCs w:val="21"/>
          <w:u w:val="single"/>
        </w:rPr>
        <w:t xml:space="preserve">     </w:t>
      </w:r>
      <w:r>
        <w:rPr>
          <w:rFonts w:ascii="宋体" w:hAnsi="宋体" w:eastAsia="宋体" w:cs="仿宋_GB2312"/>
          <w:kern w:val="0"/>
          <w:szCs w:val="21"/>
        </w:rPr>
        <w:t>%以上</w:t>
      </w:r>
      <w:r>
        <w:rPr>
          <w:rFonts w:hint="eastAsia" w:ascii="宋体" w:hAnsi="宋体" w:eastAsia="宋体" w:cs="Times New Roman"/>
          <w:szCs w:val="21"/>
        </w:rPr>
        <w:t>。</w:t>
      </w:r>
      <w:r>
        <w:rPr>
          <w:rFonts w:hint="eastAsia" w:ascii="宋体" w:hAnsi="宋体" w:eastAsia="宋体" w:cs="仿宋_GB2312"/>
          <w:b/>
          <w:kern w:val="0"/>
          <w:szCs w:val="21"/>
          <w:lang w:val="zh-CN"/>
        </w:rPr>
        <w:t>（未预留份额专门面向中小企业采购的采购项目，以及预留份额中的非预留部分采购包，允许分包的，分包供应商提供的货物全部由小微企业制造，且其合同份额占到合同总金额</w:t>
      </w:r>
      <w:r>
        <w:rPr>
          <w:rFonts w:ascii="宋体" w:hAnsi="宋体" w:eastAsia="宋体" w:cs="仿宋_GB2312"/>
          <w:b/>
          <w:kern w:val="0"/>
          <w:szCs w:val="21"/>
          <w:lang w:val="zh-CN"/>
        </w:rPr>
        <w:t xml:space="preserve"> 30%以上</w:t>
      </w:r>
      <w:r>
        <w:rPr>
          <w:rFonts w:hint="eastAsia" w:ascii="宋体" w:hAnsi="宋体" w:eastAsia="宋体" w:cs="仿宋_GB2312"/>
          <w:b/>
          <w:kern w:val="0"/>
          <w:szCs w:val="21"/>
          <w:lang w:val="zh-CN"/>
        </w:rPr>
        <w:t>的，对大中型企业的报价给予</w:t>
      </w:r>
      <w:r>
        <w:rPr>
          <w:rFonts w:ascii="宋体" w:hAnsi="宋体" w:eastAsia="宋体" w:cs="仿宋_GB2312"/>
          <w:b/>
          <w:kern w:val="0"/>
          <w:szCs w:val="21"/>
          <w:lang w:val="zh-CN"/>
        </w:rPr>
        <w:t>6%的扣除</w:t>
      </w:r>
      <w:r>
        <w:rPr>
          <w:rFonts w:hint="eastAsia" w:ascii="宋体" w:hAnsi="宋体" w:eastAsia="宋体" w:cs="仿宋_GB2312"/>
          <w:b/>
          <w:kern w:val="0"/>
          <w:szCs w:val="21"/>
          <w:lang w:val="zh-CN"/>
        </w:rPr>
        <w:t>）</w:t>
      </w:r>
    </w:p>
    <w:p w14:paraId="11CA5381">
      <w:pPr>
        <w:snapToGrid w:val="0"/>
        <w:spacing w:line="288" w:lineRule="auto"/>
        <w:rPr>
          <w:rFonts w:hint="eastAsia" w:ascii="宋体" w:hAnsi="宋体" w:eastAsia="宋体" w:cs="仿宋_GB2312"/>
          <w:kern w:val="0"/>
          <w:szCs w:val="21"/>
          <w:lang w:val="zh-CN"/>
        </w:rPr>
      </w:pPr>
    </w:p>
    <w:p w14:paraId="19F2308A">
      <w:pPr>
        <w:snapToGrid w:val="0"/>
        <w:spacing w:line="288" w:lineRule="auto"/>
        <w:ind w:firstLine="422" w:firstLineChars="200"/>
        <w:rPr>
          <w:rFonts w:hint="eastAsia" w:ascii="宋体" w:hAnsi="宋体" w:eastAsia="宋体" w:cs="仿宋_GB2312"/>
          <w:b/>
          <w:bCs/>
          <w:kern w:val="0"/>
          <w:szCs w:val="21"/>
          <w:lang w:val="zh-CN"/>
        </w:rPr>
      </w:pPr>
      <w:r>
        <w:rPr>
          <w:rFonts w:hint="eastAsia" w:ascii="宋体" w:hAnsi="宋体" w:eastAsia="宋体" w:cs="仿宋_GB2312"/>
          <w:b/>
          <w:bCs/>
          <w:kern w:val="0"/>
          <w:szCs w:val="21"/>
          <w:lang w:val="zh-CN"/>
        </w:rPr>
        <w:t>投标人名称（电子签名</w:t>
      </w:r>
      <w:r>
        <w:rPr>
          <w:rFonts w:ascii="宋体" w:hAnsi="宋体" w:eastAsia="宋体" w:cs="仿宋_GB2312"/>
          <w:b/>
          <w:bCs/>
          <w:kern w:val="0"/>
          <w:szCs w:val="21"/>
          <w:lang w:val="zh-CN"/>
        </w:rPr>
        <w:t>/公章）：</w:t>
      </w:r>
    </w:p>
    <w:p w14:paraId="7B3CEC34">
      <w:pPr>
        <w:snapToGrid w:val="0"/>
        <w:spacing w:line="288" w:lineRule="auto"/>
        <w:ind w:firstLine="424" w:firstLineChars="201"/>
        <w:rPr>
          <w:rFonts w:hint="eastAsia" w:ascii="宋体" w:hAnsi="宋体" w:eastAsia="宋体" w:cs="仿宋_GB2312"/>
          <w:b/>
          <w:bCs/>
          <w:kern w:val="0"/>
          <w:szCs w:val="21"/>
          <w:lang w:val="zh-CN"/>
        </w:rPr>
      </w:pPr>
    </w:p>
    <w:p w14:paraId="6B3E916E">
      <w:pPr>
        <w:snapToGrid w:val="0"/>
        <w:spacing w:line="288" w:lineRule="auto"/>
        <w:ind w:firstLine="424" w:firstLineChars="201"/>
        <w:rPr>
          <w:rFonts w:hint="eastAsia" w:ascii="宋体" w:hAnsi="宋体" w:eastAsia="宋体" w:cs="仿宋_GB2312"/>
          <w:b/>
          <w:bCs/>
          <w:kern w:val="0"/>
          <w:szCs w:val="21"/>
          <w:lang w:val="zh-CN"/>
        </w:rPr>
      </w:pPr>
      <w:r>
        <w:rPr>
          <w:rFonts w:hint="eastAsia" w:ascii="宋体" w:hAnsi="宋体" w:eastAsia="宋体" w:cs="仿宋_GB2312"/>
          <w:b/>
          <w:bCs/>
          <w:kern w:val="0"/>
          <w:szCs w:val="21"/>
          <w:lang w:val="zh-CN"/>
        </w:rPr>
        <w:t>分包供应商名称（电子签名</w:t>
      </w:r>
      <w:r>
        <w:rPr>
          <w:rFonts w:ascii="宋体" w:hAnsi="宋体" w:eastAsia="宋体" w:cs="仿宋_GB2312"/>
          <w:b/>
          <w:bCs/>
          <w:kern w:val="0"/>
          <w:szCs w:val="21"/>
          <w:lang w:val="zh-CN"/>
        </w:rPr>
        <w:t>/公章）：</w:t>
      </w:r>
    </w:p>
    <w:p w14:paraId="5A5E239E">
      <w:pPr>
        <w:snapToGrid w:val="0"/>
        <w:spacing w:line="288" w:lineRule="auto"/>
        <w:rPr>
          <w:rFonts w:hint="eastAsia" w:ascii="宋体" w:hAnsi="宋体" w:eastAsia="宋体" w:cs="仿宋_GB2312"/>
          <w:b/>
          <w:bCs/>
          <w:kern w:val="0"/>
          <w:szCs w:val="21"/>
          <w:lang w:val="zh-CN"/>
        </w:rPr>
      </w:pPr>
    </w:p>
    <w:p w14:paraId="68894B93">
      <w:pPr>
        <w:snapToGrid w:val="0"/>
        <w:spacing w:line="288" w:lineRule="auto"/>
        <w:ind w:firstLine="424" w:firstLineChars="201"/>
        <w:rPr>
          <w:rFonts w:hint="eastAsia" w:ascii="宋体" w:hAnsi="宋体" w:eastAsia="宋体" w:cs="仿宋_GB2312"/>
          <w:b/>
          <w:bCs/>
          <w:kern w:val="0"/>
          <w:szCs w:val="21"/>
          <w:lang w:val="zh-CN"/>
        </w:rPr>
      </w:pPr>
      <w:r>
        <w:rPr>
          <w:rFonts w:ascii="宋体" w:hAnsi="宋体" w:eastAsia="宋体" w:cs="仿宋_GB2312"/>
          <w:b/>
          <w:bCs/>
          <w:kern w:val="0"/>
          <w:szCs w:val="21"/>
          <w:lang w:val="zh-CN"/>
        </w:rPr>
        <w:t>日期：  年  月   日</w:t>
      </w:r>
    </w:p>
    <w:p w14:paraId="762524CF">
      <w:pPr>
        <w:rPr>
          <w:rFonts w:hint="eastAsia" w:ascii="等线" w:hAnsi="等线" w:eastAsia="等线" w:cs="Times New Roman"/>
        </w:rPr>
      </w:pPr>
    </w:p>
    <w:p w14:paraId="0A02144F">
      <w:pPr>
        <w:adjustRightInd w:val="0"/>
        <w:snapToGrid w:val="0"/>
        <w:spacing w:line="288" w:lineRule="auto"/>
        <w:rPr>
          <w:rFonts w:hint="eastAsia" w:ascii="宋体" w:hAnsi="宋体" w:eastAsia="宋体" w:cs="Times New Roman"/>
          <w:b/>
          <w:spacing w:val="-6"/>
          <w:szCs w:val="21"/>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pple-system">
    <w:altName w:val="Malgun Gothic Semiligh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Neue Light">
    <w:altName w:val="Segoe Print"/>
    <w:panose1 w:val="00000000000000000000"/>
    <w:charset w:val="00"/>
    <w:family w:val="auto"/>
    <w:pitch w:val="default"/>
    <w:sig w:usb0="00000000" w:usb1="00000000" w:usb2="00000002" w:usb3="00000000" w:csb0="00000007" w:csb1="00000000"/>
  </w:font>
  <w:font w:name="ヒラギノ角ゴ Pro W3">
    <w:altName w:val="Yu Gothic"/>
    <w:panose1 w:val="00000000000000000000"/>
    <w:charset w:val="80"/>
    <w:family w:val="auto"/>
    <w:pitch w:val="default"/>
    <w:sig w:usb0="00000000" w:usb1="00000000" w:usb2="00000012" w:usb3="00000000" w:csb0="0002000D"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59FEE">
    <w:pPr>
      <w:pStyle w:val="16"/>
      <w:jc w:val="center"/>
      <w:rPr>
        <w:rFonts w:hint="eastAsia"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EDA2">
    <w:pPr>
      <w:pStyle w:val="16"/>
      <w:jc w:val="center"/>
      <w:rPr>
        <w:rFonts w:hint="eastAsia"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9DD27">
    <w:pPr>
      <w:pStyle w:val="16"/>
      <w:jc w:val="center"/>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83ADE">
    <w:pPr>
      <w:jc w:val="center"/>
      <w:rPr>
        <w:rFonts w:hint="eastAsia"/>
      </w:rPr>
    </w:pPr>
    <w:r>
      <w:drawing>
        <wp:inline distT="0" distB="0" distL="0" distR="0">
          <wp:extent cx="5905500" cy="679450"/>
          <wp:effectExtent l="0" t="0" r="0" b="6350"/>
          <wp:docPr id="108380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09056"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3FB30"/>
    <w:multiLevelType w:val="singleLevel"/>
    <w:tmpl w:val="C4E3FB30"/>
    <w:lvl w:ilvl="0" w:tentative="0">
      <w:start w:val="1"/>
      <w:numFmt w:val="decimal"/>
      <w:suff w:val="nothing"/>
      <w:lvlText w:val="（%1）"/>
      <w:lvlJc w:val="left"/>
    </w:lvl>
  </w:abstractNum>
  <w:abstractNum w:abstractNumId="1">
    <w:nsid w:val="E6EBA453"/>
    <w:multiLevelType w:val="singleLevel"/>
    <w:tmpl w:val="E6EBA453"/>
    <w:lvl w:ilvl="0" w:tentative="0">
      <w:start w:val="2"/>
      <w:numFmt w:val="chineseCounting"/>
      <w:suff w:val="nothing"/>
      <w:lvlText w:val="%1、"/>
      <w:lvlJc w:val="left"/>
      <w:rPr>
        <w:rFonts w:hint="eastAsia"/>
      </w:rPr>
    </w:lvl>
  </w:abstractNum>
  <w:abstractNum w:abstractNumId="2">
    <w:nsid w:val="EC8298A0"/>
    <w:multiLevelType w:val="singleLevel"/>
    <w:tmpl w:val="EC8298A0"/>
    <w:lvl w:ilvl="0" w:tentative="0">
      <w:start w:val="8"/>
      <w:numFmt w:val="decimal"/>
      <w:suff w:val="nothing"/>
      <w:lvlText w:val="（%1）"/>
      <w:lvlJc w:val="left"/>
    </w:lvl>
  </w:abstractNum>
  <w:abstractNum w:abstractNumId="3">
    <w:nsid w:val="FFFA78C2"/>
    <w:multiLevelType w:val="singleLevel"/>
    <w:tmpl w:val="FFFA78C2"/>
    <w:lvl w:ilvl="0" w:tentative="0">
      <w:start w:val="8"/>
      <w:numFmt w:val="decimal"/>
      <w:suff w:val="nothing"/>
      <w:lvlText w:val="（%1）"/>
      <w:lvlJc w:val="left"/>
    </w:lvl>
  </w:abstractNum>
  <w:abstractNum w:abstractNumId="4">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5ADB1A3"/>
    <w:multiLevelType w:val="singleLevel"/>
    <w:tmpl w:val="65ADB1A3"/>
    <w:lvl w:ilvl="0" w:tentative="0">
      <w:start w:val="1"/>
      <w:numFmt w:val="chineseCounting"/>
      <w:suff w:val="nothing"/>
      <w:lvlText w:val="第%1，"/>
      <w:lvlJc w:val="left"/>
      <w:rPr>
        <w:rFonts w:hint="eastAsia"/>
      </w:rPr>
    </w:lvl>
  </w:abstractNum>
  <w:abstractNum w:abstractNumId="6">
    <w:nsid w:val="6B90AEC7"/>
    <w:multiLevelType w:val="singleLevel"/>
    <w:tmpl w:val="6B90AEC7"/>
    <w:lvl w:ilvl="0" w:tentative="0">
      <w:start w:val="3"/>
      <w:numFmt w:val="chineseCounting"/>
      <w:suff w:val="nothing"/>
      <w:lvlText w:val="%1、"/>
      <w:lvlJc w:val="left"/>
      <w:rPr>
        <w:rFonts w:hint="eastAsia"/>
      </w:rPr>
    </w:lvl>
  </w:abstractNum>
  <w:abstractNum w:abstractNumId="7">
    <w:nsid w:val="77691ADC"/>
    <w:multiLevelType w:val="singleLevel"/>
    <w:tmpl w:val="77691ADC"/>
    <w:lvl w:ilvl="0" w:tentative="0">
      <w:start w:val="1"/>
      <w:numFmt w:val="decimal"/>
      <w:suff w:val="nothing"/>
      <w:lvlText w:val="（%1）"/>
      <w:lvlJc w:val="left"/>
    </w:lvl>
  </w:abstractNum>
  <w:num w:numId="1">
    <w:abstractNumId w:val="4"/>
  </w:num>
  <w:num w:numId="2">
    <w:abstractNumId w:val="6"/>
  </w:num>
  <w:num w:numId="3">
    <w:abstractNumId w:val="5"/>
  </w:num>
  <w:num w:numId="4">
    <w:abstractNumId w:val="3"/>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jNjQyZTEwMThkZmRmNDAyZTZiYmEzYjZiNGZmYTUifQ=="/>
  </w:docVars>
  <w:rsids>
    <w:rsidRoot w:val="00756626"/>
    <w:rsid w:val="000009E4"/>
    <w:rsid w:val="0000114F"/>
    <w:rsid w:val="0000436F"/>
    <w:rsid w:val="000062F4"/>
    <w:rsid w:val="00006469"/>
    <w:rsid w:val="00006CFD"/>
    <w:rsid w:val="000116E4"/>
    <w:rsid w:val="00012C41"/>
    <w:rsid w:val="00013608"/>
    <w:rsid w:val="00013B07"/>
    <w:rsid w:val="00014530"/>
    <w:rsid w:val="00015995"/>
    <w:rsid w:val="00016D69"/>
    <w:rsid w:val="000175DF"/>
    <w:rsid w:val="00022A3E"/>
    <w:rsid w:val="00031311"/>
    <w:rsid w:val="00034595"/>
    <w:rsid w:val="00037CC3"/>
    <w:rsid w:val="00037F12"/>
    <w:rsid w:val="000404C3"/>
    <w:rsid w:val="00041035"/>
    <w:rsid w:val="0004184A"/>
    <w:rsid w:val="00042FA2"/>
    <w:rsid w:val="00043D3F"/>
    <w:rsid w:val="0004610A"/>
    <w:rsid w:val="00046C0F"/>
    <w:rsid w:val="00047FBE"/>
    <w:rsid w:val="000505CC"/>
    <w:rsid w:val="000536E0"/>
    <w:rsid w:val="00057E8D"/>
    <w:rsid w:val="0006261A"/>
    <w:rsid w:val="00065AAC"/>
    <w:rsid w:val="00066C2F"/>
    <w:rsid w:val="00067CDC"/>
    <w:rsid w:val="0007061E"/>
    <w:rsid w:val="00074377"/>
    <w:rsid w:val="00074F54"/>
    <w:rsid w:val="000765FF"/>
    <w:rsid w:val="00080197"/>
    <w:rsid w:val="00080E86"/>
    <w:rsid w:val="000814E9"/>
    <w:rsid w:val="00082DB5"/>
    <w:rsid w:val="00082FB1"/>
    <w:rsid w:val="000853BC"/>
    <w:rsid w:val="00085C8D"/>
    <w:rsid w:val="00085FCC"/>
    <w:rsid w:val="00086FEF"/>
    <w:rsid w:val="00090029"/>
    <w:rsid w:val="00090B47"/>
    <w:rsid w:val="00091AA5"/>
    <w:rsid w:val="00091FF9"/>
    <w:rsid w:val="000922B3"/>
    <w:rsid w:val="00094854"/>
    <w:rsid w:val="000949E6"/>
    <w:rsid w:val="0009679C"/>
    <w:rsid w:val="0009761D"/>
    <w:rsid w:val="000A0BB1"/>
    <w:rsid w:val="000A108A"/>
    <w:rsid w:val="000A318A"/>
    <w:rsid w:val="000A3511"/>
    <w:rsid w:val="000A3F95"/>
    <w:rsid w:val="000A68FB"/>
    <w:rsid w:val="000A74CF"/>
    <w:rsid w:val="000A7D0F"/>
    <w:rsid w:val="000B1B92"/>
    <w:rsid w:val="000B5BC8"/>
    <w:rsid w:val="000C1DE2"/>
    <w:rsid w:val="000C1EF8"/>
    <w:rsid w:val="000C3537"/>
    <w:rsid w:val="000C558F"/>
    <w:rsid w:val="000C587E"/>
    <w:rsid w:val="000C5B11"/>
    <w:rsid w:val="000C5D37"/>
    <w:rsid w:val="000C67A6"/>
    <w:rsid w:val="000D0B38"/>
    <w:rsid w:val="000D107B"/>
    <w:rsid w:val="000D4121"/>
    <w:rsid w:val="000D763B"/>
    <w:rsid w:val="000E0B46"/>
    <w:rsid w:val="000E12A8"/>
    <w:rsid w:val="000E158D"/>
    <w:rsid w:val="000E3384"/>
    <w:rsid w:val="000E4D02"/>
    <w:rsid w:val="000E6420"/>
    <w:rsid w:val="000F4562"/>
    <w:rsid w:val="00103101"/>
    <w:rsid w:val="00103FF5"/>
    <w:rsid w:val="00105EC1"/>
    <w:rsid w:val="00106A4D"/>
    <w:rsid w:val="00111418"/>
    <w:rsid w:val="00112A2A"/>
    <w:rsid w:val="001137C8"/>
    <w:rsid w:val="00117EF1"/>
    <w:rsid w:val="001203D7"/>
    <w:rsid w:val="00120781"/>
    <w:rsid w:val="00121025"/>
    <w:rsid w:val="001273B1"/>
    <w:rsid w:val="00130294"/>
    <w:rsid w:val="00130333"/>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D36"/>
    <w:rsid w:val="00166EDC"/>
    <w:rsid w:val="00167EC3"/>
    <w:rsid w:val="0017064E"/>
    <w:rsid w:val="00170DD1"/>
    <w:rsid w:val="00172304"/>
    <w:rsid w:val="0017684F"/>
    <w:rsid w:val="001768E5"/>
    <w:rsid w:val="0018079E"/>
    <w:rsid w:val="00182FEC"/>
    <w:rsid w:val="00183AD9"/>
    <w:rsid w:val="001865B0"/>
    <w:rsid w:val="00191976"/>
    <w:rsid w:val="0019760B"/>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2D58"/>
    <w:rsid w:val="001D7868"/>
    <w:rsid w:val="001E1516"/>
    <w:rsid w:val="001E1992"/>
    <w:rsid w:val="001E1EBA"/>
    <w:rsid w:val="001E3085"/>
    <w:rsid w:val="001F36AC"/>
    <w:rsid w:val="001F47BE"/>
    <w:rsid w:val="001F6B43"/>
    <w:rsid w:val="001F7274"/>
    <w:rsid w:val="002004E1"/>
    <w:rsid w:val="00200536"/>
    <w:rsid w:val="0020103C"/>
    <w:rsid w:val="00201125"/>
    <w:rsid w:val="00201321"/>
    <w:rsid w:val="00204F17"/>
    <w:rsid w:val="00210339"/>
    <w:rsid w:val="00211660"/>
    <w:rsid w:val="00213589"/>
    <w:rsid w:val="0021656A"/>
    <w:rsid w:val="00217ADB"/>
    <w:rsid w:val="00220252"/>
    <w:rsid w:val="00221BD1"/>
    <w:rsid w:val="00223595"/>
    <w:rsid w:val="00224BD6"/>
    <w:rsid w:val="002265A9"/>
    <w:rsid w:val="00227173"/>
    <w:rsid w:val="00230DA7"/>
    <w:rsid w:val="00231F45"/>
    <w:rsid w:val="002336BD"/>
    <w:rsid w:val="00236327"/>
    <w:rsid w:val="00236937"/>
    <w:rsid w:val="002402D1"/>
    <w:rsid w:val="002435F2"/>
    <w:rsid w:val="00243D1E"/>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2001"/>
    <w:rsid w:val="00272073"/>
    <w:rsid w:val="00273C56"/>
    <w:rsid w:val="00275FBD"/>
    <w:rsid w:val="00282765"/>
    <w:rsid w:val="002831C7"/>
    <w:rsid w:val="00283AE2"/>
    <w:rsid w:val="00283EB5"/>
    <w:rsid w:val="002871B1"/>
    <w:rsid w:val="00296AB0"/>
    <w:rsid w:val="002A17E3"/>
    <w:rsid w:val="002A35E5"/>
    <w:rsid w:val="002A7085"/>
    <w:rsid w:val="002A799A"/>
    <w:rsid w:val="002B0296"/>
    <w:rsid w:val="002B1048"/>
    <w:rsid w:val="002B4AE9"/>
    <w:rsid w:val="002C3342"/>
    <w:rsid w:val="002C33D1"/>
    <w:rsid w:val="002D08AD"/>
    <w:rsid w:val="002D2EAF"/>
    <w:rsid w:val="002D2FCD"/>
    <w:rsid w:val="002D2FF9"/>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ED8"/>
    <w:rsid w:val="003D26B2"/>
    <w:rsid w:val="003D327F"/>
    <w:rsid w:val="003D3515"/>
    <w:rsid w:val="003D4971"/>
    <w:rsid w:val="003D5E01"/>
    <w:rsid w:val="003D6E1E"/>
    <w:rsid w:val="003E24B1"/>
    <w:rsid w:val="003E3756"/>
    <w:rsid w:val="003E60E1"/>
    <w:rsid w:val="003E77E4"/>
    <w:rsid w:val="003F42B3"/>
    <w:rsid w:val="003F52EA"/>
    <w:rsid w:val="00400160"/>
    <w:rsid w:val="004011A4"/>
    <w:rsid w:val="00401E65"/>
    <w:rsid w:val="004031B7"/>
    <w:rsid w:val="00403B44"/>
    <w:rsid w:val="00403FBB"/>
    <w:rsid w:val="00405332"/>
    <w:rsid w:val="0041002E"/>
    <w:rsid w:val="00413B01"/>
    <w:rsid w:val="0041400B"/>
    <w:rsid w:val="004142D4"/>
    <w:rsid w:val="00416A3D"/>
    <w:rsid w:val="004173F4"/>
    <w:rsid w:val="00417F83"/>
    <w:rsid w:val="004237F8"/>
    <w:rsid w:val="00426923"/>
    <w:rsid w:val="004303C0"/>
    <w:rsid w:val="0043170C"/>
    <w:rsid w:val="00431C85"/>
    <w:rsid w:val="004327AE"/>
    <w:rsid w:val="00433671"/>
    <w:rsid w:val="00435409"/>
    <w:rsid w:val="004405C0"/>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D7363"/>
    <w:rsid w:val="004E373B"/>
    <w:rsid w:val="004E40A7"/>
    <w:rsid w:val="004E642E"/>
    <w:rsid w:val="004E764E"/>
    <w:rsid w:val="004F1F7A"/>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17F87"/>
    <w:rsid w:val="00520566"/>
    <w:rsid w:val="00520844"/>
    <w:rsid w:val="00520CCA"/>
    <w:rsid w:val="0052332C"/>
    <w:rsid w:val="005238C8"/>
    <w:rsid w:val="0052419B"/>
    <w:rsid w:val="00525513"/>
    <w:rsid w:val="00527E8A"/>
    <w:rsid w:val="00530A6E"/>
    <w:rsid w:val="00530E18"/>
    <w:rsid w:val="00533573"/>
    <w:rsid w:val="0053482D"/>
    <w:rsid w:val="005349E7"/>
    <w:rsid w:val="00536EA4"/>
    <w:rsid w:val="00543979"/>
    <w:rsid w:val="00544A1D"/>
    <w:rsid w:val="005509F6"/>
    <w:rsid w:val="0055295C"/>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DC3"/>
    <w:rsid w:val="00592BC6"/>
    <w:rsid w:val="00593624"/>
    <w:rsid w:val="005936D5"/>
    <w:rsid w:val="0059376A"/>
    <w:rsid w:val="0059383A"/>
    <w:rsid w:val="005938EE"/>
    <w:rsid w:val="00594309"/>
    <w:rsid w:val="0059505F"/>
    <w:rsid w:val="00595A42"/>
    <w:rsid w:val="00597EA9"/>
    <w:rsid w:val="005A026D"/>
    <w:rsid w:val="005A2031"/>
    <w:rsid w:val="005A27BF"/>
    <w:rsid w:val="005A603C"/>
    <w:rsid w:val="005A6A8A"/>
    <w:rsid w:val="005A6C9A"/>
    <w:rsid w:val="005B2265"/>
    <w:rsid w:val="005B7D64"/>
    <w:rsid w:val="005C1B0A"/>
    <w:rsid w:val="005C25EA"/>
    <w:rsid w:val="005C26DA"/>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0941"/>
    <w:rsid w:val="00602E5E"/>
    <w:rsid w:val="0060397B"/>
    <w:rsid w:val="006070EC"/>
    <w:rsid w:val="006072E8"/>
    <w:rsid w:val="00611AFB"/>
    <w:rsid w:val="006135DB"/>
    <w:rsid w:val="006143BF"/>
    <w:rsid w:val="006153AB"/>
    <w:rsid w:val="006175EF"/>
    <w:rsid w:val="00617F35"/>
    <w:rsid w:val="006252C4"/>
    <w:rsid w:val="00627588"/>
    <w:rsid w:val="006279EA"/>
    <w:rsid w:val="006314E7"/>
    <w:rsid w:val="00635BD5"/>
    <w:rsid w:val="00640CB4"/>
    <w:rsid w:val="00641772"/>
    <w:rsid w:val="00642A44"/>
    <w:rsid w:val="00644E31"/>
    <w:rsid w:val="00645B02"/>
    <w:rsid w:val="00651C08"/>
    <w:rsid w:val="00653A68"/>
    <w:rsid w:val="00657DC0"/>
    <w:rsid w:val="00660BB7"/>
    <w:rsid w:val="00661F9F"/>
    <w:rsid w:val="00664079"/>
    <w:rsid w:val="006642C4"/>
    <w:rsid w:val="00664DAA"/>
    <w:rsid w:val="00664F3B"/>
    <w:rsid w:val="0066634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D0F72"/>
    <w:rsid w:val="006D3FAD"/>
    <w:rsid w:val="006D584E"/>
    <w:rsid w:val="006D5DA2"/>
    <w:rsid w:val="006E0B30"/>
    <w:rsid w:val="006E0F3D"/>
    <w:rsid w:val="006E6008"/>
    <w:rsid w:val="006F1A49"/>
    <w:rsid w:val="006F34B7"/>
    <w:rsid w:val="006F4883"/>
    <w:rsid w:val="006F5738"/>
    <w:rsid w:val="006F6B94"/>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27B6C"/>
    <w:rsid w:val="00732E62"/>
    <w:rsid w:val="00734629"/>
    <w:rsid w:val="0073563D"/>
    <w:rsid w:val="007359D0"/>
    <w:rsid w:val="00735C25"/>
    <w:rsid w:val="0073691D"/>
    <w:rsid w:val="00737B87"/>
    <w:rsid w:val="007421DD"/>
    <w:rsid w:val="00742745"/>
    <w:rsid w:val="007433C8"/>
    <w:rsid w:val="00743455"/>
    <w:rsid w:val="0074775E"/>
    <w:rsid w:val="00756626"/>
    <w:rsid w:val="007572BE"/>
    <w:rsid w:val="00763093"/>
    <w:rsid w:val="00764B19"/>
    <w:rsid w:val="00765853"/>
    <w:rsid w:val="0076760A"/>
    <w:rsid w:val="007709F6"/>
    <w:rsid w:val="00774D1E"/>
    <w:rsid w:val="007765A6"/>
    <w:rsid w:val="00777132"/>
    <w:rsid w:val="00781FE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E4"/>
    <w:rsid w:val="00833B3B"/>
    <w:rsid w:val="00834263"/>
    <w:rsid w:val="0083518C"/>
    <w:rsid w:val="00835258"/>
    <w:rsid w:val="00836C7B"/>
    <w:rsid w:val="00837077"/>
    <w:rsid w:val="00837A11"/>
    <w:rsid w:val="008400F7"/>
    <w:rsid w:val="00843CE6"/>
    <w:rsid w:val="00843F7F"/>
    <w:rsid w:val="00844B85"/>
    <w:rsid w:val="00845785"/>
    <w:rsid w:val="0084594D"/>
    <w:rsid w:val="0084629B"/>
    <w:rsid w:val="008470A5"/>
    <w:rsid w:val="008524BA"/>
    <w:rsid w:val="00854FBA"/>
    <w:rsid w:val="00855549"/>
    <w:rsid w:val="00857757"/>
    <w:rsid w:val="00860FD0"/>
    <w:rsid w:val="008629F4"/>
    <w:rsid w:val="00863A5B"/>
    <w:rsid w:val="0087038D"/>
    <w:rsid w:val="008800E3"/>
    <w:rsid w:val="008807C0"/>
    <w:rsid w:val="008851A9"/>
    <w:rsid w:val="00887F0C"/>
    <w:rsid w:val="008909E3"/>
    <w:rsid w:val="00893056"/>
    <w:rsid w:val="00893A32"/>
    <w:rsid w:val="00894B74"/>
    <w:rsid w:val="008958E4"/>
    <w:rsid w:val="008A1A9C"/>
    <w:rsid w:val="008A541E"/>
    <w:rsid w:val="008B0ED1"/>
    <w:rsid w:val="008B2C2E"/>
    <w:rsid w:val="008B3188"/>
    <w:rsid w:val="008B336F"/>
    <w:rsid w:val="008B56D2"/>
    <w:rsid w:val="008B7147"/>
    <w:rsid w:val="008C23E0"/>
    <w:rsid w:val="008C3D8A"/>
    <w:rsid w:val="008C3FF0"/>
    <w:rsid w:val="008C56F5"/>
    <w:rsid w:val="008C59F4"/>
    <w:rsid w:val="008C6787"/>
    <w:rsid w:val="008C7394"/>
    <w:rsid w:val="008C7810"/>
    <w:rsid w:val="008C789D"/>
    <w:rsid w:val="008D0FB0"/>
    <w:rsid w:val="008D2DB0"/>
    <w:rsid w:val="008D3747"/>
    <w:rsid w:val="008D5853"/>
    <w:rsid w:val="008D6BE2"/>
    <w:rsid w:val="008E0100"/>
    <w:rsid w:val="008E2ABA"/>
    <w:rsid w:val="008E40DA"/>
    <w:rsid w:val="008E7989"/>
    <w:rsid w:val="008E7DD4"/>
    <w:rsid w:val="008F3F87"/>
    <w:rsid w:val="008F3FFA"/>
    <w:rsid w:val="008F6917"/>
    <w:rsid w:val="008F71B6"/>
    <w:rsid w:val="008F7584"/>
    <w:rsid w:val="0090229C"/>
    <w:rsid w:val="00903112"/>
    <w:rsid w:val="0090469F"/>
    <w:rsid w:val="0090555B"/>
    <w:rsid w:val="009113FC"/>
    <w:rsid w:val="00911B77"/>
    <w:rsid w:val="00912B21"/>
    <w:rsid w:val="0091365F"/>
    <w:rsid w:val="00917842"/>
    <w:rsid w:val="009207E0"/>
    <w:rsid w:val="00921DF6"/>
    <w:rsid w:val="00924893"/>
    <w:rsid w:val="00926422"/>
    <w:rsid w:val="009302F3"/>
    <w:rsid w:val="00934006"/>
    <w:rsid w:val="009369AF"/>
    <w:rsid w:val="00937328"/>
    <w:rsid w:val="0093779E"/>
    <w:rsid w:val="00940228"/>
    <w:rsid w:val="00941A94"/>
    <w:rsid w:val="00945580"/>
    <w:rsid w:val="009461B5"/>
    <w:rsid w:val="00950D6E"/>
    <w:rsid w:val="009548AD"/>
    <w:rsid w:val="00956637"/>
    <w:rsid w:val="0095717F"/>
    <w:rsid w:val="0096020D"/>
    <w:rsid w:val="009652E1"/>
    <w:rsid w:val="009700EA"/>
    <w:rsid w:val="00973324"/>
    <w:rsid w:val="00975C50"/>
    <w:rsid w:val="00976106"/>
    <w:rsid w:val="009816FF"/>
    <w:rsid w:val="009837EC"/>
    <w:rsid w:val="009845F3"/>
    <w:rsid w:val="00990633"/>
    <w:rsid w:val="00991551"/>
    <w:rsid w:val="009921E7"/>
    <w:rsid w:val="00994B9D"/>
    <w:rsid w:val="009A2069"/>
    <w:rsid w:val="009A24DD"/>
    <w:rsid w:val="009A506D"/>
    <w:rsid w:val="009A55BF"/>
    <w:rsid w:val="009A73F9"/>
    <w:rsid w:val="009B0065"/>
    <w:rsid w:val="009B2CDC"/>
    <w:rsid w:val="009B4623"/>
    <w:rsid w:val="009B4FED"/>
    <w:rsid w:val="009B68FA"/>
    <w:rsid w:val="009B6E41"/>
    <w:rsid w:val="009B6FEB"/>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F00CA"/>
    <w:rsid w:val="009F1CB3"/>
    <w:rsid w:val="009F5445"/>
    <w:rsid w:val="009F6A88"/>
    <w:rsid w:val="009F6E40"/>
    <w:rsid w:val="00A014D8"/>
    <w:rsid w:val="00A01CA9"/>
    <w:rsid w:val="00A02B70"/>
    <w:rsid w:val="00A02EC0"/>
    <w:rsid w:val="00A0310D"/>
    <w:rsid w:val="00A033E2"/>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3AE"/>
    <w:rsid w:val="00A50DF7"/>
    <w:rsid w:val="00A5356D"/>
    <w:rsid w:val="00A56E2F"/>
    <w:rsid w:val="00A570F8"/>
    <w:rsid w:val="00A616FB"/>
    <w:rsid w:val="00A62074"/>
    <w:rsid w:val="00A626B0"/>
    <w:rsid w:val="00A63A9C"/>
    <w:rsid w:val="00A63F72"/>
    <w:rsid w:val="00A66EBD"/>
    <w:rsid w:val="00A72B3B"/>
    <w:rsid w:val="00A73039"/>
    <w:rsid w:val="00A7388F"/>
    <w:rsid w:val="00A739E7"/>
    <w:rsid w:val="00A75C85"/>
    <w:rsid w:val="00A81A17"/>
    <w:rsid w:val="00A8478E"/>
    <w:rsid w:val="00A85D86"/>
    <w:rsid w:val="00A91A61"/>
    <w:rsid w:val="00A91F9F"/>
    <w:rsid w:val="00A93BEF"/>
    <w:rsid w:val="00A94BE5"/>
    <w:rsid w:val="00AA1EC4"/>
    <w:rsid w:val="00AA26BF"/>
    <w:rsid w:val="00AA4EEB"/>
    <w:rsid w:val="00AA6158"/>
    <w:rsid w:val="00AB0DB9"/>
    <w:rsid w:val="00AB197A"/>
    <w:rsid w:val="00AB538C"/>
    <w:rsid w:val="00AB6351"/>
    <w:rsid w:val="00AC0C26"/>
    <w:rsid w:val="00AC2484"/>
    <w:rsid w:val="00AC2AE1"/>
    <w:rsid w:val="00AC729C"/>
    <w:rsid w:val="00AD15D6"/>
    <w:rsid w:val="00AD3A6E"/>
    <w:rsid w:val="00AD4215"/>
    <w:rsid w:val="00AD454A"/>
    <w:rsid w:val="00AD73AB"/>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2224D"/>
    <w:rsid w:val="00B228EA"/>
    <w:rsid w:val="00B263A4"/>
    <w:rsid w:val="00B26485"/>
    <w:rsid w:val="00B27103"/>
    <w:rsid w:val="00B27134"/>
    <w:rsid w:val="00B27466"/>
    <w:rsid w:val="00B31493"/>
    <w:rsid w:val="00B3468F"/>
    <w:rsid w:val="00B408F4"/>
    <w:rsid w:val="00B41A65"/>
    <w:rsid w:val="00B44146"/>
    <w:rsid w:val="00B5172B"/>
    <w:rsid w:val="00B5208F"/>
    <w:rsid w:val="00B5382A"/>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3888"/>
    <w:rsid w:val="00B8482A"/>
    <w:rsid w:val="00B852B1"/>
    <w:rsid w:val="00B85628"/>
    <w:rsid w:val="00B878AA"/>
    <w:rsid w:val="00B90814"/>
    <w:rsid w:val="00B90B33"/>
    <w:rsid w:val="00B91B5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7446"/>
    <w:rsid w:val="00BE0F12"/>
    <w:rsid w:val="00BE1633"/>
    <w:rsid w:val="00BE1EA8"/>
    <w:rsid w:val="00BE21D5"/>
    <w:rsid w:val="00BE2488"/>
    <w:rsid w:val="00BE2B41"/>
    <w:rsid w:val="00BE5332"/>
    <w:rsid w:val="00BE7F67"/>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1323"/>
    <w:rsid w:val="00C32230"/>
    <w:rsid w:val="00C33147"/>
    <w:rsid w:val="00C343E2"/>
    <w:rsid w:val="00C346E9"/>
    <w:rsid w:val="00C3722B"/>
    <w:rsid w:val="00C373A3"/>
    <w:rsid w:val="00C41A90"/>
    <w:rsid w:val="00C41BEC"/>
    <w:rsid w:val="00C41FA9"/>
    <w:rsid w:val="00C42277"/>
    <w:rsid w:val="00C44455"/>
    <w:rsid w:val="00C479BC"/>
    <w:rsid w:val="00C512AC"/>
    <w:rsid w:val="00C5272C"/>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1DC4"/>
    <w:rsid w:val="00C8319A"/>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E6F"/>
    <w:rsid w:val="00CE3C16"/>
    <w:rsid w:val="00CE4732"/>
    <w:rsid w:val="00CE6FB6"/>
    <w:rsid w:val="00CE7AD9"/>
    <w:rsid w:val="00CF32A8"/>
    <w:rsid w:val="00CF3576"/>
    <w:rsid w:val="00CF4740"/>
    <w:rsid w:val="00CF4781"/>
    <w:rsid w:val="00CF4FAD"/>
    <w:rsid w:val="00CF6826"/>
    <w:rsid w:val="00CF7A2E"/>
    <w:rsid w:val="00D00847"/>
    <w:rsid w:val="00D02590"/>
    <w:rsid w:val="00D03363"/>
    <w:rsid w:val="00D04AA5"/>
    <w:rsid w:val="00D1199A"/>
    <w:rsid w:val="00D14CB3"/>
    <w:rsid w:val="00D20C5C"/>
    <w:rsid w:val="00D23BB6"/>
    <w:rsid w:val="00D24377"/>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592"/>
    <w:rsid w:val="00D72413"/>
    <w:rsid w:val="00D7265F"/>
    <w:rsid w:val="00D737DF"/>
    <w:rsid w:val="00D7688C"/>
    <w:rsid w:val="00D769DE"/>
    <w:rsid w:val="00D76D20"/>
    <w:rsid w:val="00D81C37"/>
    <w:rsid w:val="00D82CD2"/>
    <w:rsid w:val="00D867C7"/>
    <w:rsid w:val="00D938B2"/>
    <w:rsid w:val="00D944DF"/>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D013F"/>
    <w:rsid w:val="00DD0A11"/>
    <w:rsid w:val="00DD17D3"/>
    <w:rsid w:val="00DD3FB1"/>
    <w:rsid w:val="00DD4E42"/>
    <w:rsid w:val="00DD5814"/>
    <w:rsid w:val="00DD59F2"/>
    <w:rsid w:val="00DD6C53"/>
    <w:rsid w:val="00DE123F"/>
    <w:rsid w:val="00DE2C67"/>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1752B"/>
    <w:rsid w:val="00E213AB"/>
    <w:rsid w:val="00E215AB"/>
    <w:rsid w:val="00E22BDB"/>
    <w:rsid w:val="00E261F0"/>
    <w:rsid w:val="00E263BE"/>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2DFA"/>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20BA"/>
    <w:rsid w:val="00EE2D56"/>
    <w:rsid w:val="00EE2E85"/>
    <w:rsid w:val="00EE370B"/>
    <w:rsid w:val="00EE3A4F"/>
    <w:rsid w:val="00EE408C"/>
    <w:rsid w:val="00EE422B"/>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F38"/>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4A7"/>
    <w:rsid w:val="00F535D6"/>
    <w:rsid w:val="00F5535C"/>
    <w:rsid w:val="00F55A1E"/>
    <w:rsid w:val="00F55A6D"/>
    <w:rsid w:val="00F56BE9"/>
    <w:rsid w:val="00F612B8"/>
    <w:rsid w:val="00F61515"/>
    <w:rsid w:val="00F6239F"/>
    <w:rsid w:val="00F62FFD"/>
    <w:rsid w:val="00F63B33"/>
    <w:rsid w:val="00F65007"/>
    <w:rsid w:val="00F65257"/>
    <w:rsid w:val="00F662B8"/>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B4062"/>
    <w:rsid w:val="00FB44A9"/>
    <w:rsid w:val="00FB625A"/>
    <w:rsid w:val="00FB69F4"/>
    <w:rsid w:val="00FC0078"/>
    <w:rsid w:val="00FC3127"/>
    <w:rsid w:val="00FC4A88"/>
    <w:rsid w:val="00FC59A5"/>
    <w:rsid w:val="00FD1F23"/>
    <w:rsid w:val="00FD3E41"/>
    <w:rsid w:val="00FD4001"/>
    <w:rsid w:val="00FD4A9E"/>
    <w:rsid w:val="00FD4D45"/>
    <w:rsid w:val="00FD55B1"/>
    <w:rsid w:val="00FD6717"/>
    <w:rsid w:val="00FE0D9E"/>
    <w:rsid w:val="00FE1EE7"/>
    <w:rsid w:val="00FE5A7E"/>
    <w:rsid w:val="00FF3198"/>
    <w:rsid w:val="00FF5A34"/>
    <w:rsid w:val="00FF6F04"/>
    <w:rsid w:val="010033FE"/>
    <w:rsid w:val="01285229"/>
    <w:rsid w:val="012C278F"/>
    <w:rsid w:val="013E363B"/>
    <w:rsid w:val="01F81427"/>
    <w:rsid w:val="02E00082"/>
    <w:rsid w:val="037203C5"/>
    <w:rsid w:val="038B0293"/>
    <w:rsid w:val="03F93561"/>
    <w:rsid w:val="04483772"/>
    <w:rsid w:val="048C6CF5"/>
    <w:rsid w:val="04C840C5"/>
    <w:rsid w:val="04FA03DA"/>
    <w:rsid w:val="056A090F"/>
    <w:rsid w:val="05C64A9C"/>
    <w:rsid w:val="05D34727"/>
    <w:rsid w:val="06150D09"/>
    <w:rsid w:val="082F0F7A"/>
    <w:rsid w:val="08931933"/>
    <w:rsid w:val="08BA5AC9"/>
    <w:rsid w:val="095D40BD"/>
    <w:rsid w:val="09C31AF9"/>
    <w:rsid w:val="09CB6A81"/>
    <w:rsid w:val="0A152597"/>
    <w:rsid w:val="0A851326"/>
    <w:rsid w:val="0B4A1776"/>
    <w:rsid w:val="0BBA5907"/>
    <w:rsid w:val="0C1939C9"/>
    <w:rsid w:val="0C786503"/>
    <w:rsid w:val="0D1A04C9"/>
    <w:rsid w:val="0D3C6EA4"/>
    <w:rsid w:val="0D6323D6"/>
    <w:rsid w:val="0DD24D0C"/>
    <w:rsid w:val="0E434661"/>
    <w:rsid w:val="0EA03BFE"/>
    <w:rsid w:val="0FB36D44"/>
    <w:rsid w:val="0FD038C7"/>
    <w:rsid w:val="102B7B27"/>
    <w:rsid w:val="10757130"/>
    <w:rsid w:val="112B34AD"/>
    <w:rsid w:val="11FF5827"/>
    <w:rsid w:val="12513589"/>
    <w:rsid w:val="12AD3208"/>
    <w:rsid w:val="12B85451"/>
    <w:rsid w:val="1356385F"/>
    <w:rsid w:val="137F2DB6"/>
    <w:rsid w:val="14A80541"/>
    <w:rsid w:val="14BA1BCC"/>
    <w:rsid w:val="15655021"/>
    <w:rsid w:val="16694FE2"/>
    <w:rsid w:val="17283764"/>
    <w:rsid w:val="17310C07"/>
    <w:rsid w:val="176318A2"/>
    <w:rsid w:val="18090C43"/>
    <w:rsid w:val="182C3CEA"/>
    <w:rsid w:val="18DA1B4B"/>
    <w:rsid w:val="18FB5F15"/>
    <w:rsid w:val="19145FF3"/>
    <w:rsid w:val="191801CF"/>
    <w:rsid w:val="1A731CAD"/>
    <w:rsid w:val="1AB7330A"/>
    <w:rsid w:val="1B321622"/>
    <w:rsid w:val="1D886D0B"/>
    <w:rsid w:val="1E517EC1"/>
    <w:rsid w:val="1ED61CF8"/>
    <w:rsid w:val="1F9C38D3"/>
    <w:rsid w:val="20175E92"/>
    <w:rsid w:val="20767551"/>
    <w:rsid w:val="20F754EC"/>
    <w:rsid w:val="21380A0A"/>
    <w:rsid w:val="21B71486"/>
    <w:rsid w:val="21DB64E2"/>
    <w:rsid w:val="221C4C30"/>
    <w:rsid w:val="22591C1A"/>
    <w:rsid w:val="22A70B6C"/>
    <w:rsid w:val="22B83BEE"/>
    <w:rsid w:val="22CA329C"/>
    <w:rsid w:val="22E82F78"/>
    <w:rsid w:val="230C40A7"/>
    <w:rsid w:val="234F5CFD"/>
    <w:rsid w:val="2372299A"/>
    <w:rsid w:val="23AB3BD0"/>
    <w:rsid w:val="23C14303"/>
    <w:rsid w:val="23FF4622"/>
    <w:rsid w:val="24394631"/>
    <w:rsid w:val="24DD04D4"/>
    <w:rsid w:val="2555021A"/>
    <w:rsid w:val="25710085"/>
    <w:rsid w:val="25801F7E"/>
    <w:rsid w:val="25D10748"/>
    <w:rsid w:val="27432BC1"/>
    <w:rsid w:val="27BD1A2E"/>
    <w:rsid w:val="27F0275A"/>
    <w:rsid w:val="28580092"/>
    <w:rsid w:val="2858552C"/>
    <w:rsid w:val="28BC23D4"/>
    <w:rsid w:val="29C4731D"/>
    <w:rsid w:val="2A1C4E53"/>
    <w:rsid w:val="2A473AAA"/>
    <w:rsid w:val="2AA10ED5"/>
    <w:rsid w:val="2ADA0518"/>
    <w:rsid w:val="2AF84251"/>
    <w:rsid w:val="2BEB058A"/>
    <w:rsid w:val="2C155C0E"/>
    <w:rsid w:val="2C921974"/>
    <w:rsid w:val="2CBC6705"/>
    <w:rsid w:val="2CE35BA4"/>
    <w:rsid w:val="2DA35CF6"/>
    <w:rsid w:val="2DBE14C9"/>
    <w:rsid w:val="2DDE7EC0"/>
    <w:rsid w:val="2DDF4947"/>
    <w:rsid w:val="2E0203DA"/>
    <w:rsid w:val="2E360413"/>
    <w:rsid w:val="2F6A64D8"/>
    <w:rsid w:val="301765BD"/>
    <w:rsid w:val="30224780"/>
    <w:rsid w:val="30524074"/>
    <w:rsid w:val="30616EA9"/>
    <w:rsid w:val="30D646E6"/>
    <w:rsid w:val="30EA3353"/>
    <w:rsid w:val="314F751F"/>
    <w:rsid w:val="3177433A"/>
    <w:rsid w:val="31A44D82"/>
    <w:rsid w:val="31FC246E"/>
    <w:rsid w:val="32BE120D"/>
    <w:rsid w:val="330C0EF9"/>
    <w:rsid w:val="33506DE6"/>
    <w:rsid w:val="3376538F"/>
    <w:rsid w:val="343D39D8"/>
    <w:rsid w:val="344B5501"/>
    <w:rsid w:val="35545430"/>
    <w:rsid w:val="35A54CED"/>
    <w:rsid w:val="35EF5721"/>
    <w:rsid w:val="36637EBD"/>
    <w:rsid w:val="36B42B19"/>
    <w:rsid w:val="36E538AE"/>
    <w:rsid w:val="3733112C"/>
    <w:rsid w:val="37534CA7"/>
    <w:rsid w:val="37D824F1"/>
    <w:rsid w:val="38033335"/>
    <w:rsid w:val="39767B84"/>
    <w:rsid w:val="3A3519D1"/>
    <w:rsid w:val="3ACE7AB8"/>
    <w:rsid w:val="3AFF06C5"/>
    <w:rsid w:val="3B0C4DFA"/>
    <w:rsid w:val="3B805E1D"/>
    <w:rsid w:val="3BDA1D32"/>
    <w:rsid w:val="3C36211B"/>
    <w:rsid w:val="3C4D26C6"/>
    <w:rsid w:val="3D044EFC"/>
    <w:rsid w:val="3D4A2DCE"/>
    <w:rsid w:val="3E6946AD"/>
    <w:rsid w:val="3EA9224A"/>
    <w:rsid w:val="3EB60CB3"/>
    <w:rsid w:val="3EC436F9"/>
    <w:rsid w:val="3F740895"/>
    <w:rsid w:val="3FB93260"/>
    <w:rsid w:val="3FB93DC6"/>
    <w:rsid w:val="3FE1257F"/>
    <w:rsid w:val="400F48E4"/>
    <w:rsid w:val="402A691C"/>
    <w:rsid w:val="403A1C8F"/>
    <w:rsid w:val="405B50C0"/>
    <w:rsid w:val="40A57339"/>
    <w:rsid w:val="40AC3F7D"/>
    <w:rsid w:val="40E165AE"/>
    <w:rsid w:val="40FD5585"/>
    <w:rsid w:val="41512462"/>
    <w:rsid w:val="41BA3575"/>
    <w:rsid w:val="422E66F3"/>
    <w:rsid w:val="424A1BD1"/>
    <w:rsid w:val="4275164D"/>
    <w:rsid w:val="42BE6BA7"/>
    <w:rsid w:val="430A3262"/>
    <w:rsid w:val="436A0132"/>
    <w:rsid w:val="43A01A96"/>
    <w:rsid w:val="43B41D58"/>
    <w:rsid w:val="441F577B"/>
    <w:rsid w:val="4488746D"/>
    <w:rsid w:val="44966044"/>
    <w:rsid w:val="44A21F06"/>
    <w:rsid w:val="46A824B9"/>
    <w:rsid w:val="46B04A59"/>
    <w:rsid w:val="46BB170B"/>
    <w:rsid w:val="47510906"/>
    <w:rsid w:val="47832E8C"/>
    <w:rsid w:val="47D66741"/>
    <w:rsid w:val="495D70F7"/>
    <w:rsid w:val="49C56A6D"/>
    <w:rsid w:val="4ABB73C2"/>
    <w:rsid w:val="4B2C587D"/>
    <w:rsid w:val="4B457DE8"/>
    <w:rsid w:val="4B7D5F80"/>
    <w:rsid w:val="4BF40741"/>
    <w:rsid w:val="4C423222"/>
    <w:rsid w:val="4C5E019B"/>
    <w:rsid w:val="4CF80302"/>
    <w:rsid w:val="4D7B064A"/>
    <w:rsid w:val="4DE60D60"/>
    <w:rsid w:val="4E724CEA"/>
    <w:rsid w:val="4F64249F"/>
    <w:rsid w:val="4F6E1200"/>
    <w:rsid w:val="4FEE189E"/>
    <w:rsid w:val="50287764"/>
    <w:rsid w:val="50A1482A"/>
    <w:rsid w:val="512573DA"/>
    <w:rsid w:val="518909DC"/>
    <w:rsid w:val="53B432CB"/>
    <w:rsid w:val="53C05B5A"/>
    <w:rsid w:val="53F038EA"/>
    <w:rsid w:val="55496E2F"/>
    <w:rsid w:val="55F637EA"/>
    <w:rsid w:val="56D402F0"/>
    <w:rsid w:val="585C0B38"/>
    <w:rsid w:val="58C9057C"/>
    <w:rsid w:val="596674B0"/>
    <w:rsid w:val="5979710F"/>
    <w:rsid w:val="59BA69E3"/>
    <w:rsid w:val="59F82547"/>
    <w:rsid w:val="5A661DF4"/>
    <w:rsid w:val="5ACF0178"/>
    <w:rsid w:val="5B535726"/>
    <w:rsid w:val="5B5E287E"/>
    <w:rsid w:val="5B750FA2"/>
    <w:rsid w:val="5C3E17F9"/>
    <w:rsid w:val="5D076535"/>
    <w:rsid w:val="5D3A6920"/>
    <w:rsid w:val="5D8135CC"/>
    <w:rsid w:val="5DB63C24"/>
    <w:rsid w:val="5DB70023"/>
    <w:rsid w:val="5DEA6670"/>
    <w:rsid w:val="5E6F7F3D"/>
    <w:rsid w:val="5ECE7F7B"/>
    <w:rsid w:val="5F1E5848"/>
    <w:rsid w:val="5FF22512"/>
    <w:rsid w:val="600446EC"/>
    <w:rsid w:val="600D2EE6"/>
    <w:rsid w:val="60152A6E"/>
    <w:rsid w:val="61316CF9"/>
    <w:rsid w:val="61463829"/>
    <w:rsid w:val="61AA6B4D"/>
    <w:rsid w:val="61E0683B"/>
    <w:rsid w:val="621760F6"/>
    <w:rsid w:val="62246B60"/>
    <w:rsid w:val="62C658A5"/>
    <w:rsid w:val="63224191"/>
    <w:rsid w:val="63F3774D"/>
    <w:rsid w:val="644041B0"/>
    <w:rsid w:val="644F1ACD"/>
    <w:rsid w:val="64E72928"/>
    <w:rsid w:val="65B57F02"/>
    <w:rsid w:val="67BC24AB"/>
    <w:rsid w:val="67E711E8"/>
    <w:rsid w:val="67FF1998"/>
    <w:rsid w:val="680D1D99"/>
    <w:rsid w:val="682D3D04"/>
    <w:rsid w:val="684A4454"/>
    <w:rsid w:val="6869180E"/>
    <w:rsid w:val="68D91796"/>
    <w:rsid w:val="68DC2AD7"/>
    <w:rsid w:val="69431270"/>
    <w:rsid w:val="697B45D1"/>
    <w:rsid w:val="69BF15E3"/>
    <w:rsid w:val="69C60C9C"/>
    <w:rsid w:val="69CF3840"/>
    <w:rsid w:val="6A1A2066"/>
    <w:rsid w:val="6A335F41"/>
    <w:rsid w:val="6A7F4F75"/>
    <w:rsid w:val="6AA140AA"/>
    <w:rsid w:val="6ACA16F9"/>
    <w:rsid w:val="6ADF127C"/>
    <w:rsid w:val="6B16774A"/>
    <w:rsid w:val="6B334FF3"/>
    <w:rsid w:val="6BD32936"/>
    <w:rsid w:val="6BD35F2D"/>
    <w:rsid w:val="6BEE4B6A"/>
    <w:rsid w:val="6C5E6D02"/>
    <w:rsid w:val="6CE77AD2"/>
    <w:rsid w:val="6CE90920"/>
    <w:rsid w:val="6CF84D57"/>
    <w:rsid w:val="6D075F1A"/>
    <w:rsid w:val="6D99255B"/>
    <w:rsid w:val="6DBC1CBD"/>
    <w:rsid w:val="6DF10ECC"/>
    <w:rsid w:val="6E804461"/>
    <w:rsid w:val="6EC640EA"/>
    <w:rsid w:val="6ECE2681"/>
    <w:rsid w:val="6ED07EFC"/>
    <w:rsid w:val="6F771834"/>
    <w:rsid w:val="6FE6271B"/>
    <w:rsid w:val="700B5C22"/>
    <w:rsid w:val="70AA6D57"/>
    <w:rsid w:val="72340F9C"/>
    <w:rsid w:val="728D7448"/>
    <w:rsid w:val="72C67049"/>
    <w:rsid w:val="73AD77F7"/>
    <w:rsid w:val="73EA0CFB"/>
    <w:rsid w:val="73FD342C"/>
    <w:rsid w:val="73FD4242"/>
    <w:rsid w:val="7477681D"/>
    <w:rsid w:val="74B83AE0"/>
    <w:rsid w:val="74E3624D"/>
    <w:rsid w:val="74EB1DB0"/>
    <w:rsid w:val="75B93A51"/>
    <w:rsid w:val="75C073ED"/>
    <w:rsid w:val="75C12BF5"/>
    <w:rsid w:val="75EA6D90"/>
    <w:rsid w:val="75F33713"/>
    <w:rsid w:val="7617699B"/>
    <w:rsid w:val="774152C9"/>
    <w:rsid w:val="793070F8"/>
    <w:rsid w:val="798B2BAC"/>
    <w:rsid w:val="79C8563A"/>
    <w:rsid w:val="79D825C1"/>
    <w:rsid w:val="79E74373"/>
    <w:rsid w:val="7A901E15"/>
    <w:rsid w:val="7B5D131E"/>
    <w:rsid w:val="7BBA79BE"/>
    <w:rsid w:val="7DB41B16"/>
    <w:rsid w:val="7DEB79E2"/>
    <w:rsid w:val="7DFC5027"/>
    <w:rsid w:val="7E002D54"/>
    <w:rsid w:val="7E4E2F92"/>
    <w:rsid w:val="7F01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9"/>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6">
    <w:name w:val="Normal Indent"/>
    <w:basedOn w:val="1"/>
    <w:link w:val="46"/>
    <w:qFormat/>
    <w:uiPriority w:val="0"/>
    <w:pPr>
      <w:ind w:firstLine="420"/>
    </w:pPr>
    <w:rPr>
      <w:rFonts w:eastAsia="宋体"/>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Document Map"/>
    <w:basedOn w:val="1"/>
    <w:link w:val="43"/>
    <w:unhideWhenUsed/>
    <w:qFormat/>
    <w:uiPriority w:val="99"/>
    <w:rPr>
      <w:rFonts w:ascii="宋体"/>
      <w:sz w:val="18"/>
      <w:szCs w:val="18"/>
    </w:rPr>
  </w:style>
  <w:style w:type="paragraph" w:styleId="9">
    <w:name w:val="annotation text"/>
    <w:basedOn w:val="1"/>
    <w:link w:val="80"/>
    <w:unhideWhenUsed/>
    <w:qFormat/>
    <w:uiPriority w:val="99"/>
    <w:pPr>
      <w:jc w:val="left"/>
    </w:pPr>
  </w:style>
  <w:style w:type="paragraph" w:styleId="10">
    <w:name w:val="Body Text"/>
    <w:basedOn w:val="1"/>
    <w:next w:val="1"/>
    <w:link w:val="83"/>
    <w:unhideWhenUsed/>
    <w:qFormat/>
    <w:uiPriority w:val="99"/>
    <w:pPr>
      <w:spacing w:after="120"/>
    </w:pPr>
    <w:rPr>
      <w:rFonts w:ascii="Times New Roman" w:hAnsi="Times New Roman" w:eastAsia="宋体" w:cs="Times New Roman"/>
      <w:sz w:val="28"/>
      <w:szCs w:val="24"/>
    </w:rPr>
  </w:style>
  <w:style w:type="paragraph" w:styleId="11">
    <w:name w:val="Body Text Indent"/>
    <w:basedOn w:val="1"/>
    <w:link w:val="70"/>
    <w:qFormat/>
    <w:uiPriority w:val="0"/>
    <w:pPr>
      <w:spacing w:line="200" w:lineRule="atLeast"/>
      <w:ind w:firstLine="301"/>
    </w:pPr>
    <w:rPr>
      <w:rFonts w:ascii="宋体" w:hAnsi="Courier New"/>
      <w:spacing w:val="-4"/>
      <w:sz w:val="18"/>
    </w:rPr>
  </w:style>
  <w:style w:type="paragraph" w:styleId="12">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3">
    <w:name w:val="Plain Text"/>
    <w:basedOn w:val="1"/>
    <w:link w:val="55"/>
    <w:qFormat/>
    <w:uiPriority w:val="99"/>
    <w:pPr>
      <w:spacing w:before="156" w:beforeLines="50" w:after="156" w:afterLines="50" w:line="400" w:lineRule="atLeast"/>
    </w:pPr>
    <w:rPr>
      <w:rFonts w:ascii="宋体" w:hAnsi="Courier New"/>
      <w:sz w:val="24"/>
      <w:szCs w:val="24"/>
    </w:rPr>
  </w:style>
  <w:style w:type="paragraph" w:styleId="14">
    <w:name w:val="Date"/>
    <w:basedOn w:val="1"/>
    <w:next w:val="1"/>
    <w:link w:val="86"/>
    <w:qFormat/>
    <w:uiPriority w:val="0"/>
    <w:pPr>
      <w:ind w:left="2500" w:leftChars="2500"/>
    </w:pPr>
    <w:rPr>
      <w:rFonts w:ascii="Times New Roman" w:hAnsi="Times New Roman" w:eastAsia="楷体_GB2312" w:cs="Times New Roman"/>
      <w:sz w:val="32"/>
      <w:szCs w:val="20"/>
    </w:rPr>
  </w:style>
  <w:style w:type="paragraph" w:styleId="15">
    <w:name w:val="Balloon Text"/>
    <w:basedOn w:val="1"/>
    <w:link w:val="84"/>
    <w:qFormat/>
    <w:uiPriority w:val="0"/>
    <w:rPr>
      <w:rFonts w:ascii="Times New Roman" w:hAnsi="Times New Roman" w:eastAsia="宋体" w:cs="Times New Roman"/>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rPr>
      <w:rFonts w:ascii="Times New Roman" w:hAnsi="Times New Roman" w:eastAsia="宋体" w:cs="Times New Roman"/>
      <w:sz w:val="28"/>
      <w:szCs w:val="24"/>
    </w:rPr>
  </w:style>
  <w:style w:type="paragraph" w:styleId="19">
    <w:name w:val="Body Text 2"/>
    <w:basedOn w:val="1"/>
    <w:link w:val="72"/>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0">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1">
    <w:name w:val="annotation subject"/>
    <w:basedOn w:val="9"/>
    <w:next w:val="9"/>
    <w:link w:val="56"/>
    <w:unhideWhenUsed/>
    <w:qFormat/>
    <w:uiPriority w:val="99"/>
    <w:rPr>
      <w:b/>
      <w:bCs/>
      <w:sz w:val="28"/>
      <w:szCs w:val="24"/>
    </w:rPr>
  </w:style>
  <w:style w:type="paragraph" w:styleId="22">
    <w:name w:val="Body Text First Indent 2"/>
    <w:basedOn w:val="11"/>
    <w:link w:val="88"/>
    <w:unhideWhenUsed/>
    <w:qFormat/>
    <w:uiPriority w:val="99"/>
    <w:pPr>
      <w:ind w:firstLine="42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unhideWhenUsed/>
    <w:qFormat/>
    <w:uiPriority w:val="99"/>
    <w:rPr>
      <w:color w:val="5579A7"/>
      <w:u w:val="none"/>
    </w:rPr>
  </w:style>
  <w:style w:type="character" w:styleId="29">
    <w:name w:val="HTML Definition"/>
    <w:unhideWhenUsed/>
    <w:qFormat/>
    <w:uiPriority w:val="99"/>
    <w:rPr>
      <w:i/>
    </w:rPr>
  </w:style>
  <w:style w:type="character" w:styleId="30">
    <w:name w:val="Hyperlink"/>
    <w:qFormat/>
    <w:uiPriority w:val="0"/>
    <w:rPr>
      <w:color w:val="5579A7"/>
      <w:u w:val="none"/>
    </w:rPr>
  </w:style>
  <w:style w:type="character" w:styleId="31">
    <w:name w:val="HTML Code"/>
    <w:unhideWhenUsed/>
    <w:qFormat/>
    <w:uiPriority w:val="99"/>
    <w:rPr>
      <w:rFonts w:ascii="-apple-system" w:hAnsi="-apple-system" w:eastAsia="-apple-system" w:cs="-apple-system"/>
      <w:sz w:val="21"/>
      <w:szCs w:val="21"/>
    </w:rPr>
  </w:style>
  <w:style w:type="character" w:styleId="32">
    <w:name w:val="annotation reference"/>
    <w:unhideWhenUsed/>
    <w:qFormat/>
    <w:uiPriority w:val="99"/>
    <w:rPr>
      <w:sz w:val="21"/>
      <w:szCs w:val="21"/>
    </w:rPr>
  </w:style>
  <w:style w:type="character" w:styleId="33">
    <w:name w:val="HTML Keyboard"/>
    <w:unhideWhenUsed/>
    <w:qFormat/>
    <w:uiPriority w:val="99"/>
    <w:rPr>
      <w:rFonts w:hint="default" w:ascii="-apple-system" w:hAnsi="-apple-system" w:eastAsia="-apple-system" w:cs="-apple-system"/>
      <w:sz w:val="21"/>
      <w:szCs w:val="21"/>
    </w:rPr>
  </w:style>
  <w:style w:type="character" w:styleId="34">
    <w:name w:val="HTML Sample"/>
    <w:unhideWhenUsed/>
    <w:qFormat/>
    <w:uiPriority w:val="99"/>
    <w:rPr>
      <w:rFonts w:hint="default" w:ascii="-apple-system" w:hAnsi="-apple-system" w:eastAsia="-apple-system" w:cs="-apple-system"/>
      <w:sz w:val="21"/>
      <w:szCs w:val="21"/>
    </w:rPr>
  </w:style>
  <w:style w:type="character" w:customStyle="1" w:styleId="35">
    <w:name w:val="页眉 字符"/>
    <w:basedOn w:val="25"/>
    <w:link w:val="17"/>
    <w:qFormat/>
    <w:uiPriority w:val="99"/>
    <w:rPr>
      <w:sz w:val="18"/>
      <w:szCs w:val="18"/>
    </w:rPr>
  </w:style>
  <w:style w:type="character" w:customStyle="1" w:styleId="36">
    <w:name w:val="页脚 字符"/>
    <w:basedOn w:val="25"/>
    <w:link w:val="16"/>
    <w:qFormat/>
    <w:uiPriority w:val="99"/>
    <w:rPr>
      <w:sz w:val="18"/>
      <w:szCs w:val="18"/>
    </w:rPr>
  </w:style>
  <w:style w:type="character" w:customStyle="1" w:styleId="37">
    <w:name w:val="标题 1 字符"/>
    <w:basedOn w:val="25"/>
    <w:link w:val="2"/>
    <w:qFormat/>
    <w:uiPriority w:val="9"/>
    <w:rPr>
      <w:rFonts w:ascii="Times New Roman" w:hAnsi="Times New Roman" w:eastAsia="宋体" w:cs="Times New Roman"/>
      <w:b/>
      <w:bCs/>
      <w:kern w:val="44"/>
      <w:sz w:val="44"/>
      <w:szCs w:val="44"/>
    </w:rPr>
  </w:style>
  <w:style w:type="character" w:customStyle="1" w:styleId="38">
    <w:name w:val="标题 2 字符"/>
    <w:basedOn w:val="25"/>
    <w:link w:val="3"/>
    <w:qFormat/>
    <w:uiPriority w:val="9"/>
    <w:rPr>
      <w:rFonts w:ascii="Cambria" w:hAnsi="Cambria" w:eastAsia="宋体" w:cs="Times New Roman"/>
      <w:b/>
      <w:bCs/>
      <w:sz w:val="32"/>
      <w:szCs w:val="32"/>
    </w:rPr>
  </w:style>
  <w:style w:type="character" w:customStyle="1" w:styleId="39">
    <w:name w:val="标题 3 字符"/>
    <w:basedOn w:val="25"/>
    <w:link w:val="4"/>
    <w:qFormat/>
    <w:uiPriority w:val="9"/>
    <w:rPr>
      <w:rFonts w:ascii="Times New Roman" w:hAnsi="Times New Roman" w:eastAsia="宋体" w:cs="Times New Roman"/>
      <w:b/>
      <w:bCs/>
      <w:sz w:val="32"/>
      <w:szCs w:val="32"/>
    </w:rPr>
  </w:style>
  <w:style w:type="character" w:customStyle="1" w:styleId="40">
    <w:name w:val="jbox-icon-none"/>
    <w:qFormat/>
    <w:uiPriority w:val="0"/>
    <w:rPr>
      <w:vanish/>
    </w:rPr>
  </w:style>
  <w:style w:type="character" w:customStyle="1" w:styleId="41">
    <w:name w:val="z-窗体底端 字符"/>
    <w:link w:val="42"/>
    <w:qFormat/>
    <w:uiPriority w:val="99"/>
    <w:rPr>
      <w:rFonts w:ascii="Arial" w:hAnsi="Arial"/>
      <w:vanish/>
      <w:sz w:val="16"/>
      <w:szCs w:val="16"/>
    </w:rPr>
  </w:style>
  <w:style w:type="paragraph" w:customStyle="1" w:styleId="42">
    <w:name w:val="z-窗体底端1"/>
    <w:basedOn w:val="1"/>
    <w:next w:val="1"/>
    <w:link w:val="41"/>
    <w:unhideWhenUsed/>
    <w:qFormat/>
    <w:uiPriority w:val="99"/>
    <w:pPr>
      <w:widowControl/>
      <w:pBdr>
        <w:top w:val="single" w:color="auto" w:sz="6" w:space="1"/>
      </w:pBdr>
      <w:jc w:val="center"/>
    </w:pPr>
    <w:rPr>
      <w:rFonts w:ascii="Arial" w:hAnsi="Arial"/>
      <w:vanish/>
      <w:sz w:val="16"/>
      <w:szCs w:val="16"/>
    </w:rPr>
  </w:style>
  <w:style w:type="character" w:customStyle="1" w:styleId="43">
    <w:name w:val="文档结构图 字符"/>
    <w:link w:val="8"/>
    <w:qFormat/>
    <w:uiPriority w:val="99"/>
    <w:rPr>
      <w:rFonts w:ascii="宋体"/>
      <w:sz w:val="18"/>
      <w:szCs w:val="18"/>
    </w:rPr>
  </w:style>
  <w:style w:type="character" w:customStyle="1" w:styleId="44">
    <w:name w:val="black601"/>
    <w:qFormat/>
    <w:uiPriority w:val="0"/>
    <w:rPr>
      <w:color w:val="666666"/>
    </w:rPr>
  </w:style>
  <w:style w:type="character" w:customStyle="1" w:styleId="45">
    <w:name w:val="hour_pm"/>
    <w:basedOn w:val="25"/>
    <w:qFormat/>
    <w:uiPriority w:val="0"/>
  </w:style>
  <w:style w:type="character" w:customStyle="1" w:styleId="46">
    <w:name w:val="正文缩进 字符"/>
    <w:link w:val="6"/>
    <w:qFormat/>
    <w:uiPriority w:val="0"/>
    <w:rPr>
      <w:rFonts w:eastAsia="宋体"/>
    </w:rPr>
  </w:style>
  <w:style w:type="character" w:customStyle="1" w:styleId="47">
    <w:name w:val="标题 1 Char Char"/>
    <w:qFormat/>
    <w:uiPriority w:val="0"/>
    <w:rPr>
      <w:rFonts w:eastAsia="宋体"/>
      <w:b/>
      <w:spacing w:val="-2"/>
      <w:sz w:val="24"/>
      <w:lang w:val="en-US" w:eastAsia="zh-CN" w:bidi="ar-SA"/>
    </w:rPr>
  </w:style>
  <w:style w:type="character" w:customStyle="1" w:styleId="48">
    <w:name w:val="jbox-icon-info"/>
    <w:basedOn w:val="25"/>
    <w:qFormat/>
    <w:uiPriority w:val="0"/>
  </w:style>
  <w:style w:type="character" w:customStyle="1" w:styleId="49">
    <w:name w:val="hover9"/>
    <w:qFormat/>
    <w:uiPriority w:val="0"/>
    <w:rPr>
      <w:shd w:val="clear" w:color="auto" w:fill="EEEEEE"/>
    </w:rPr>
  </w:style>
  <w:style w:type="character" w:customStyle="1" w:styleId="50">
    <w:name w:val="maywed421"/>
    <w:qFormat/>
    <w:uiPriority w:val="0"/>
    <w:rPr>
      <w:color w:val="366FB6"/>
      <w:u w:val="none"/>
    </w:rPr>
  </w:style>
  <w:style w:type="character" w:customStyle="1" w:styleId="51">
    <w:name w:val="old"/>
    <w:qFormat/>
    <w:uiPriority w:val="0"/>
    <w:rPr>
      <w:color w:val="999999"/>
    </w:rPr>
  </w:style>
  <w:style w:type="character" w:customStyle="1" w:styleId="52">
    <w:name w:val="jbox-icon-warning"/>
    <w:basedOn w:val="25"/>
    <w:qFormat/>
    <w:uiPriority w:val="0"/>
  </w:style>
  <w:style w:type="character" w:customStyle="1" w:styleId="53">
    <w:name w:val="z-窗体顶端 字符"/>
    <w:link w:val="54"/>
    <w:qFormat/>
    <w:uiPriority w:val="99"/>
    <w:rPr>
      <w:rFonts w:ascii="Arial" w:hAnsi="Arial"/>
      <w:vanish/>
      <w:sz w:val="16"/>
      <w:szCs w:val="16"/>
    </w:rPr>
  </w:style>
  <w:style w:type="paragraph" w:customStyle="1" w:styleId="54">
    <w:name w:val="z-窗体顶端1"/>
    <w:basedOn w:val="1"/>
    <w:next w:val="1"/>
    <w:link w:val="53"/>
    <w:unhideWhenUsed/>
    <w:qFormat/>
    <w:uiPriority w:val="99"/>
    <w:pPr>
      <w:widowControl/>
      <w:pBdr>
        <w:bottom w:val="single" w:color="auto" w:sz="6" w:space="1"/>
      </w:pBdr>
      <w:jc w:val="center"/>
    </w:pPr>
    <w:rPr>
      <w:rFonts w:ascii="Arial" w:hAnsi="Arial"/>
      <w:vanish/>
      <w:sz w:val="16"/>
      <w:szCs w:val="16"/>
    </w:rPr>
  </w:style>
  <w:style w:type="character" w:customStyle="1" w:styleId="55">
    <w:name w:val="纯文本 字符1"/>
    <w:link w:val="13"/>
    <w:qFormat/>
    <w:uiPriority w:val="99"/>
    <w:rPr>
      <w:rFonts w:ascii="宋体" w:hAnsi="Courier New"/>
      <w:sz w:val="24"/>
      <w:szCs w:val="24"/>
    </w:rPr>
  </w:style>
  <w:style w:type="character" w:customStyle="1" w:styleId="56">
    <w:name w:val="批注主题 字符"/>
    <w:link w:val="21"/>
    <w:qFormat/>
    <w:uiPriority w:val="99"/>
    <w:rPr>
      <w:b/>
      <w:bCs/>
      <w:sz w:val="28"/>
      <w:szCs w:val="24"/>
    </w:rPr>
  </w:style>
  <w:style w:type="character" w:customStyle="1" w:styleId="57">
    <w:name w:val="jbox-icon-loading"/>
    <w:basedOn w:val="25"/>
    <w:qFormat/>
    <w:uiPriority w:val="0"/>
  </w:style>
  <w:style w:type="character" w:customStyle="1" w:styleId="58">
    <w:name w:val="正文文本缩进 字符"/>
    <w:qFormat/>
    <w:uiPriority w:val="0"/>
    <w:rPr>
      <w:rFonts w:ascii="宋体" w:hAnsi="Courier New"/>
      <w:spacing w:val="-4"/>
      <w:kern w:val="2"/>
      <w:sz w:val="18"/>
    </w:rPr>
  </w:style>
  <w:style w:type="character" w:customStyle="1" w:styleId="59">
    <w:name w:val="正文文本缩进 字符1"/>
    <w:qFormat/>
    <w:uiPriority w:val="0"/>
    <w:rPr>
      <w:rFonts w:ascii="宋体" w:hAnsi="Courier New"/>
      <w:spacing w:val="-4"/>
      <w:kern w:val="2"/>
      <w:sz w:val="18"/>
    </w:rPr>
  </w:style>
  <w:style w:type="character" w:customStyle="1" w:styleId="60">
    <w:name w:val="纯文本 字符"/>
    <w:qFormat/>
    <w:uiPriority w:val="99"/>
    <w:rPr>
      <w:rFonts w:ascii="宋体" w:hAnsi="Courier New"/>
      <w:kern w:val="2"/>
      <w:sz w:val="24"/>
      <w:szCs w:val="24"/>
    </w:rPr>
  </w:style>
  <w:style w:type="character" w:customStyle="1" w:styleId="61">
    <w:name w:val="jbox-icon-question"/>
    <w:basedOn w:val="25"/>
    <w:qFormat/>
    <w:uiPriority w:val="0"/>
  </w:style>
  <w:style w:type="character" w:customStyle="1" w:styleId="62">
    <w:name w:val="jbox-icon"/>
    <w:basedOn w:val="25"/>
    <w:qFormat/>
    <w:uiPriority w:val="0"/>
  </w:style>
  <w:style w:type="character" w:customStyle="1" w:styleId="63">
    <w:name w:val="纯文本 字符2"/>
    <w:qFormat/>
    <w:uiPriority w:val="99"/>
    <w:rPr>
      <w:rFonts w:ascii="宋体" w:hAnsi="Courier New"/>
      <w:kern w:val="2"/>
      <w:sz w:val="24"/>
      <w:szCs w:val="24"/>
    </w:rPr>
  </w:style>
  <w:style w:type="character" w:customStyle="1" w:styleId="64">
    <w:name w:val="hour_am"/>
    <w:basedOn w:val="25"/>
    <w:qFormat/>
    <w:uiPriority w:val="0"/>
  </w:style>
  <w:style w:type="character" w:customStyle="1" w:styleId="65">
    <w:name w:val="jbox-icon-success"/>
    <w:basedOn w:val="25"/>
    <w:qFormat/>
    <w:uiPriority w:val="0"/>
  </w:style>
  <w:style w:type="character" w:customStyle="1" w:styleId="66">
    <w:name w:val="批注文字 字符"/>
    <w:qFormat/>
    <w:uiPriority w:val="99"/>
    <w:rPr>
      <w:kern w:val="2"/>
      <w:sz w:val="28"/>
      <w:szCs w:val="24"/>
    </w:rPr>
  </w:style>
  <w:style w:type="character" w:customStyle="1" w:styleId="67">
    <w:name w:val="纯文本 Char1"/>
    <w:qFormat/>
    <w:uiPriority w:val="0"/>
    <w:rPr>
      <w:rFonts w:ascii="宋体" w:hAnsi="Courier New"/>
      <w:kern w:val="2"/>
      <w:sz w:val="21"/>
    </w:rPr>
  </w:style>
  <w:style w:type="character" w:customStyle="1" w:styleId="68">
    <w:name w:val="纯文本 Char"/>
    <w:qFormat/>
    <w:uiPriority w:val="99"/>
    <w:rPr>
      <w:rFonts w:ascii="宋体" w:hAnsi="Courier New"/>
      <w:kern w:val="2"/>
      <w:sz w:val="24"/>
      <w:szCs w:val="24"/>
    </w:rPr>
  </w:style>
  <w:style w:type="character" w:customStyle="1" w:styleId="69">
    <w:name w:val="sub_title s0"/>
    <w:basedOn w:val="25"/>
    <w:qFormat/>
    <w:uiPriority w:val="0"/>
  </w:style>
  <w:style w:type="character" w:customStyle="1" w:styleId="70">
    <w:name w:val="正文文本缩进 字符2"/>
    <w:link w:val="11"/>
    <w:qFormat/>
    <w:uiPriority w:val="0"/>
    <w:rPr>
      <w:rFonts w:ascii="宋体" w:hAnsi="Courier New"/>
      <w:spacing w:val="-4"/>
      <w:sz w:val="18"/>
    </w:rPr>
  </w:style>
  <w:style w:type="character" w:customStyle="1" w:styleId="71">
    <w:name w:val="jbox-icon-error"/>
    <w:basedOn w:val="25"/>
    <w:qFormat/>
    <w:uiPriority w:val="0"/>
  </w:style>
  <w:style w:type="character" w:customStyle="1" w:styleId="72">
    <w:name w:val="正文文本 2 字符"/>
    <w:basedOn w:val="25"/>
    <w:link w:val="19"/>
    <w:qFormat/>
    <w:uiPriority w:val="0"/>
    <w:rPr>
      <w:rFonts w:ascii="宋体" w:hAnsi="宋体" w:eastAsia="宋体" w:cs="Times New Roman"/>
      <w:color w:val="000000"/>
      <w:sz w:val="24"/>
      <w:szCs w:val="24"/>
    </w:rPr>
  </w:style>
  <w:style w:type="paragraph" w:customStyle="1" w:styleId="73">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5">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7">
    <w:name w:val="z-窗体顶端 字符1"/>
    <w:basedOn w:val="25"/>
    <w:semiHidden/>
    <w:qFormat/>
    <w:uiPriority w:val="99"/>
    <w:rPr>
      <w:rFonts w:ascii="Arial" w:hAnsi="Arial" w:cs="Arial"/>
      <w:vanish/>
      <w:sz w:val="16"/>
      <w:szCs w:val="16"/>
    </w:rPr>
  </w:style>
  <w:style w:type="paragraph" w:customStyle="1" w:styleId="78">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79">
    <w:name w:val="Default"/>
    <w:next w:val="7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0">
    <w:name w:val="批注文字 字符1"/>
    <w:basedOn w:val="25"/>
    <w:link w:val="9"/>
    <w:semiHidden/>
    <w:qFormat/>
    <w:uiPriority w:val="99"/>
  </w:style>
  <w:style w:type="character" w:customStyle="1" w:styleId="81">
    <w:name w:val="批注主题 字符1"/>
    <w:basedOn w:val="80"/>
    <w:semiHidden/>
    <w:qFormat/>
    <w:uiPriority w:val="99"/>
    <w:rPr>
      <w:b/>
      <w:bCs/>
    </w:rPr>
  </w:style>
  <w:style w:type="character" w:customStyle="1" w:styleId="82">
    <w:name w:val="文档结构图 字符1"/>
    <w:basedOn w:val="25"/>
    <w:semiHidden/>
    <w:qFormat/>
    <w:uiPriority w:val="99"/>
    <w:rPr>
      <w:rFonts w:ascii="Microsoft YaHei UI" w:eastAsia="Microsoft YaHei UI"/>
      <w:sz w:val="18"/>
      <w:szCs w:val="18"/>
    </w:rPr>
  </w:style>
  <w:style w:type="character" w:customStyle="1" w:styleId="83">
    <w:name w:val="正文文本 字符"/>
    <w:basedOn w:val="25"/>
    <w:link w:val="10"/>
    <w:qFormat/>
    <w:uiPriority w:val="99"/>
    <w:rPr>
      <w:rFonts w:ascii="Times New Roman" w:hAnsi="Times New Roman" w:eastAsia="宋体" w:cs="Times New Roman"/>
      <w:sz w:val="28"/>
      <w:szCs w:val="24"/>
    </w:rPr>
  </w:style>
  <w:style w:type="character" w:customStyle="1" w:styleId="84">
    <w:name w:val="批注框文本 字符"/>
    <w:basedOn w:val="25"/>
    <w:link w:val="15"/>
    <w:qFormat/>
    <w:uiPriority w:val="0"/>
    <w:rPr>
      <w:rFonts w:ascii="Times New Roman" w:hAnsi="Times New Roman" w:eastAsia="宋体" w:cs="Times New Roman"/>
      <w:sz w:val="18"/>
      <w:szCs w:val="18"/>
    </w:rPr>
  </w:style>
  <w:style w:type="character" w:customStyle="1" w:styleId="85">
    <w:name w:val="正文文本缩进 字符3"/>
    <w:basedOn w:val="25"/>
    <w:semiHidden/>
    <w:qFormat/>
    <w:uiPriority w:val="99"/>
  </w:style>
  <w:style w:type="character" w:customStyle="1" w:styleId="86">
    <w:name w:val="日期 字符"/>
    <w:basedOn w:val="25"/>
    <w:link w:val="14"/>
    <w:qFormat/>
    <w:uiPriority w:val="0"/>
    <w:rPr>
      <w:rFonts w:ascii="Times New Roman" w:hAnsi="Times New Roman" w:eastAsia="楷体_GB2312" w:cs="Times New Roman"/>
      <w:sz w:val="32"/>
      <w:szCs w:val="20"/>
    </w:rPr>
  </w:style>
  <w:style w:type="character" w:customStyle="1" w:styleId="87">
    <w:name w:val="纯文本 字符3"/>
    <w:basedOn w:val="25"/>
    <w:semiHidden/>
    <w:qFormat/>
    <w:uiPriority w:val="99"/>
    <w:rPr>
      <w:rFonts w:hAnsi="Courier New" w:cs="Courier New" w:asciiTheme="minorEastAsia"/>
    </w:rPr>
  </w:style>
  <w:style w:type="character" w:customStyle="1" w:styleId="88">
    <w:name w:val="正文文本首行缩进 2 字符"/>
    <w:basedOn w:val="85"/>
    <w:link w:val="22"/>
    <w:qFormat/>
    <w:uiPriority w:val="99"/>
    <w:rPr>
      <w:rFonts w:ascii="宋体" w:hAnsi="Courier New"/>
      <w:spacing w:val="-4"/>
      <w:sz w:val="18"/>
    </w:rPr>
  </w:style>
  <w:style w:type="character" w:customStyle="1" w:styleId="89">
    <w:name w:val="z-窗体底端 字符1"/>
    <w:basedOn w:val="25"/>
    <w:semiHidden/>
    <w:qFormat/>
    <w:uiPriority w:val="99"/>
    <w:rPr>
      <w:rFonts w:ascii="Arial" w:hAnsi="Arial" w:cs="Arial"/>
      <w:vanish/>
      <w:sz w:val="16"/>
      <w:szCs w:val="16"/>
    </w:rPr>
  </w:style>
  <w:style w:type="paragraph" w:customStyle="1" w:styleId="90">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1">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2">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4">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5">
    <w:name w:val="Char Char Char Char1"/>
    <w:basedOn w:val="1"/>
    <w:qFormat/>
    <w:uiPriority w:val="0"/>
    <w:rPr>
      <w:rFonts w:ascii="Tahoma" w:hAnsi="Tahoma" w:eastAsia="宋体" w:cs="Times New Roman"/>
      <w:sz w:val="24"/>
      <w:szCs w:val="20"/>
    </w:rPr>
  </w:style>
  <w:style w:type="paragraph" w:customStyle="1" w:styleId="96">
    <w:name w:val="彩色列表 - 强调文字颜色 11"/>
    <w:basedOn w:val="1"/>
    <w:qFormat/>
    <w:uiPriority w:val="34"/>
    <w:pPr>
      <w:ind w:firstLine="420" w:firstLineChars="200"/>
    </w:pPr>
    <w:rPr>
      <w:rFonts w:ascii="Calibri" w:hAnsi="Calibri" w:eastAsia="宋体" w:cs="Times New Roman"/>
    </w:rPr>
  </w:style>
  <w:style w:type="paragraph" w:customStyle="1" w:styleId="97">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98">
    <w:name w:val="正文2"/>
    <w:basedOn w:val="1"/>
    <w:link w:val="107"/>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9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0">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1">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3">
    <w:name w:val="标题 10"/>
    <w:basedOn w:val="3"/>
    <w:qFormat/>
    <w:uiPriority w:val="0"/>
    <w:pPr>
      <w:jc w:val="center"/>
    </w:pPr>
    <w:rPr>
      <w:kern w:val="0"/>
    </w:rPr>
  </w:style>
  <w:style w:type="character" w:customStyle="1" w:styleId="104">
    <w:name w:val="未处理的提及1"/>
    <w:semiHidden/>
    <w:unhideWhenUsed/>
    <w:qFormat/>
    <w:uiPriority w:val="99"/>
    <w:rPr>
      <w:color w:val="605E5C"/>
      <w:shd w:val="clear" w:color="auto" w:fill="E1DFDD"/>
    </w:rPr>
  </w:style>
  <w:style w:type="character" w:customStyle="1" w:styleId="105">
    <w:name w:val="未处理的提及2"/>
    <w:basedOn w:val="25"/>
    <w:semiHidden/>
    <w:unhideWhenUsed/>
    <w:qFormat/>
    <w:uiPriority w:val="99"/>
    <w:rPr>
      <w:color w:val="605E5C"/>
      <w:shd w:val="clear" w:color="auto" w:fill="E1DFDD"/>
    </w:rPr>
  </w:style>
  <w:style w:type="character" w:customStyle="1" w:styleId="106">
    <w:name w:val="未处理的提及3"/>
    <w:basedOn w:val="25"/>
    <w:semiHidden/>
    <w:unhideWhenUsed/>
    <w:qFormat/>
    <w:uiPriority w:val="99"/>
    <w:rPr>
      <w:color w:val="605E5C"/>
      <w:shd w:val="clear" w:color="auto" w:fill="E1DFDD"/>
    </w:rPr>
  </w:style>
  <w:style w:type="character" w:customStyle="1" w:styleId="107">
    <w:name w:val="正文2 Char Char"/>
    <w:link w:val="98"/>
    <w:qFormat/>
    <w:uiPriority w:val="0"/>
    <w:rPr>
      <w:kern w:val="2"/>
      <w:sz w:val="24"/>
    </w:rPr>
  </w:style>
  <w:style w:type="table" w:customStyle="1" w:styleId="108">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15"/>
    <w:basedOn w:val="25"/>
    <w:autoRedefine/>
    <w:qFormat/>
    <w:uiPriority w:val="0"/>
    <w:rPr>
      <w:rFonts w:hint="default" w:ascii="Calibri" w:hAnsi="Calibri" w:cs="Calibri"/>
      <w:b/>
    </w:rPr>
  </w:style>
  <w:style w:type="table" w:customStyle="1" w:styleId="110">
    <w:name w:val="网格型11"/>
    <w:basedOn w:val="2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Template>
  <Pages>99</Pages>
  <Words>3689</Words>
  <Characters>4233</Characters>
  <Lines>540</Lines>
  <Paragraphs>152</Paragraphs>
  <TotalTime>0</TotalTime>
  <ScaleCrop>false</ScaleCrop>
  <LinksUpToDate>false</LinksUpToDate>
  <CharactersWithSpaces>4268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温瑶</cp:lastModifiedBy>
  <cp:lastPrinted>2022-10-31T00:58:00Z</cp:lastPrinted>
  <dcterms:modified xsi:type="dcterms:W3CDTF">2024-11-06T03:39:43Z</dcterms:modified>
  <cp:revision>1065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B363B45C01FF4C5A8AB2573BD522DAF7</vt:lpwstr>
  </property>
</Properties>
</file>