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eastAsia" w:ascii="黑体" w:eastAsia="黑体"/>
          <w:sz w:val="32"/>
          <w:lang w:eastAsia="zh-CN"/>
        </w:rPr>
      </w:pPr>
      <w:bookmarkStart w:id="0" w:name="urgentLevel"/>
      <w:r>
        <w:rPr>
          <w:rFonts w:hint="eastAsia" w:ascii="黑体" w:eastAsia="黑体"/>
          <w:sz w:val="32"/>
          <w:lang w:eastAsia="zh-CN"/>
        </w:rPr>
        <w:t>加  急</w:t>
      </w:r>
      <w:bookmarkEnd w:id="0"/>
    </w:p>
    <w:p>
      <w:pPr>
        <w:keepNext w:val="0"/>
        <w:keepLines w:val="0"/>
        <w:pageBreakBefore w:val="0"/>
        <w:widowControl w:val="0"/>
        <w:kinsoku/>
        <w:wordWrap/>
        <w:overflowPunct/>
        <w:topLinePunct w:val="0"/>
        <w:autoSpaceDE/>
        <w:autoSpaceDN/>
        <w:bidi w:val="0"/>
        <w:adjustRightInd/>
        <w:snapToGrid w:val="0"/>
        <w:spacing w:line="240" w:lineRule="auto"/>
        <w:ind w:left="2" w:right="0" w:rightChars="0" w:firstLine="2"/>
        <w:jc w:val="both"/>
        <w:textAlignment w:val="auto"/>
        <w:outlineLvl w:val="9"/>
        <w:rPr>
          <w:rFonts w:hint="eastAsia" w:ascii="黑体" w:eastAsia="黑体"/>
          <w:sz w:val="32"/>
        </w:rPr>
      </w:pPr>
    </w:p>
    <w:p>
      <w:pPr>
        <w:keepNext w:val="0"/>
        <w:keepLines w:val="0"/>
        <w:pageBreakBefore w:val="0"/>
        <w:widowControl w:val="0"/>
        <w:kinsoku/>
        <w:wordWrap/>
        <w:overflowPunct/>
        <w:topLinePunct w:val="0"/>
        <w:autoSpaceDE/>
        <w:autoSpaceDN/>
        <w:bidi w:val="0"/>
        <w:adjustRightInd/>
        <w:snapToGrid w:val="0"/>
        <w:spacing w:line="240" w:lineRule="auto"/>
        <w:ind w:left="2" w:right="0" w:rightChars="0" w:firstLine="2"/>
        <w:jc w:val="both"/>
        <w:textAlignment w:val="auto"/>
        <w:outlineLvl w:val="9"/>
        <w:rPr>
          <w:rFonts w:hint="eastAsia" w:ascii="黑体" w:eastAsia="黑体"/>
          <w:sz w:val="32"/>
        </w:rPr>
      </w:pPr>
    </w:p>
    <w:p>
      <w:pPr>
        <w:keepNext w:val="0"/>
        <w:keepLines w:val="0"/>
        <w:pageBreakBefore w:val="0"/>
        <w:widowControl w:val="0"/>
        <w:kinsoku/>
        <w:wordWrap/>
        <w:overflowPunct/>
        <w:topLinePunct w:val="0"/>
        <w:autoSpaceDE/>
        <w:autoSpaceDN/>
        <w:bidi w:val="0"/>
        <w:adjustRightInd/>
        <w:snapToGrid w:val="0"/>
        <w:spacing w:line="240" w:lineRule="auto"/>
        <w:ind w:left="2" w:right="0" w:rightChars="0" w:firstLine="2"/>
        <w:jc w:val="both"/>
        <w:textAlignment w:val="auto"/>
        <w:outlineLvl w:val="9"/>
        <w:rPr>
          <w:rFonts w:hint="eastAsia" w:ascii="黑体" w:eastAsia="黑体"/>
          <w:sz w:val="32"/>
        </w:rPr>
      </w:pPr>
    </w:p>
    <w:tbl>
      <w:tblPr>
        <w:tblStyle w:val="6"/>
        <w:tblW w:w="906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8"/>
        <w:gridCol w:w="22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4" w:hRule="atLeast"/>
          <w:jc w:val="center"/>
        </w:trPr>
        <w:tc>
          <w:tcPr>
            <w:tcW w:w="6768" w:type="dxa"/>
            <w:vAlign w:val="top"/>
          </w:tcPr>
          <w:p>
            <w:pPr>
              <w:jc w:val="distribute"/>
              <w:rPr>
                <w:rFonts w:hint="eastAsia" w:ascii="方正小标宋简体" w:eastAsia="方正小标宋简体"/>
                <w:vanish w:val="0"/>
                <w:color w:val="FF0000"/>
                <w:sz w:val="44"/>
                <w:szCs w:val="44"/>
                <w:lang w:eastAsia="zh-CN"/>
              </w:rPr>
            </w:pPr>
            <w:bookmarkStart w:id="1" w:name="markhead"/>
            <w:r>
              <w:rPr>
                <w:rFonts w:hint="eastAsia" w:ascii="方正小标宋简体" w:eastAsia="方正小标宋简体"/>
                <w:vanish w:val="0"/>
                <w:color w:val="FF0000"/>
                <w:sz w:val="44"/>
                <w:szCs w:val="44"/>
                <w:lang w:eastAsia="zh-CN"/>
              </w:rPr>
              <w:t>浙江省财政厅</w:t>
            </w:r>
            <w:bookmarkEnd w:id="1"/>
          </w:p>
        </w:tc>
        <w:tc>
          <w:tcPr>
            <w:tcW w:w="2292" w:type="dxa"/>
            <w:vAlign w:val="center"/>
          </w:tcPr>
          <w:p>
            <w:pPr>
              <w:jc w:val="distribute"/>
              <w:rPr>
                <w:rFonts w:hint="eastAsia" w:ascii="方正小标宋简体" w:eastAsia="方正小标宋简体"/>
                <w:vanish w:val="0"/>
                <w:color w:val="FF0000"/>
                <w:sz w:val="44"/>
                <w:szCs w:val="44"/>
                <w:lang w:eastAsia="zh-CN"/>
              </w:rPr>
            </w:pPr>
            <w:bookmarkStart w:id="2" w:name="fileType"/>
            <w:r>
              <w:rPr>
                <w:rFonts w:hint="eastAsia" w:ascii="方正小标宋简体" w:eastAsia="方正小标宋简体"/>
                <w:vanish w:val="0"/>
                <w:color w:val="FF0000"/>
                <w:sz w:val="44"/>
                <w:szCs w:val="44"/>
                <w:lang w:eastAsia="zh-CN"/>
              </w:rPr>
              <w:t>文件</w:t>
            </w:r>
            <w:bookmarkEnd w:id="2"/>
          </w:p>
        </w:tc>
      </w:tr>
    </w:tbl>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仿宋_GB2312" w:eastAsia="仿宋_GB2312"/>
        </w:rPr>
      </w:pPr>
    </w:p>
    <w:p>
      <w:pPr>
        <w:jc w:val="center"/>
        <w:rPr>
          <w:rFonts w:hint="eastAsia" w:eastAsia="仿宋_GB2312"/>
          <w:sz w:val="32"/>
          <w:lang w:eastAsia="zh-CN"/>
        </w:rPr>
      </w:pPr>
      <w:bookmarkStart w:id="3" w:name="hallSendFileSendNo"/>
      <w:bookmarkStart w:id="6" w:name="_GoBack"/>
      <w:r>
        <w:rPr>
          <w:rFonts w:hint="eastAsia" w:ascii="仿宋_GB2312" w:hAnsi="仿宋_GB2312" w:eastAsia="仿宋_GB2312" w:cs="仿宋_GB2312"/>
          <w:sz w:val="32"/>
          <w:lang w:eastAsia="zh-CN"/>
        </w:rPr>
        <w:t>浙财采监〔2017〕7号</w:t>
      </w:r>
      <w:bookmarkEnd w:id="3"/>
    </w:p>
    <w:bookmarkEnd w:id="6"/>
    <w:p>
      <w:pPr>
        <w:rPr>
          <w:rFonts w:hint="eastAsia" w:ascii="仿宋_GB2312" w:eastAsia="仿宋_GB2312"/>
          <w:vanish w:val="0"/>
          <w:szCs w:val="21"/>
        </w:rPr>
      </w:pPr>
      <w:r>
        <w:rPr>
          <w:rFonts w:ascii="仿宋_GB2312" w:eastAsia="仿宋_GB2312"/>
          <w:vanish w:val="0"/>
          <w:sz w:val="20"/>
          <w:szCs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230505</wp:posOffset>
                </wp:positionV>
                <wp:extent cx="5529580" cy="0"/>
                <wp:effectExtent l="0" t="0" r="0" b="0"/>
                <wp:wrapNone/>
                <wp:docPr id="1" name="Line 2"/>
                <wp:cNvGraphicFramePr/>
                <a:graphic xmlns:a="http://schemas.openxmlformats.org/drawingml/2006/main">
                  <a:graphicData uri="http://schemas.microsoft.com/office/word/2010/wordprocessingShape">
                    <wps:wsp>
                      <wps:cNvSpPr/>
                      <wps:spPr>
                        <a:xfrm>
                          <a:off x="0" y="0"/>
                          <a:ext cx="552958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Line 2" o:spid="_x0000_s1026" o:spt="20" style="position:absolute;left:0pt;margin-left:0pt;margin-top:18.15pt;height:0pt;width:435.4pt;z-index:251658240;mso-width-relative:page;mso-height-relative:page;" filled="f" stroked="t" coordsize="21600,21600" o:gfxdata="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AjK9XtQAAAAGAQAADwAAAAAAAAABACAAAAAiAAAAZHJzL2Rvd25yZXYueG1s&#10;UEsBAhQAFAAAAAgAh07iQLfSxg/DAQAAjAMAAA4AAAAAAAAAAQAgAAAAIwEAAGRycy9lMm9Eb2Mu&#10;eG1sUEsFBgAAAAAGAAYAWQEAAFgFAAAAAA==&#10;">
                <v:path arrowok="t"/>
                <v:fill on="f" focussize="0,0"/>
                <v:stroke weight="2.25pt" color="#FF0000"/>
                <v:imagedata o:title=""/>
                <o:lock v:ext="edit" grouping="f" rotation="f" text="f" aspectratio="f"/>
              </v:line>
            </w:pict>
          </mc:Fallback>
        </mc:AlternateContent>
      </w:r>
    </w:p>
    <w:p>
      <w:pPr>
        <w:snapToGrid w:val="0"/>
        <w:jc w:val="center"/>
        <w:rPr>
          <w:rFonts w:hint="eastAsia" w:ascii="方正小标宋简体" w:eastAsia="方正小标宋简体"/>
          <w:sz w:val="44"/>
          <w:szCs w:val="21"/>
        </w:rPr>
      </w:pPr>
    </w:p>
    <w:p>
      <w:pPr>
        <w:snapToGrid w:val="0"/>
        <w:jc w:val="center"/>
        <w:rPr>
          <w:rFonts w:hint="eastAsia" w:ascii="方正小标宋简体" w:eastAsia="方正小标宋简体"/>
          <w:sz w:val="44"/>
          <w:szCs w:val="21"/>
        </w:rPr>
      </w:pPr>
    </w:p>
    <w:p>
      <w:pPr>
        <w:snapToGrid w:val="0"/>
        <w:jc w:val="center"/>
        <w:rPr>
          <w:rFonts w:hint="eastAsia" w:ascii="方正小标宋简体" w:eastAsia="方正小标宋简体"/>
          <w:sz w:val="44"/>
          <w:lang w:eastAsia="zh-CN"/>
        </w:rPr>
      </w:pPr>
      <w:bookmarkStart w:id="4" w:name="hallSendFileTitle"/>
      <w:r>
        <w:rPr>
          <w:rFonts w:hint="eastAsia" w:ascii="方正小标宋简体" w:eastAsia="方正小标宋简体"/>
          <w:sz w:val="44"/>
          <w:lang w:eastAsia="zh-CN"/>
        </w:rPr>
        <w:t>浙江省财政厅关于公布2017-2018年度浙江省政府采购进口产品（环境监测类）清单的通知</w:t>
      </w:r>
      <w:bookmarkEnd w:id="4"/>
    </w:p>
    <w:p>
      <w:pPr>
        <w:rPr>
          <w:rFonts w:hint="eastAsia" w:ascii="仿宋_GB2312" w:eastAsia="仿宋_GB2312"/>
          <w:sz w:val="32"/>
          <w:szCs w:val="32"/>
        </w:rPr>
      </w:pPr>
    </w:p>
    <w:p>
      <w:pPr>
        <w:jc w:val="left"/>
        <w:rPr>
          <w:rFonts w:hint="eastAsia" w:ascii="仿宋_GB2312" w:eastAsia="仿宋_GB2312"/>
          <w:sz w:val="32"/>
          <w:szCs w:val="32"/>
        </w:rPr>
      </w:pPr>
      <w:bookmarkStart w:id="5" w:name="hallSendFileMainSend"/>
      <w:r>
        <w:rPr>
          <w:rFonts w:hint="eastAsia" w:ascii="仿宋_GB2312" w:eastAsia="仿宋_GB2312"/>
          <w:sz w:val="32"/>
          <w:szCs w:val="32"/>
          <w:lang w:eastAsia="zh-CN"/>
        </w:rPr>
        <w:t>各市、县（市、区）财政局，省级有关单位</w:t>
      </w:r>
      <w:bookmarkEnd w:id="5"/>
      <w:r>
        <w:rPr>
          <w:rFonts w:hint="eastAsia" w:ascii="仿宋_GB2312" w:eastAsia="仿宋_GB2312"/>
          <w:sz w:val="32"/>
          <w:szCs w:val="32"/>
        </w:rPr>
        <w:t>：</w:t>
      </w:r>
    </w:p>
    <w:p>
      <w:pPr>
        <w:ind w:firstLine="623"/>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为规范进口产品采购管理，提高采购单位的采购效率，</w:t>
      </w:r>
      <w:r>
        <w:rPr>
          <w:rFonts w:hint="eastAsia" w:ascii="仿宋_GB2312" w:hAnsi="仿宋_GB2312" w:eastAsia="仿宋_GB2312" w:cs="仿宋_GB2312"/>
          <w:sz w:val="32"/>
          <w:szCs w:val="32"/>
        </w:rPr>
        <w:t>根据《政府采购进口产品管理办法》和省财政厅《关于进一步加强政府采购进口产品管理的通知》（浙财采监〔2010〕51号）等有关规定，现将201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年度浙江省政府采购进口产品（环境监测类）清单予以公布（详见附件）。</w:t>
      </w:r>
    </w:p>
    <w:p>
      <w:pPr>
        <w:ind w:firstLine="62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采购单位凡在有效期内向同级财政部门申请采购</w:t>
      </w:r>
      <w:r>
        <w:rPr>
          <w:rFonts w:hint="eastAsia" w:ascii="仿宋_GB2312" w:hAnsi="仿宋_GB2312" w:eastAsia="仿宋_GB2312" w:cs="仿宋_GB2312"/>
          <w:sz w:val="32"/>
          <w:szCs w:val="32"/>
          <w:lang w:eastAsia="zh-CN"/>
        </w:rPr>
        <w:t>列入本清单</w:t>
      </w:r>
      <w:r>
        <w:rPr>
          <w:rFonts w:hint="eastAsia" w:ascii="仿宋_GB2312" w:hAnsi="仿宋_GB2312" w:eastAsia="仿宋_GB2312" w:cs="仿宋_GB2312"/>
          <w:sz w:val="32"/>
          <w:szCs w:val="32"/>
        </w:rPr>
        <w:t>产品时，无需再提供专家论证意见。</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lang w:val="en-US" w:eastAsia="zh-CN"/>
        </w:rPr>
        <w:t>高校、科研院所拟采购本清单产品用于科研的，无需履行报经财政部门审核程序。但在组织允许采购进口产品项目的政府采购活动时，不能排斥国产同类产品参与竞争。</w:t>
      </w:r>
    </w:p>
    <w:p>
      <w:pPr>
        <w:ind w:firstLine="62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本通知</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lang w:val="en-US" w:eastAsia="zh-CN"/>
        </w:rPr>
        <w:t>2017年4月7日起执行，有效期</w:t>
      </w:r>
      <w:r>
        <w:rPr>
          <w:rFonts w:hint="eastAsia" w:ascii="仿宋_GB2312" w:hAnsi="仿宋_GB2312" w:eastAsia="仿宋_GB2312" w:cs="仿宋_GB2312"/>
          <w:sz w:val="32"/>
          <w:szCs w:val="32"/>
        </w:rPr>
        <w:t>一年</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请遵照执行。</w:t>
      </w:r>
    </w:p>
    <w:p>
      <w:pPr>
        <w:rPr>
          <w:rFonts w:hint="eastAsia" w:ascii="仿宋" w:hAnsi="仿宋" w:eastAsia="仿宋" w:cs="仿宋"/>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eastAsia="zh-CN"/>
        </w:rPr>
        <w:t>允许采购进口产品</w:t>
      </w:r>
      <w:r>
        <w:rPr>
          <w:rFonts w:hint="eastAsia" w:ascii="仿宋_GB2312" w:hAnsi="仿宋_GB2312" w:eastAsia="仿宋_GB2312" w:cs="仿宋_GB2312"/>
          <w:sz w:val="32"/>
          <w:szCs w:val="32"/>
        </w:rPr>
        <w:t>清单</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无国产品牌</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2.允许采购进口</w:t>
      </w:r>
      <w:r>
        <w:rPr>
          <w:rFonts w:hint="eastAsia" w:ascii="仿宋_GB2312" w:hAnsi="仿宋_GB2312" w:eastAsia="仿宋_GB2312" w:cs="仿宋_GB2312"/>
          <w:sz w:val="32"/>
          <w:szCs w:val="32"/>
          <w:lang w:eastAsia="zh-CN"/>
        </w:rPr>
        <w:t>产品</w:t>
      </w:r>
      <w:r>
        <w:rPr>
          <w:rFonts w:hint="eastAsia" w:ascii="仿宋_GB2312" w:hAnsi="仿宋_GB2312" w:eastAsia="仿宋_GB2312" w:cs="仿宋_GB2312"/>
          <w:sz w:val="32"/>
          <w:szCs w:val="32"/>
        </w:rPr>
        <w:t>清单</w:t>
      </w:r>
      <w:r>
        <w:rPr>
          <w:rFonts w:hint="eastAsia" w:ascii="仿宋_GB2312" w:hAnsi="仿宋_GB2312" w:eastAsia="仿宋_GB2312" w:cs="仿宋_GB2312"/>
          <w:sz w:val="32"/>
          <w:szCs w:val="32"/>
          <w:lang w:eastAsia="zh-CN"/>
        </w:rPr>
        <w:t>二（有国产品牌）</w:t>
      </w:r>
    </w:p>
    <w:p>
      <w:pPr>
        <w:jc w:val="left"/>
        <w:rPr>
          <w:rFonts w:hint="eastAsia" w:ascii="仿宋_GB2312" w:eastAsia="仿宋_GB2312"/>
          <w:sz w:val="32"/>
          <w:szCs w:val="32"/>
          <w:lang w:val="en-US" w:eastAsia="zh-CN"/>
        </w:rPr>
      </w:pPr>
    </w:p>
    <w:p>
      <w:pPr>
        <w:spacing w:line="560" w:lineRule="exact"/>
        <w:ind w:firstLine="630"/>
        <w:rPr>
          <w:rFonts w:hint="eastAsia" w:ascii="仿宋_GB2312" w:eastAsia="仿宋_GB2312"/>
          <w:sz w:val="32"/>
          <w:szCs w:val="32"/>
        </w:rPr>
      </w:pPr>
    </w:p>
    <w:p>
      <w:pPr>
        <w:spacing w:line="560" w:lineRule="exact"/>
        <w:rPr>
          <w:rFonts w:hint="eastAsia" w:ascii="仿宋_GB2312" w:eastAsia="仿宋_GB2312"/>
          <w:sz w:val="32"/>
          <w:szCs w:val="32"/>
        </w:rPr>
      </w:pPr>
    </w:p>
    <w:p>
      <w:pPr>
        <w:tabs>
          <w:tab w:val="left" w:pos="4554"/>
        </w:tabs>
        <w:spacing w:line="560" w:lineRule="exact"/>
        <w:jc w:val="center"/>
        <w:rPr>
          <w:rFonts w:hint="eastAsia" w:ascii="仿宋_GB2312" w:eastAsia="仿宋_GB2312"/>
          <w:sz w:val="32"/>
          <w:szCs w:val="32"/>
          <w:lang w:eastAsia="zh-CN"/>
        </w:rPr>
      </w:pPr>
      <w:r>
        <w:rPr>
          <w:rFonts w:hint="eastAsia" w:ascii="仿宋_GB2312" w:eastAsia="仿宋_GB2312"/>
          <w:sz w:val="32"/>
          <w:szCs w:val="32"/>
          <w:lang w:val="en-US" w:eastAsia="zh-CN"/>
        </w:rPr>
        <w:t xml:space="preserve">                   浙江省财政厅</w:t>
      </w:r>
    </w:p>
    <w:p>
      <w:pPr>
        <w:spacing w:line="560" w:lineRule="exact"/>
        <w:ind w:left="3027" w:leftChars="1500"/>
        <w:jc w:val="center"/>
        <w:rPr>
          <w:rFonts w:hint="eastAsia" w:ascii="仿宋_GB2312" w:eastAsia="仿宋_GB2312"/>
          <w:sz w:val="30"/>
        </w:rPr>
      </w:pPr>
      <w:r>
        <w:rPr>
          <w:rFonts w:hint="eastAsia" w:ascii="仿宋_GB2312" w:eastAsia="仿宋_GB2312"/>
          <w:sz w:val="32"/>
          <w:szCs w:val="32"/>
          <w:lang w:val="en-US" w:eastAsia="zh-CN"/>
        </w:rPr>
        <w:t>2017</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7</w:t>
      </w:r>
      <w:r>
        <w:rPr>
          <w:rFonts w:hint="eastAsia" w:ascii="仿宋_GB2312" w:eastAsia="仿宋_GB2312"/>
          <w:sz w:val="32"/>
          <w:szCs w:val="32"/>
        </w:rPr>
        <w:t>日</w:t>
      </w:r>
    </w:p>
    <w:p>
      <w:pPr>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（此件公开发布）</w:t>
      </w:r>
    </w:p>
    <w:p>
      <w:pPr>
        <w:snapToGrid/>
        <w:spacing w:line="240" w:lineRule="auto"/>
        <w:jc w:val="left"/>
        <w:rPr>
          <w:rFonts w:hint="eastAsia"/>
          <w:kern w:val="2"/>
          <w:sz w:val="21"/>
          <w:szCs w:val="24"/>
          <w:lang w:val="en-US" w:eastAsia="zh-CN" w:bidi="ar-SA"/>
        </w:rPr>
      </w:pPr>
    </w:p>
    <w:p>
      <w:pPr>
        <w:keepNext w:val="0"/>
        <w:keepLines w:val="0"/>
        <w:widowControl w:val="0"/>
        <w:suppressLineNumbers w:val="0"/>
        <w:shd w:val="clear" w:color="auto" w:fill="auto"/>
        <w:spacing w:before="0" w:beforeLines="0" w:beforeAutospacing="0" w:after="0" w:afterLines="0" w:afterAutospacing="0" w:line="240" w:lineRule="auto"/>
        <w:ind w:left="0" w:right="0" w:firstLine="0"/>
        <w:jc w:val="left"/>
        <w:rPr>
          <w:rFonts w:hint="eastAsia" w:ascii="宋体" w:hAnsi="宋体" w:eastAsia="宋体" w:cs="宋体"/>
          <w:b w:val="0"/>
          <w:i w:val="0"/>
          <w:caps w:val="0"/>
          <w:color w:val="000000"/>
          <w:spacing w:val="0"/>
          <w:sz w:val="27"/>
          <w:szCs w:val="27"/>
        </w:rPr>
      </w:pPr>
      <w:r>
        <w:rPr>
          <w:rFonts w:hint="eastAsia"/>
          <w:kern w:val="2"/>
          <w:sz w:val="21"/>
          <w:szCs w:val="24"/>
          <w:lang w:val="en-US" w:eastAsia="zh-CN" w:bidi="ar-SA"/>
        </w:rPr>
        <w:br w:type="page"/>
      </w:r>
      <w:r>
        <w:rPr>
          <w:rFonts w:hint="eastAsia" w:ascii="黑体" w:hAnsi="黑体" w:eastAsia="黑体" w:cs="黑体"/>
          <w:b w:val="0"/>
          <w:i w:val="0"/>
          <w:caps w:val="0"/>
          <w:color w:val="000000"/>
          <w:spacing w:val="0"/>
          <w:kern w:val="0"/>
          <w:sz w:val="32"/>
          <w:szCs w:val="32"/>
          <w:shd w:val="clear" w:color="auto" w:fill="FFFFFF"/>
          <w:lang w:val="en-US" w:eastAsia="zh-CN" w:bidi="ar"/>
        </w:rPr>
        <w:t>附件1</w:t>
      </w:r>
    </w:p>
    <w:p>
      <w:pPr>
        <w:keepNext w:val="0"/>
        <w:keepLines w:val="0"/>
        <w:widowControl/>
        <w:suppressLineNumbers w:val="0"/>
        <w:shd w:val="clear" w:color="auto" w:fill="FFFFFF"/>
        <w:spacing w:before="100" w:beforeLines="0" w:beforeAutospacing="1" w:after="100" w:afterLines="0" w:afterAutospacing="1" w:line="240" w:lineRule="auto"/>
        <w:ind w:left="0" w:right="0" w:firstLine="0"/>
        <w:jc w:val="center"/>
        <w:rPr>
          <w:rFonts w:hint="eastAsia" w:ascii="方正小标宋简体" w:hAnsi="方正小标宋简体" w:eastAsia="方正小标宋简体" w:cs="方正小标宋简体"/>
          <w:b w:val="0"/>
          <w:i w:val="0"/>
          <w:caps w:val="0"/>
          <w:color w:val="000000"/>
          <w:spacing w:val="0"/>
          <w:sz w:val="44"/>
          <w:szCs w:val="44"/>
        </w:rPr>
      </w:pPr>
      <w:r>
        <w:rPr>
          <w:rFonts w:hint="eastAsia" w:ascii="方正小标宋简体" w:hAnsi="方正小标宋简体" w:eastAsia="方正小标宋简体" w:cs="方正小标宋简体"/>
          <w:b w:val="0"/>
          <w:i w:val="0"/>
          <w:caps w:val="0"/>
          <w:color w:val="000000"/>
          <w:spacing w:val="0"/>
          <w:kern w:val="0"/>
          <w:sz w:val="44"/>
          <w:szCs w:val="44"/>
          <w:shd w:val="clear" w:color="auto" w:fill="FFFFFF"/>
          <w:lang w:val="en-US" w:eastAsia="zh-CN" w:bidi="ar"/>
        </w:rPr>
        <w:t>允许采购进口产品清单一（无国产品牌）</w:t>
      </w:r>
    </w:p>
    <w:tbl>
      <w:tblPr>
        <w:tblStyle w:val="6"/>
        <w:tblW w:w="9113" w:type="dxa"/>
        <w:jc w:val="center"/>
        <w:tblInd w:w="331"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93"/>
        <w:gridCol w:w="4402"/>
        <w:gridCol w:w="411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b/>
                <w:bCs/>
              </w:rPr>
            </w:pPr>
            <w:r>
              <w:rPr>
                <w:rFonts w:hint="default" w:ascii="_5b8b_4f53" w:hAnsi="_5b8b_4f53" w:eastAsia="_5b8b_4f53" w:cs="_5b8b_4f53"/>
                <w:b/>
                <w:bCs/>
                <w:kern w:val="0"/>
                <w:sz w:val="24"/>
                <w:szCs w:val="24"/>
                <w:lang w:val="en-US" w:eastAsia="zh-CN" w:bidi="ar"/>
              </w:rPr>
              <w:t>序号</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b/>
                <w:bCs/>
              </w:rPr>
            </w:pPr>
            <w:r>
              <w:rPr>
                <w:rFonts w:hint="default" w:ascii="_5b8b_4f53" w:hAnsi="_5b8b_4f53" w:eastAsia="_5b8b_4f53" w:cs="_5b8b_4f53"/>
                <w:b/>
                <w:bCs/>
                <w:kern w:val="0"/>
                <w:sz w:val="24"/>
                <w:szCs w:val="24"/>
                <w:lang w:val="en-US" w:eastAsia="zh-CN" w:bidi="ar"/>
              </w:rPr>
              <w:t>仪器名称</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b/>
                <w:bCs/>
              </w:rPr>
            </w:pPr>
            <w:r>
              <w:rPr>
                <w:rFonts w:hint="default" w:ascii="_5b8b_4f53" w:hAnsi="_5b8b_4f53" w:eastAsia="_5b8b_4f53" w:cs="_5b8b_4f53"/>
                <w:b/>
                <w:bCs/>
                <w:kern w:val="0"/>
                <w:sz w:val="24"/>
                <w:szCs w:val="24"/>
                <w:lang w:val="en-US" w:eastAsia="zh-CN" w:bidi="ar"/>
              </w:rPr>
              <w:t>功能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1</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等离子发射光谱-质谱联用仪</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测定痕量金属元素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2</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超高效液相色谱仪</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测定微量有机污染物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3</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自动吹扫捕集仪</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水中痕量挥发性有机物富集前处理用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4</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自动顶空进样器</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水中微量挥发性有机物富集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5</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苏码罐（含清洗、配气系统及预浓缩仪）</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空气中痕量挥发性有机物采集与富集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6</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细菌鉴定分类系统</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细菌自动分类鉴定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7</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藻类自动分析仪</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藻类自动分析测定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8</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固液毒物快速分析仪</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快速测定金属和有机物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9</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便携式叶绿素a测定仪</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测定叶绿素a</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10</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全自动定量浓缩仪</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测定微量有机物前处理用(真空)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11</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高纯锗γ谱仪</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定量分析各种环境介质中的γ放射性核素含量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12</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低本底液闪谱仪</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定量分析各种环境介质中的β放射性核素含量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13</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光致光累积剂量监测系统</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电离辐射累积剂量测定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14</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H-3、C-14提取装置</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生物样品中H-3、C-14同位素分析的前处理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15</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电磁辐射射频连续监测系统</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通过远程控制系统提供可靠、准确的持续监测和数据记录，用于评估电磁辐射场。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16</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电磁辐射工频连续监测系统</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通过远程控制系统提供可靠、准确的持续监测和数据记录，用于评估电磁辐射场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17</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便携式高纯锗γ谱仪</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γ放射性核素的定量分析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18</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静态场强仪</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用于±800kV及以下直流输电设备附近合成场强的测量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19</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α/β比值测量仪</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空气中α与β放射性浓度比值的测量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20</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电磁辐射选频测量系统</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无线通信系统、广播电视系统的电场强度以及一般环境中电磁波选择频段内的综合电场强度的测量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rFonts w:hint="eastAsia" w:ascii="宋体" w:hAnsi="宋体" w:eastAsia="宋体" w:cs="宋体"/>
              </w:rPr>
            </w:pPr>
            <w:r>
              <w:rPr>
                <w:rFonts w:hint="eastAsia" w:ascii="宋体" w:hAnsi="宋体" w:eastAsia="宋体" w:cs="宋体"/>
                <w:color w:val="000000"/>
                <w:kern w:val="0"/>
                <w:sz w:val="24"/>
                <w:szCs w:val="24"/>
                <w:lang w:val="en-US" w:eastAsia="zh-CN" w:bidi="ar"/>
              </w:rPr>
              <w:t>21</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color w:val="000000"/>
                <w:kern w:val="0"/>
                <w:sz w:val="24"/>
                <w:szCs w:val="24"/>
                <w:lang w:val="en-US" w:eastAsia="zh-CN" w:bidi="ar"/>
              </w:rPr>
              <w:t>全自动二噁英前处理装置</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color w:val="000000"/>
                <w:kern w:val="0"/>
                <w:sz w:val="24"/>
                <w:szCs w:val="24"/>
                <w:lang w:val="en-US" w:eastAsia="zh-CN" w:bidi="ar"/>
              </w:rPr>
              <w:t>二噁英分析前处理专用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rFonts w:hint="eastAsia" w:ascii="宋体" w:hAnsi="宋体" w:eastAsia="宋体" w:cs="宋体"/>
              </w:rPr>
            </w:pPr>
            <w:r>
              <w:rPr>
                <w:rFonts w:hint="eastAsia" w:ascii="宋体" w:hAnsi="宋体" w:eastAsia="宋体" w:cs="宋体"/>
                <w:color w:val="000000"/>
                <w:kern w:val="0"/>
                <w:sz w:val="24"/>
                <w:szCs w:val="24"/>
                <w:lang w:val="en-US" w:eastAsia="zh-CN" w:bidi="ar"/>
              </w:rPr>
              <w:t>22</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color w:val="000000"/>
                <w:kern w:val="0"/>
                <w:sz w:val="24"/>
                <w:szCs w:val="24"/>
                <w:lang w:val="en-US" w:eastAsia="zh-CN" w:bidi="ar"/>
              </w:rPr>
              <w:t>高分辨气相色谱-高分辨磁质谱</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color w:val="000000"/>
                <w:kern w:val="0"/>
                <w:sz w:val="24"/>
                <w:szCs w:val="24"/>
                <w:lang w:val="en-US" w:eastAsia="zh-CN" w:bidi="ar"/>
              </w:rPr>
              <w:t>持久性有机污染物定量分析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rFonts w:hint="eastAsia" w:ascii="宋体" w:hAnsi="宋体" w:eastAsia="宋体" w:cs="宋体"/>
              </w:rPr>
            </w:pPr>
            <w:r>
              <w:rPr>
                <w:rFonts w:hint="eastAsia" w:ascii="宋体" w:hAnsi="宋体" w:eastAsia="宋体" w:cs="宋体"/>
                <w:color w:val="000000"/>
                <w:kern w:val="0"/>
                <w:sz w:val="24"/>
                <w:szCs w:val="24"/>
                <w:lang w:val="en-US" w:eastAsia="zh-CN" w:bidi="ar"/>
              </w:rPr>
              <w:t>23</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color w:val="000000"/>
                <w:kern w:val="0"/>
                <w:sz w:val="24"/>
                <w:szCs w:val="24"/>
                <w:lang w:val="en-US" w:eastAsia="zh-CN" w:bidi="ar"/>
              </w:rPr>
              <w:t>全自动甲基汞分析系统</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color w:val="000000"/>
                <w:kern w:val="0"/>
                <w:sz w:val="24"/>
                <w:szCs w:val="24"/>
                <w:lang w:val="en-US" w:eastAsia="zh-CN" w:bidi="ar"/>
              </w:rPr>
              <w:t>甲基汞分析测定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rFonts w:hint="eastAsia" w:ascii="宋体" w:hAnsi="宋体" w:eastAsia="宋体" w:cs="宋体"/>
              </w:rPr>
            </w:pPr>
            <w:r>
              <w:rPr>
                <w:rFonts w:hint="eastAsia" w:ascii="宋体" w:hAnsi="宋体" w:eastAsia="宋体" w:cs="宋体"/>
                <w:color w:val="000000"/>
                <w:kern w:val="0"/>
                <w:sz w:val="24"/>
                <w:szCs w:val="24"/>
                <w:lang w:val="en-US" w:eastAsia="zh-CN" w:bidi="ar"/>
              </w:rPr>
              <w:t>24</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color w:val="000000"/>
                <w:kern w:val="0"/>
                <w:sz w:val="24"/>
                <w:szCs w:val="24"/>
                <w:lang w:val="en-US" w:eastAsia="zh-CN" w:bidi="ar"/>
              </w:rPr>
              <w:t>数字瓶口滴定器</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color w:val="000000"/>
                <w:kern w:val="0"/>
                <w:sz w:val="24"/>
                <w:szCs w:val="24"/>
                <w:lang w:val="en-US" w:eastAsia="zh-CN" w:bidi="ar"/>
              </w:rPr>
              <w:t>用于检测水中化学需氧量等容量分析法自动滴定。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color w:val="000000"/>
                <w:kern w:val="0"/>
                <w:sz w:val="24"/>
                <w:szCs w:val="24"/>
                <w:lang w:val="en-US" w:eastAsia="zh-CN" w:bidi="ar"/>
              </w:rPr>
              <w:t>25</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color w:val="000000"/>
                <w:kern w:val="0"/>
                <w:sz w:val="24"/>
                <w:szCs w:val="24"/>
                <w:lang w:val="en-US" w:eastAsia="zh-CN" w:bidi="ar"/>
              </w:rPr>
              <w:t>高分辨气相色谱-三重四极质谱</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color w:val="000000"/>
                <w:kern w:val="0"/>
                <w:sz w:val="24"/>
                <w:szCs w:val="24"/>
                <w:lang w:val="en-US" w:eastAsia="zh-CN" w:bidi="ar"/>
              </w:rPr>
              <w:t>用于多溴联苯醚类物质的分析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color w:val="000000"/>
                <w:kern w:val="0"/>
                <w:sz w:val="24"/>
                <w:szCs w:val="24"/>
                <w:lang w:val="en-US" w:eastAsia="zh-CN" w:bidi="ar"/>
              </w:rPr>
              <w:t>26</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color w:val="000000"/>
                <w:kern w:val="0"/>
                <w:sz w:val="24"/>
                <w:szCs w:val="24"/>
                <w:lang w:val="en-US" w:eastAsia="zh-CN" w:bidi="ar"/>
              </w:rPr>
              <w:t>高分辨气相色谱-高效液相色谱/飞行时间质谱</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color w:val="000000"/>
                <w:kern w:val="0"/>
                <w:sz w:val="24"/>
                <w:szCs w:val="24"/>
                <w:lang w:val="en-US" w:eastAsia="zh-CN" w:bidi="ar"/>
              </w:rPr>
              <w:t>用于样品中复杂基体物质的定性与定量分析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color w:val="000000"/>
                <w:kern w:val="0"/>
                <w:sz w:val="24"/>
                <w:szCs w:val="24"/>
                <w:lang w:val="en-US" w:eastAsia="zh-CN" w:bidi="ar"/>
              </w:rPr>
              <w:t>27</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color w:val="000000"/>
                <w:kern w:val="0"/>
                <w:sz w:val="24"/>
                <w:szCs w:val="24"/>
                <w:lang w:val="en-US" w:eastAsia="zh-CN" w:bidi="ar"/>
              </w:rPr>
              <w:t>二噁英全自动净化装置</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color w:val="000000"/>
                <w:kern w:val="0"/>
                <w:sz w:val="24"/>
                <w:szCs w:val="24"/>
                <w:lang w:val="en-US" w:eastAsia="zh-CN" w:bidi="ar"/>
              </w:rPr>
              <w:t>用于二噁英类持久性有机物的自动前处理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color w:val="000000"/>
                <w:kern w:val="0"/>
                <w:sz w:val="24"/>
                <w:szCs w:val="24"/>
                <w:lang w:val="en-US" w:eastAsia="zh-CN" w:bidi="ar"/>
              </w:rPr>
              <w:t>28</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color w:val="000000"/>
                <w:kern w:val="0"/>
                <w:sz w:val="24"/>
                <w:szCs w:val="24"/>
                <w:lang w:val="en-US" w:eastAsia="zh-CN" w:bidi="ar"/>
              </w:rPr>
              <w:t>凝胶渗透色谱</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color w:val="000000"/>
                <w:kern w:val="0"/>
                <w:sz w:val="24"/>
                <w:szCs w:val="24"/>
                <w:lang w:val="en-US" w:eastAsia="zh-CN" w:bidi="ar"/>
              </w:rPr>
              <w:t>用于复杂基体样品的净化处理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color w:val="000000"/>
                <w:kern w:val="0"/>
                <w:sz w:val="24"/>
                <w:szCs w:val="24"/>
                <w:lang w:val="en-US" w:eastAsia="zh-CN" w:bidi="ar"/>
              </w:rPr>
              <w:t>29</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color w:val="000000"/>
                <w:kern w:val="0"/>
                <w:sz w:val="24"/>
                <w:szCs w:val="24"/>
                <w:lang w:val="en-US" w:eastAsia="zh-CN" w:bidi="ar"/>
              </w:rPr>
              <w:t>二噁英污染源废气采样装置</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color w:val="000000"/>
                <w:kern w:val="0"/>
                <w:sz w:val="24"/>
                <w:szCs w:val="24"/>
                <w:lang w:val="en-US" w:eastAsia="zh-CN" w:bidi="ar"/>
              </w:rPr>
              <w:t>用于污染源废气中二噁英的采样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color w:val="000000"/>
                <w:kern w:val="0"/>
                <w:sz w:val="24"/>
                <w:szCs w:val="24"/>
                <w:lang w:val="en-US" w:eastAsia="zh-CN" w:bidi="ar"/>
              </w:rPr>
              <w:t>30</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color w:val="000000"/>
                <w:kern w:val="0"/>
                <w:sz w:val="24"/>
                <w:szCs w:val="24"/>
                <w:lang w:val="en-US" w:eastAsia="zh-CN" w:bidi="ar"/>
              </w:rPr>
              <w:t>二噁英环境空气采样装置</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color w:val="000000"/>
                <w:kern w:val="0"/>
                <w:sz w:val="24"/>
                <w:szCs w:val="24"/>
                <w:lang w:val="en-US" w:eastAsia="zh-CN" w:bidi="ar"/>
              </w:rPr>
              <w:t>用于环境空气中二噁英的采样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color w:val="000000"/>
                <w:kern w:val="0"/>
                <w:sz w:val="24"/>
                <w:szCs w:val="24"/>
                <w:lang w:val="en-US" w:eastAsia="zh-CN" w:bidi="ar"/>
              </w:rPr>
              <w:t>31</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color w:val="000000"/>
                <w:kern w:val="0"/>
                <w:sz w:val="24"/>
                <w:szCs w:val="24"/>
                <w:lang w:val="en-US" w:eastAsia="zh-CN" w:bidi="ar"/>
              </w:rPr>
              <w:t>超低温冻干机</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color w:val="000000"/>
                <w:kern w:val="0"/>
                <w:sz w:val="24"/>
                <w:szCs w:val="24"/>
                <w:lang w:val="en-US" w:eastAsia="zh-CN" w:bidi="ar"/>
              </w:rPr>
              <w:t>用于土壤、生物质类样品的冻干处理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32</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有机毒素分析仪</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用于水体中有机毒素测定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33</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便携式太阳分光光度计CE318M</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高精度野外太阳辐射测量仪器，具有易携带安装，适用于海洋和野外测量。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34</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傅里叶红外法污染源废气分析装置</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用于火电厂超低排放中的氮氧化物二氧化硫的测定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35</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便携式XRF测试仪</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用于野外重金属应急监测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36</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傅里叶红外法环境空气分析装置</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用于大气环境有机或无机气体应急监测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37</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真空控制全自动旋转蒸发仪</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用于实验室样品浓缩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38</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离子色谱质谱联用系统</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用于环境中离子态物质的定性及定量分析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39</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深层土壤采样系统</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用于标准柱状土壤样品采集及地表水采样井的建设使用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40</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沉积物采样系统</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用于柱状沉积物采样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41</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扫描电迁移率颗粒物粒径谱仪（SMPS）</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用于测定大气颗粒物粒径谱分布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42</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放射源定位仪</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用于放射源定位查找及高辐射剂量率的方向定位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59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43</w:t>
            </w:r>
          </w:p>
        </w:tc>
        <w:tc>
          <w:tcPr>
            <w:tcW w:w="440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同位素质谱仪</w:t>
            </w:r>
          </w:p>
        </w:tc>
        <w:tc>
          <w:tcPr>
            <w:tcW w:w="4118"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用于有机污染物的定性定量和同位素示踪追溯污染源</w:t>
            </w:r>
          </w:p>
        </w:tc>
      </w:tr>
    </w:tbl>
    <w:p>
      <w:pPr>
        <w:snapToGrid/>
        <w:spacing w:line="240" w:lineRule="auto"/>
        <w:jc w:val="left"/>
        <w:rPr>
          <w:rFonts w:hint="eastAsia"/>
          <w:kern w:val="2"/>
          <w:sz w:val="21"/>
          <w:szCs w:val="24"/>
          <w:lang w:val="en-US" w:eastAsia="zh-CN" w:bidi="ar-SA"/>
        </w:rPr>
      </w:pPr>
    </w:p>
    <w:p>
      <w:pPr>
        <w:snapToGrid/>
        <w:spacing w:line="240" w:lineRule="auto"/>
        <w:jc w:val="left"/>
        <w:rPr>
          <w:rFonts w:hint="eastAsia"/>
          <w:kern w:val="2"/>
          <w:sz w:val="21"/>
          <w:szCs w:val="24"/>
          <w:lang w:val="en-US" w:eastAsia="zh-CN" w:bidi="ar-SA"/>
        </w:rPr>
      </w:pPr>
    </w:p>
    <w:p>
      <w:pPr>
        <w:snapToGrid/>
        <w:spacing w:line="240" w:lineRule="auto"/>
        <w:jc w:val="left"/>
        <w:rPr>
          <w:rFonts w:hint="eastAsia"/>
          <w:kern w:val="2"/>
          <w:sz w:val="21"/>
          <w:szCs w:val="24"/>
          <w:lang w:val="en-US" w:eastAsia="zh-CN" w:bidi="ar-SA"/>
        </w:rPr>
      </w:pPr>
    </w:p>
    <w:p>
      <w:pPr>
        <w:keepNext w:val="0"/>
        <w:keepLines w:val="0"/>
        <w:widowControl/>
        <w:suppressLineNumbers w:val="0"/>
        <w:shd w:val="clear" w:color="auto" w:fill="FFFFFF"/>
        <w:spacing w:before="0" w:beforeLines="0" w:beforeAutospacing="0" w:after="0" w:afterLines="0" w:afterAutospacing="0" w:line="600" w:lineRule="exact"/>
        <w:ind w:left="0" w:right="0" w:firstLine="0"/>
        <w:jc w:val="left"/>
        <w:rPr>
          <w:rFonts w:hint="eastAsia" w:ascii="黑体" w:hAnsi="黑体" w:eastAsia="黑体" w:cs="黑体"/>
          <w:b w:val="0"/>
          <w:i w:val="0"/>
          <w:caps w:val="0"/>
          <w:color w:val="000000"/>
          <w:spacing w:val="0"/>
          <w:sz w:val="32"/>
          <w:szCs w:val="32"/>
        </w:rPr>
      </w:pPr>
      <w:r>
        <w:rPr>
          <w:rFonts w:hint="eastAsia" w:ascii="黑体" w:hAnsi="黑体" w:eastAsia="黑体" w:cs="黑体"/>
          <w:b w:val="0"/>
          <w:i w:val="0"/>
          <w:caps w:val="0"/>
          <w:color w:val="000000"/>
          <w:spacing w:val="0"/>
          <w:kern w:val="0"/>
          <w:sz w:val="32"/>
          <w:szCs w:val="32"/>
          <w:shd w:val="clear" w:color="auto" w:fill="FFFFFF"/>
          <w:lang w:val="en-US" w:eastAsia="zh-CN" w:bidi="ar"/>
        </w:rPr>
        <w:t>附件2</w:t>
      </w:r>
    </w:p>
    <w:p>
      <w:pPr>
        <w:keepNext w:val="0"/>
        <w:keepLines w:val="0"/>
        <w:widowControl/>
        <w:suppressLineNumbers w:val="0"/>
        <w:shd w:val="clear" w:color="auto" w:fill="FFFFFF"/>
        <w:spacing w:before="100" w:beforeLines="0" w:beforeAutospacing="1" w:after="100" w:afterLines="0" w:afterAutospacing="1" w:line="240" w:lineRule="auto"/>
        <w:ind w:left="0" w:right="0" w:firstLine="0"/>
        <w:jc w:val="center"/>
        <w:rPr>
          <w:rFonts w:hint="eastAsia" w:ascii="方正小标宋简体" w:hAnsi="方正小标宋简体" w:eastAsia="方正小标宋简体" w:cs="方正小标宋简体"/>
          <w:color w:val="000000"/>
          <w:kern w:val="0"/>
          <w:sz w:val="44"/>
          <w:szCs w:val="44"/>
          <w:shd w:val="clear" w:color="auto" w:fill="FFFFFF"/>
          <w:lang w:eastAsia="zh-CN" w:bidi="ar"/>
        </w:rPr>
      </w:pPr>
      <w:r>
        <w:rPr>
          <w:rFonts w:hint="eastAsia" w:ascii="方正小标宋简体" w:hAnsi="方正小标宋简体" w:eastAsia="方正小标宋简体" w:cs="方正小标宋简体"/>
          <w:b w:val="0"/>
          <w:i w:val="0"/>
          <w:caps w:val="0"/>
          <w:color w:val="000000"/>
          <w:spacing w:val="0"/>
          <w:kern w:val="0"/>
          <w:sz w:val="44"/>
          <w:szCs w:val="44"/>
          <w:shd w:val="clear" w:color="auto" w:fill="FFFFFF"/>
          <w:lang w:val="en-US" w:eastAsia="zh-CN" w:bidi="ar"/>
        </w:rPr>
        <w:t>允许采购进口产品清单二（</w:t>
      </w:r>
      <w:r>
        <w:rPr>
          <w:rFonts w:hint="eastAsia" w:ascii="方正小标宋简体" w:hAnsi="方正小标宋简体" w:eastAsia="方正小标宋简体" w:cs="方正小标宋简体"/>
          <w:color w:val="000000"/>
          <w:kern w:val="0"/>
          <w:sz w:val="44"/>
          <w:szCs w:val="44"/>
          <w:shd w:val="clear" w:color="auto" w:fill="FFFFFF"/>
          <w:lang w:eastAsia="zh-CN" w:bidi="ar"/>
        </w:rPr>
        <w:t>有国产品牌）</w:t>
      </w:r>
    </w:p>
    <w:tbl>
      <w:tblPr>
        <w:tblStyle w:val="6"/>
        <w:tblW w:w="8492" w:type="dxa"/>
        <w:jc w:val="center"/>
        <w:tblInd w:w="217"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43"/>
        <w:gridCol w:w="1990"/>
        <w:gridCol w:w="1817"/>
        <w:gridCol w:w="1660"/>
        <w:gridCol w:w="228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b/>
                <w:bCs/>
              </w:rPr>
            </w:pPr>
            <w:r>
              <w:rPr>
                <w:rFonts w:hint="default" w:ascii="_5b8b_4f53" w:hAnsi="_5b8b_4f53" w:eastAsia="_5b8b_4f53" w:cs="_5b8b_4f53"/>
                <w:b/>
                <w:bCs/>
                <w:kern w:val="0"/>
                <w:sz w:val="24"/>
                <w:szCs w:val="24"/>
                <w:lang w:val="en-US" w:eastAsia="zh-CN" w:bidi="ar"/>
              </w:rPr>
              <w:t>序号</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b/>
                <w:bCs/>
              </w:rPr>
            </w:pPr>
            <w:r>
              <w:rPr>
                <w:rFonts w:hint="default" w:ascii="_5b8b_4f53" w:hAnsi="_5b8b_4f53" w:eastAsia="_5b8b_4f53" w:cs="_5b8b_4f53"/>
                <w:b/>
                <w:bCs/>
                <w:kern w:val="0"/>
                <w:sz w:val="24"/>
                <w:szCs w:val="24"/>
                <w:lang w:val="en-US" w:eastAsia="zh-CN" w:bidi="ar"/>
              </w:rPr>
              <w:t>仪器名称</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b/>
                <w:bCs/>
              </w:rPr>
            </w:pPr>
            <w:r>
              <w:rPr>
                <w:rFonts w:hint="default" w:ascii="_5b8b_4f53" w:hAnsi="_5b8b_4f53" w:eastAsia="_5b8b_4f53" w:cs="_5b8b_4f53"/>
                <w:b/>
                <w:bCs/>
                <w:kern w:val="0"/>
                <w:sz w:val="24"/>
                <w:szCs w:val="24"/>
                <w:lang w:val="en-US" w:eastAsia="zh-CN" w:bidi="ar"/>
              </w:rPr>
              <w:t>功    能</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b/>
                <w:bCs/>
              </w:rPr>
            </w:pPr>
            <w:r>
              <w:rPr>
                <w:rFonts w:hint="default" w:ascii="_5b8b_4f53" w:hAnsi="_5b8b_4f53" w:eastAsia="_5b8b_4f53" w:cs="_5b8b_4f53"/>
                <w:b/>
                <w:bCs/>
                <w:kern w:val="0"/>
                <w:sz w:val="24"/>
                <w:szCs w:val="24"/>
                <w:lang w:val="en-US" w:eastAsia="zh-CN" w:bidi="ar"/>
              </w:rPr>
              <w:t>国产与进口仪器区别</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b/>
                <w:bCs/>
              </w:rPr>
            </w:pPr>
            <w:r>
              <w:rPr>
                <w:rFonts w:hint="default" w:ascii="_5b8b_4f53" w:hAnsi="_5b8b_4f53" w:eastAsia="_5b8b_4f53" w:cs="_5b8b_4f53"/>
                <w:b/>
                <w:bCs/>
                <w:kern w:val="0"/>
                <w:sz w:val="24"/>
                <w:szCs w:val="24"/>
                <w:lang w:val="en-US" w:eastAsia="zh-CN" w:bidi="ar"/>
              </w:rPr>
              <w:t>选择进口品牌的理由</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1</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十万分之一分析天平</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精密称量</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高准确度的测量如PM2.5测量时要用进口仪器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2</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等离子发射光谱</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测定微量金属元素</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进口仪器光学分辨率≤0.007nm；长期稳定性：4小时，RSD≤1%。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3</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pH计（实验室用）</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测pH值</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校准比对时需用进口仪器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4</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便携式气相色谱仪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现场微量有机物测定</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进口仪器具有PID与ECD双检测器，可同时检测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5</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液相柱后衍生装置</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有机物衍生处理</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进口精密度和稳定性好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6</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全自动快速冷原子吸收测汞仪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测汞</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高准确度测量需用进口仪器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7</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离子色谱仪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测定阴阳离子</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进口仪器具有淋洗液自动发生装置，可梯度淋洗，适合于任何复杂样品的阴阳离子分析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25" w:hRule="atLeast"/>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8</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全自动热脱附仪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空气有机污染物富集</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自动化程度高，回收率高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30" w:hRule="atLeast"/>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9</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气相色谱仪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测定有机污染物</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电子流量控制气路，检测器灵敏度高，稳定性好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75" w:hRule="atLeast"/>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10</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液相色谱仪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测定有机污染物</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检测器灵敏度高，定性分辨率高，泵精度高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firstLine="120"/>
              <w:jc w:val="both"/>
              <w:rPr>
                <w:rFonts w:hint="eastAsia" w:ascii="宋体" w:hAnsi="宋体" w:eastAsia="宋体" w:cs="宋体"/>
              </w:rPr>
            </w:pPr>
            <w:r>
              <w:rPr>
                <w:rFonts w:hint="eastAsia" w:ascii="宋体" w:hAnsi="宋体" w:eastAsia="宋体" w:cs="宋体"/>
                <w:kern w:val="0"/>
                <w:sz w:val="24"/>
                <w:szCs w:val="24"/>
                <w:lang w:val="en-US" w:eastAsia="zh-CN" w:bidi="ar"/>
              </w:rPr>
              <w:t>11</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烟气测定仪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测定烟气中二氧化硫等</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高准确度测量需用进口仪器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firstLine="120"/>
              <w:jc w:val="both"/>
              <w:rPr>
                <w:rFonts w:hint="eastAsia" w:ascii="宋体" w:hAnsi="宋体" w:eastAsia="宋体" w:cs="宋体"/>
              </w:rPr>
            </w:pPr>
            <w:r>
              <w:rPr>
                <w:rFonts w:hint="eastAsia" w:ascii="宋体" w:hAnsi="宋体" w:eastAsia="宋体" w:cs="宋体"/>
                <w:kern w:val="0"/>
                <w:sz w:val="24"/>
                <w:szCs w:val="24"/>
                <w:lang w:val="en-US" w:eastAsia="zh-CN" w:bidi="ar"/>
              </w:rPr>
              <w:t>12</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原子吸收分光光度计</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测定微量金属元素</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石墨炉稳定性好，重现性好，检出限低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firstLine="120"/>
              <w:jc w:val="both"/>
              <w:rPr>
                <w:rFonts w:hint="eastAsia" w:ascii="宋体" w:hAnsi="宋体" w:eastAsia="宋体" w:cs="宋体"/>
              </w:rPr>
            </w:pPr>
            <w:r>
              <w:rPr>
                <w:rFonts w:hint="eastAsia" w:ascii="宋体" w:hAnsi="宋体" w:eastAsia="宋体" w:cs="宋体"/>
                <w:kern w:val="0"/>
                <w:sz w:val="24"/>
                <w:szCs w:val="24"/>
                <w:lang w:val="en-US" w:eastAsia="zh-CN" w:bidi="ar"/>
              </w:rPr>
              <w:t>13</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流速测量仪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测定水质流速</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高准确度测量需用进口仪器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14</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溶解氧测定仪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测定溶解氧</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进口仪器具有自动气压补偿；准确度：0至200%时，读数之±2%；稳定性更好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15</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生物综合毒性分析</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生物综合毒性鉴定</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测定饮用水源水保障饮用水安全时需用进口仪器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16</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生物显微镜</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鉴定水生生物用</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测定饮用水源水保障饮用水安全时需用进口仪器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17</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水样自动采样器</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自动采集废水</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污染源监督监测和总量减排监测时需用进口仪器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18</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颗粒物采样器</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采集空气和废气中颗粒物</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污染源监督监测和总量减排监测时需用进口仪器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19</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旋转蒸发仪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浓缩微量有机物</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低真空度前处理时需用进口仪器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20</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凝胶色谱净化仪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有机物测试净化处理设备</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高准确度测量时需用进口前处理设备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firstLine="120"/>
              <w:jc w:val="both"/>
              <w:rPr>
                <w:rFonts w:hint="eastAsia" w:ascii="宋体" w:hAnsi="宋体" w:eastAsia="宋体" w:cs="宋体"/>
              </w:rPr>
            </w:pPr>
            <w:r>
              <w:rPr>
                <w:rFonts w:hint="eastAsia" w:ascii="宋体" w:hAnsi="宋体" w:eastAsia="宋体" w:cs="宋体"/>
                <w:kern w:val="0"/>
                <w:sz w:val="24"/>
                <w:szCs w:val="24"/>
                <w:lang w:val="en-US" w:eastAsia="zh-CN" w:bidi="ar"/>
              </w:rPr>
              <w:t>21</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酶标仪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生物测定</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高准确度测量时需用进口仪器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firstLine="120"/>
              <w:jc w:val="both"/>
              <w:rPr>
                <w:rFonts w:hint="eastAsia" w:ascii="宋体" w:hAnsi="宋体" w:eastAsia="宋体" w:cs="宋体"/>
              </w:rPr>
            </w:pPr>
            <w:r>
              <w:rPr>
                <w:rFonts w:hint="eastAsia" w:ascii="宋体" w:hAnsi="宋体" w:eastAsia="宋体" w:cs="宋体"/>
                <w:kern w:val="0"/>
                <w:sz w:val="24"/>
                <w:szCs w:val="24"/>
                <w:lang w:val="en-US" w:eastAsia="zh-CN" w:bidi="ar"/>
              </w:rPr>
              <w:t>22</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流动注射分析仪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水中微量无机盐类自动分析</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进口仪器具有在线透析、在线加热、在线蒸馏、在线消化和在线萃取等前处理功能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firstLine="120"/>
              <w:jc w:val="both"/>
              <w:rPr>
                <w:rFonts w:hint="eastAsia" w:ascii="宋体" w:hAnsi="宋体" w:eastAsia="宋体" w:cs="宋体"/>
              </w:rPr>
            </w:pPr>
            <w:r>
              <w:rPr>
                <w:rFonts w:hint="eastAsia" w:ascii="宋体" w:hAnsi="宋体" w:eastAsia="宋体" w:cs="宋体"/>
                <w:kern w:val="0"/>
                <w:sz w:val="24"/>
                <w:szCs w:val="24"/>
                <w:lang w:val="en-US" w:eastAsia="zh-CN" w:bidi="ar"/>
              </w:rPr>
              <w:t>23</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便携式多参数气体分析仪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空气中污染分析</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高准确度测量时需用进口仪器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firstLine="120"/>
              <w:jc w:val="both"/>
              <w:rPr>
                <w:rFonts w:hint="eastAsia" w:ascii="宋体" w:hAnsi="宋体" w:eastAsia="宋体" w:cs="宋体"/>
              </w:rPr>
            </w:pPr>
            <w:r>
              <w:rPr>
                <w:rFonts w:hint="eastAsia" w:ascii="宋体" w:hAnsi="宋体" w:eastAsia="宋体" w:cs="宋体"/>
                <w:kern w:val="0"/>
                <w:sz w:val="24"/>
                <w:szCs w:val="24"/>
                <w:lang w:val="en-US" w:eastAsia="zh-CN" w:bidi="ar"/>
              </w:rPr>
              <w:t>24</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地下水有机物采样设备</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微量有机物采集</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进口精密度和稳定性好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进口设备能从漂浮的油及其它物质层之下采取有代表性的地下水样品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0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25</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0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高气压电离室</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0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γ空气吸收剂量率的连续监测</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0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进口产品长期稳定性经过考验，具有灵敏度高，准确度高，温度漂移小等优点，同时还具有无线通讯扩展接口</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长期连续监测时需用进口仪器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0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26</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0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γ剂量率仪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0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γ剂量率的瞬时测量。</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0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与国产同类型产品相比，进口产品能量响应范围广，响应时间快，适用于核电厂辐射应急测量</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高准确度测量时需用进口仪器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0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27</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0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α/β表面污染仪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0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α、β表面污染的测量。</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00" w:lineRule="exact"/>
              <w:ind w:left="-53" w:right="-53"/>
              <w:jc w:val="both"/>
              <w:rPr>
                <w:rFonts w:hint="eastAsia" w:ascii="宋体" w:hAnsi="宋体" w:eastAsia="宋体" w:cs="宋体"/>
              </w:rPr>
            </w:pPr>
            <w:r>
              <w:rPr>
                <w:rFonts w:hint="eastAsia" w:ascii="宋体" w:hAnsi="宋体" w:eastAsia="宋体" w:cs="宋体"/>
                <w:spacing w:val="-10"/>
                <w:kern w:val="0"/>
                <w:sz w:val="24"/>
                <w:szCs w:val="24"/>
                <w:lang w:val="en-US" w:eastAsia="zh-CN" w:bidi="ar"/>
              </w:rPr>
              <w:t>进口产品探头有效面积大，灵敏度高，稳定性好，能对多个核素进行准确校准，适用于核电厂辐射应急测量。</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高准确度测量时需用进口仪器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0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28</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0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个人辐射防护装备</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00" w:lineRule="exact"/>
              <w:ind w:left="-53" w:right="-53"/>
              <w:jc w:val="both"/>
              <w:rPr>
                <w:rFonts w:hint="eastAsia" w:ascii="宋体" w:hAnsi="宋体" w:eastAsia="宋体" w:cs="宋体"/>
              </w:rPr>
            </w:pPr>
            <w:r>
              <w:rPr>
                <w:rFonts w:hint="eastAsia" w:ascii="宋体" w:hAnsi="宋体" w:eastAsia="宋体" w:cs="宋体"/>
                <w:spacing w:val="-4"/>
                <w:kern w:val="0"/>
                <w:sz w:val="24"/>
                <w:szCs w:val="24"/>
                <w:lang w:val="en-US" w:eastAsia="zh-CN" w:bidi="ar"/>
              </w:rPr>
              <w:t>用户工作人员的辐射防护。</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0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进口产品轻便，便于携带和操作使用，防护性能好，适合核电厂辐射应急使用</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核事故应急时需使用进口装备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0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29</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0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样品粉碎机</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00" w:lineRule="exact"/>
              <w:ind w:left="-53" w:right="-53"/>
              <w:jc w:val="both"/>
              <w:rPr>
                <w:rFonts w:hint="eastAsia" w:ascii="宋体" w:hAnsi="宋体" w:eastAsia="宋体" w:cs="宋体"/>
              </w:rPr>
            </w:pPr>
            <w:r>
              <w:rPr>
                <w:rFonts w:hint="eastAsia" w:ascii="宋体" w:hAnsi="宋体" w:eastAsia="宋体" w:cs="宋体"/>
                <w:spacing w:val="-10"/>
                <w:kern w:val="0"/>
                <w:sz w:val="24"/>
                <w:szCs w:val="24"/>
                <w:lang w:val="en-US" w:eastAsia="zh-CN" w:bidi="ar"/>
              </w:rPr>
              <w:t>岩石、土壤等固体样品的前处理。</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00" w:lineRule="exact"/>
              <w:ind w:left="-53" w:right="-53"/>
              <w:jc w:val="both"/>
              <w:rPr>
                <w:rFonts w:hint="eastAsia" w:ascii="宋体" w:hAnsi="宋体" w:eastAsia="宋体" w:cs="宋体"/>
              </w:rPr>
            </w:pPr>
            <w:r>
              <w:rPr>
                <w:rFonts w:hint="eastAsia" w:ascii="宋体" w:hAnsi="宋体" w:eastAsia="宋体" w:cs="宋体"/>
                <w:spacing w:val="-10"/>
                <w:kern w:val="0"/>
                <w:sz w:val="24"/>
                <w:szCs w:val="24"/>
                <w:lang w:val="en-US" w:eastAsia="zh-CN" w:bidi="ar"/>
              </w:rPr>
              <w:t>进口产品效率高、粒度均匀，密封性好不易导致放射性粉尘逃逸从而造成交叉污染</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高准确度测量的样品前处理需用进口仪器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0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30</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0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低本底α、β测量仪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0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α、β核素的放射性含量分析</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0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进口产品本底低、效率高、故障率小、长期稳定性好，能更好的满足低本底环境样品的辐射监测需要</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进行微量放射性含量分析时需用进口仪器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31</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气碘采样器</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空气放射性碘的采样。</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进口产品仪器轻便、抗震性好、流量稳定、准确度高。</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核事故应急采样时需用进口仪器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32</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便携式大流量空气采样器</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放射性气溶胶的采集。</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进口产品仪器采样泵寿命长，抗震性好、流量稳定、准确度高，适合野外长期使用。</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便携式大流量空气采样器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33</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超大流量气溶胶采样器</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放射性气溶胶的快速采集。</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进口产品仪器采样泵寿命长，流量大，抗震性好、流量稳定，适合野外长期使用。</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核事故应急快速采样时需用进口仪器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34</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便携式溴化镧谱仪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识别放射性核素种类和含量</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进口产品晶体体积大，探测效率高，能量分辨率好，响应时间快，适用于核事故应急监测</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核事故应急监测中快速测量时需用进口仪器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35</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翻转式振荡器</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测定浸出毒性的样品处理设备</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进口稳定性和均匀性好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高准确度测量需用进口仪器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36</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超纯水器</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制备精密分析仪器的实验用水</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进口出水纯度高、杂质少</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高准确度测量需用进口仪器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37</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全自动石墨消解系统</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测定无机物前处理用</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进口定容精确度高，稳定性好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高准确度测量需用进口仪器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38</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微波消解系统</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测定重金属元素前处理用</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进口安全性和均匀性好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高准确度测量需用进口仪器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39</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人工气候箱（生物监测）</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生物急性毒性试验（藻类、鱼类胚胎、蚯蚓危险废物监测等）</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温控系统相对精准，性能稳定</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生物急性毒性检测时对温度控制性能、稳定性要求高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40</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便携式β-γ剂量率仪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β-γ剂量率的测量</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应急监测的需要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41</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便携式碘化钠谱仪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放射性核素的半定量分析。</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核事故应急监测中快速测量时需用进口仪器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42</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快速采样与储存系统</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气溶胶、气碘、土壤、生物、水样品的采集和储存。</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核事故应急监测中快速采样时需用进口仪器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43</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中子剂量当量率仪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中子剂量当量率的瞬时测量</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高灵敏度测量时需要进口仪器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44</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测氡仪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放射性氡浓度及其子体的测量</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适应野外苛刻复杂测量条件时，需用进口仪器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45</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γ相机</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γ核素污染分布的分析</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应急监测应使用准确度和稳定性好的设备</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核与辐射应急监测中γ核素污染分布的分析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46</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研磨仪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适用于粉碎各类生物样品</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核心部件为碳化钨材质时目前国内无法生产</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要求硬度高的核心部件为碳化钨材质时目前国内无法生产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47</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射频综合场强仪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测量射频综合场强</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解决辐射环境纠纷时需用进口仪器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48</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工频综合场强仪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测量工频电场、磁场</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解决辐射环境纠纷时需用进口仪器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center"/>
              <w:rPr>
                <w:rFonts w:hint="eastAsia" w:ascii="宋体" w:hAnsi="宋体" w:eastAsia="宋体" w:cs="宋体"/>
              </w:rPr>
            </w:pPr>
            <w:r>
              <w:rPr>
                <w:rFonts w:hint="eastAsia" w:ascii="宋体" w:hAnsi="宋体" w:eastAsia="宋体" w:cs="宋体"/>
                <w:kern w:val="0"/>
                <w:sz w:val="24"/>
                <w:szCs w:val="24"/>
                <w:lang w:val="en-US" w:eastAsia="zh-CN" w:bidi="ar"/>
              </w:rPr>
              <w:t>49</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手提激光测距仪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测量距离，可进行斜距、倾斜度、水平距离、垂直距离、百分比距离五种基本测量</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解决辐射环境纠纷时需用进口仪器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30" w:hRule="atLeast"/>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50</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气相色谱-质谱联用仪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测定微量有机污染物</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质谱速度快，能量稳定，定性准确度高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15" w:hRule="atLeast"/>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51</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X射线荧光分析仪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测定土壤微量金属元素</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进口仪器能对轻元素进行分析，而且准确度非常高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985" w:hRule="atLeast"/>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52</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便携式空气测汞仪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检测空气中微量测汞</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进口仪器野外现场监测无需气瓶和电源，检测限为2ng/m3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53</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便携式气相色谱-质谱联用仪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现场微量有机物测定</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28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进口仪器能对环境中的挥发性和半挥发性有机物(VOC/SVOC)检测，包括有毒工业原料(TIM)及有毒工业化学物质(TIC)，化学战争相关试剂(CWA)的分析，内置载气，无需任何外接电源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54</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便携式金属分析仪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现场微量金属元素测定</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进口仪器能现场进行30多种重金属元素分析，稳定性好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55</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便携式多参数水质分析仪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测定水质中多项指标</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进口仪器具有叶绿素、蓝绿藻探头，现场同时对水质的测定参数更多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56</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自动固相萃取仪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提取水中微量有机物</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进口精密度和稳定性好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进口设备同时具有柱法和膜法两种萃取方式，上样体积：1ml-20L，适用于任何领域的样品固相萃取前处理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57</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自动液液萃取仪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提取水中微量有机物</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进口精密度和稳定性好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进口设备气密性好，回收率更高，适合于衡量样品的前处理。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58</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样品自动浓缩仪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测定微量有机物前处理用(氮吹)</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进口精密度和稳定性好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进口设备具有特氟隆材质的针，适合于任何复杂样品的浓缩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59</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车载大晶体碘化钠谱仪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搜寻、定位、识别丢失的放射源</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进口仪器灵敏度和稳定性好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事故应急监测中快速搜索放射源时需用进口仪器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60</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连续监测型碘化钠谱仪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对空气中人工放射性核素进行半定量分析</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进口仪器环境适应性和稳定性好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长期野外连续监测时需用进口仪器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61</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连续监测型溴化镧谱仪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对空气中人工放射性核素进行半定量分析</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进口仪器能量分辨率高，准确度和稳定性好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长期野外连续监测时需用进口仪器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62</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个人剂量计</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工作人员的个人剂量监测。</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进口产品防电磁干扰强，数据可靠性和稳定性高</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核与辐射事故应急监测时需使用进口设备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63</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移动式γ辐射连续监测系统</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γ辐射剂量率的移动连续监测。</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进口仪器环境适应性好，数据可靠性和稳定性高</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53" w:right="-53"/>
              <w:jc w:val="both"/>
              <w:rPr>
                <w:rFonts w:hint="eastAsia" w:ascii="宋体" w:hAnsi="宋体" w:eastAsia="宋体" w:cs="宋体"/>
              </w:rPr>
            </w:pPr>
            <w:r>
              <w:rPr>
                <w:rFonts w:hint="eastAsia" w:ascii="宋体" w:hAnsi="宋体" w:eastAsia="宋体" w:cs="宋体"/>
                <w:kern w:val="0"/>
                <w:sz w:val="24"/>
                <w:szCs w:val="24"/>
                <w:lang w:val="en-US" w:eastAsia="zh-CN" w:bidi="ar"/>
              </w:rPr>
              <w:t>核与辐射事故应急监测时，车载连续测量时需用进口仪器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64</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万分之一天平</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精密称量</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进口精度和稳定性好，价格高</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高精度的测量如能力验证等配标样称量时要用进口仪器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65</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移液枪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精密移液</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进口精度和稳定性好，价格高</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高精度的测量如能力验证等配标样移液时要用进口仪器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66</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便携式PH计</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测量pH值</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进口稳定性好，价格高</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用于现场高精度准确测试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67</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连续流动分析仪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水中微量无机盐类自动分析</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进口精度和稳定性好，价格高</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高精度测量时需用进口仪器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68</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全自动汞分析仪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原子吸收法测汞</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进口精度和稳定性好，价格高</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高精度测量需用进口仪器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69</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手提式电导率/盐度测试仪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测量水中盐度、电导率</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进口精度和稳定性好，价格高</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高精度测量时需用进口仪器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70</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高压灭菌器</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高压灭菌及水中总磷、总氮测定消解用</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进口质量好，安全性高，使用方便、价格高</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71</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脉冲荧光法SO2分析仪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用于环境空气中SO2浓度的自动监测</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进口准确度和稳定性好，价格高</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空气自动监测仪器需要有较好的精度和稳定性，确保监测数据准确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72</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化学发光法NO-NO2-NOx分析仪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用于环境空气中氮氧化物浓度的自动监测</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进口准确度和稳定性好，价格高</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空气自动监测仪器需要有较好的精度和稳定性，确保监测数据准确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73</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气体滤波相关红外吸收法CO分析仪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用于环境空气中CO浓度的自动监测</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进口准确度和稳定性好，价格高</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空气自动监测仪器需要有较好的精度和稳定性，确保监测数据准确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74</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紫外光度法O3分析仪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用于环境空气中O3浓度的自动监测</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进口准确度和稳定性好，价格高</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空气自动监测仪器需要有较好的精度和稳定性，确保监测数据准确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410" w:hRule="atLeast"/>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75</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β射线法PM10分析仪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用于环境空气中PM10浓度的自动监测</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进口准确度和稳定性好，价格高</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空气自动监测仪器需要有较好的精度和稳定性，确保监测数据准确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76</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TEOM振荡天平法PM10分析仪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用于环境空气中PM10浓度的自动监测</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进口准确度和稳定性好，价格高</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空气自动监测仪器需要有较好的精度和稳定性，确保监测数据准确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77</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β射线法PM2.5分析仪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用于环境空气中PM2.5浓度的自动监测</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进口准确度和稳定性好，价格高</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空气自动监测仪器需要有较好的精度和稳定性，确保监测数据准确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78</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TEOM振荡天平法PM2.5分析仪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用于环境空气中PM2.5浓度的自动监测</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进口准确度和稳定性好，价格高</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空气自动监测仪器需要有较好的精度和稳定性，确保监测数据准确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79</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动态气体校准仪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用于校准SO2、NOx自动监测仪器</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进口准确度和稳定性好，价格高</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用于空气自动监测站仪器的校准，需保证校准设备的精度及稳定性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410" w:hRule="atLeast"/>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80</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零气发生器</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用于SO2、NOx自动监测仪器的校准</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进口准确度和稳定性好，价格高</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用于空气自动监测站仪器的校准，需保证校准设备的精度及稳定性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440" w:hRule="atLeast"/>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81</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气象五参数</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用于自动监测环境大气温度、湿度、压力、风力、风向参数</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进口准确度和稳定性好，价格高</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空气自动监测仪器需要有较好的精度和稳定性，确保监测数据准确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2080" w:hRule="atLeast"/>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82</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多通道加压式大气VOCs采样器</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自动采集环境空气中VOC和醛酮类化合物，用于VOC自动监测设备的质控比对</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大气中VOC含量极低，采样设备需保证较高的准确度及稳定性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83</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氨氮自动分析仪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用于地表水水质自动监测</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进口自动分析仪在我省各地表水水质自动监测系统广泛使用，确保监测数据的准确性、延续性和可比性，购买进口仪器设备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84</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高锰酸盐指数自动分析仪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用于地表水水质自动监测</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进口自动分析仪在我省各地表水水质自动监测系统广泛使用，确保监测数据的准确性、延续性和可比性，购买进口仪器设备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85</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五参数自动分析仪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用于地表水水质自动监测</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进口自动分析仪在我省各地表水水质自动监测系统广泛使用，确保监测数据的准确性、延续性和可比性，购买进口仪器设备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86</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总氮总磷自动分析仪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用于地表水水质自动监测</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进口自动分析仪在我省各地表水水质自动监测系统广泛使用，确保监测数据的准确性、延续性和可比性，购买进口仪器设备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87</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超声波探测仪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地表水或水生生物监测</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进口准确性和稳定性好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国产的数值结果漂移太大、误差大，进口超声波探测仪稳定性准确性优于国产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88</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生物显微镜数码摄像及分析系统</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水生生物显微监测分析包括摄像及图像分析</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进口摄像系统运行性能好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进口CCD及图像处理系统就分辨率，成图及图像处理等方面显著优于国产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89</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瓶口分配器</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用于强酸、强碱分取。  </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进口采用陶瓷活塞柱，耐强酸强碱、耐磨损；带有安全阀有试剂回收系统  </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用于强酸、强碱分取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815" w:hRule="atLeast"/>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90</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傅里叶红外法烟气分析仪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测定烟气中二氧化硫等</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用于火电超低排放监测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91</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便携式阳极溶出仪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地表水或废水重金属应急监测</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用于环境应急监测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92</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全自动洗瓶机</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实验室辅助设备</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清洗更均匀稳定，减少实验室交叉污染</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用于实验室分析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760" w:hRule="atLeast"/>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93</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浅层土壤采样系统</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1米以内标准柱状土壤样品采集</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国产的采样刀剖面无法满足刚性要求，采集几个土壤样品就卷口</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用于土壤样品采集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0" w:hRule="atLeast"/>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94</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便携式甲醛测定仪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用于室内空气甲醛快速测定</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高准确度测量时需用进口仪器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815" w:hRule="atLeast"/>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95</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便携式TVOC检测仪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用于室内空气TVOC快速测定</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高准确度测量时需用进口仪器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96</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TOC仪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用于水中、土壤中TOC的测定</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进口准确度和稳定性好、检出限低、灵敏度高</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高准确度测量时需用进口仪器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50" w:hRule="atLeast"/>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97</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氢气发生器</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用于氢气发生</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气流流量稳定</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用于TVOC测定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98</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气溶胶发生器</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用于大气颗粒物化学成分监测仪（ACSM）校准</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进口准确度和稳定度好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产生标准气溶胶粒子，通过粒径筛选后，用于大气颗粒物化学成分监测仪校准，需保证校准设备的精度及稳定性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center"/>
              <w:rPr>
                <w:rFonts w:hint="eastAsia" w:ascii="宋体" w:hAnsi="宋体" w:eastAsia="宋体" w:cs="宋体"/>
              </w:rPr>
            </w:pPr>
            <w:r>
              <w:rPr>
                <w:rFonts w:hint="eastAsia" w:ascii="宋体" w:hAnsi="宋体" w:eastAsia="宋体" w:cs="宋体"/>
                <w:kern w:val="0"/>
                <w:sz w:val="24"/>
                <w:szCs w:val="24"/>
                <w:lang w:val="en-US" w:eastAsia="zh-CN" w:bidi="ar"/>
              </w:rPr>
              <w:t>99</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放射源定位仪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用于放射源定位查找及高辐射剂量率的方向定位</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进口精密度和稳定性好，操作方便快捷</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精密度和稳定性好，操作简单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35" w:hRule="atLeast"/>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100</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合成场强仪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测量合成场强</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进口精密度和稳定性好，操作方便快捷</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进口设备精确度高，用户界面友好，操作简单</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101</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静磁场仪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测量静磁场</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进口精密度和稳定性好，操作方便快捷</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高准确、灵敏测量需要</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102</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热释光测量仪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测定热释光剂量片</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进口产品准确度和稳定性好，可批量测定剂量片，并能直接连接电脑进行数据存储、处理</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热释光监测仪器需要有较好的精度和稳定性，确保监测数据准确。进口产品还能读取多种形状的剂量元件，自动化程度高，可实现数据自动批量存储和处理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103</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液相色谱-质谱联用仪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测定微量有机污染物</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精确度高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104</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毛细管电泳仪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检测微量有机物</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精确度高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105</w:t>
            </w:r>
          </w:p>
        </w:tc>
        <w:tc>
          <w:tcPr>
            <w:tcW w:w="199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全自动快速溶剂萃取仪</w:t>
            </w:r>
          </w:p>
        </w:tc>
        <w:tc>
          <w:tcPr>
            <w:tcW w:w="181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提取固体中微量有机物</w:t>
            </w:r>
          </w:p>
        </w:tc>
        <w:tc>
          <w:tcPr>
            <w:tcW w:w="16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进口准确度和稳定性好</w:t>
            </w:r>
          </w:p>
        </w:tc>
        <w:tc>
          <w:tcPr>
            <w:tcW w:w="228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spacing w:before="100" w:beforeLines="0" w:beforeAutospacing="1" w:after="100" w:afterLines="0" w:afterAutospacing="1" w:line="320" w:lineRule="exact"/>
              <w:ind w:left="0" w:right="0"/>
              <w:jc w:val="both"/>
              <w:rPr>
                <w:rFonts w:hint="eastAsia" w:ascii="宋体" w:hAnsi="宋体" w:eastAsia="宋体" w:cs="宋体"/>
              </w:rPr>
            </w:pPr>
            <w:r>
              <w:rPr>
                <w:rFonts w:hint="eastAsia" w:ascii="宋体" w:hAnsi="宋体" w:eastAsia="宋体" w:cs="宋体"/>
                <w:kern w:val="0"/>
                <w:sz w:val="24"/>
                <w:szCs w:val="24"/>
                <w:lang w:val="en-US" w:eastAsia="zh-CN" w:bidi="ar"/>
              </w:rPr>
              <w:t>精确度高</w:t>
            </w:r>
          </w:p>
        </w:tc>
      </w:tr>
    </w:tbl>
    <w:p>
      <w:pPr>
        <w:jc w:val="left"/>
        <w:rPr>
          <w:rFonts w:hint="eastAsia"/>
          <w:kern w:val="2"/>
          <w:sz w:val="21"/>
          <w:szCs w:val="24"/>
          <w:lang w:val="en-US" w:eastAsia="zh-CN" w:bidi="ar-SA"/>
        </w:rPr>
      </w:pPr>
    </w:p>
    <w:p>
      <w:pPr>
        <w:jc w:val="left"/>
        <w:rPr>
          <w:rFonts w:hint="eastAsia"/>
          <w:kern w:val="2"/>
          <w:sz w:val="21"/>
          <w:szCs w:val="24"/>
          <w:lang w:val="en-US" w:eastAsia="zh-CN" w:bidi="ar-SA"/>
        </w:rPr>
      </w:pPr>
    </w:p>
    <w:p>
      <w:pPr>
        <w:jc w:val="left"/>
        <w:rPr>
          <w:rFonts w:hint="eastAsia"/>
          <w:kern w:val="2"/>
          <w:sz w:val="21"/>
          <w:szCs w:val="24"/>
          <w:lang w:val="en-US" w:eastAsia="zh-CN" w:bidi="ar-SA"/>
        </w:rPr>
      </w:pPr>
    </w:p>
    <w:p>
      <w:pPr>
        <w:jc w:val="left"/>
        <w:rPr>
          <w:rFonts w:hint="eastAsia"/>
          <w:kern w:val="2"/>
          <w:sz w:val="21"/>
          <w:szCs w:val="24"/>
          <w:lang w:val="en-US" w:eastAsia="zh-CN" w:bidi="ar-SA"/>
        </w:rPr>
      </w:pPr>
    </w:p>
    <w:p>
      <w:pPr>
        <w:jc w:val="left"/>
        <w:rPr>
          <w:rFonts w:hint="eastAsia"/>
          <w:kern w:val="2"/>
          <w:sz w:val="21"/>
          <w:szCs w:val="24"/>
          <w:lang w:val="en-US" w:eastAsia="zh-CN" w:bidi="ar-SA"/>
        </w:rPr>
      </w:pPr>
    </w:p>
    <w:p>
      <w:pPr>
        <w:jc w:val="left"/>
        <w:rPr>
          <w:rFonts w:hint="eastAsia"/>
          <w:kern w:val="2"/>
          <w:sz w:val="21"/>
          <w:szCs w:val="24"/>
          <w:lang w:val="en-US" w:eastAsia="zh-CN" w:bidi="ar-SA"/>
        </w:rPr>
      </w:pPr>
    </w:p>
    <w:p>
      <w:pPr>
        <w:jc w:val="left"/>
        <w:rPr>
          <w:rFonts w:hint="eastAsia"/>
          <w:kern w:val="2"/>
          <w:sz w:val="21"/>
          <w:szCs w:val="24"/>
          <w:lang w:val="en-US" w:eastAsia="zh-CN" w:bidi="ar-SA"/>
        </w:rPr>
      </w:pPr>
    </w:p>
    <w:p>
      <w:pPr>
        <w:jc w:val="left"/>
        <w:rPr>
          <w:rFonts w:hint="eastAsia"/>
          <w:kern w:val="2"/>
          <w:sz w:val="21"/>
          <w:szCs w:val="24"/>
          <w:lang w:val="en-US" w:eastAsia="zh-CN" w:bidi="ar-SA"/>
        </w:rPr>
      </w:pPr>
    </w:p>
    <w:p>
      <w:pPr>
        <w:jc w:val="left"/>
        <w:rPr>
          <w:rFonts w:hint="eastAsia"/>
          <w:kern w:val="2"/>
          <w:sz w:val="21"/>
          <w:szCs w:val="24"/>
          <w:lang w:val="en-US" w:eastAsia="zh-CN" w:bidi="ar-SA"/>
        </w:rPr>
      </w:pPr>
    </w:p>
    <w:p>
      <w:pPr>
        <w:jc w:val="left"/>
        <w:rPr>
          <w:rFonts w:hint="eastAsia"/>
          <w:kern w:val="2"/>
          <w:sz w:val="21"/>
          <w:szCs w:val="24"/>
          <w:lang w:val="en-US" w:eastAsia="zh-CN" w:bidi="ar-SA"/>
        </w:rPr>
      </w:pPr>
    </w:p>
    <w:p>
      <w:pPr>
        <w:jc w:val="left"/>
        <w:rPr>
          <w:rFonts w:hint="eastAsia"/>
          <w:kern w:val="2"/>
          <w:sz w:val="21"/>
          <w:szCs w:val="24"/>
          <w:lang w:val="en-US" w:eastAsia="zh-CN" w:bidi="ar-SA"/>
        </w:rPr>
      </w:pPr>
    </w:p>
    <w:p>
      <w:pPr>
        <w:jc w:val="left"/>
        <w:rPr>
          <w:rFonts w:hint="eastAsia"/>
          <w:kern w:val="2"/>
          <w:sz w:val="21"/>
          <w:szCs w:val="24"/>
          <w:lang w:val="en-US" w:eastAsia="zh-CN" w:bidi="ar-SA"/>
        </w:rPr>
      </w:pPr>
    </w:p>
    <w:p>
      <w:pPr>
        <w:jc w:val="left"/>
        <w:rPr>
          <w:rFonts w:hint="eastAsia"/>
          <w:kern w:val="2"/>
          <w:sz w:val="21"/>
          <w:szCs w:val="24"/>
          <w:lang w:val="en-US" w:eastAsia="zh-CN" w:bidi="ar-SA"/>
        </w:rPr>
      </w:pPr>
    </w:p>
    <w:p>
      <w:pPr>
        <w:jc w:val="left"/>
        <w:rPr>
          <w:rFonts w:hint="eastAsia"/>
          <w:kern w:val="2"/>
          <w:sz w:val="21"/>
          <w:szCs w:val="24"/>
          <w:lang w:val="en-US" w:eastAsia="zh-CN" w:bidi="ar-SA"/>
        </w:rPr>
      </w:pPr>
    </w:p>
    <w:p>
      <w:pPr>
        <w:jc w:val="left"/>
        <w:rPr>
          <w:rFonts w:hint="eastAsia"/>
          <w:kern w:val="2"/>
          <w:sz w:val="21"/>
          <w:szCs w:val="24"/>
          <w:lang w:val="en-US" w:eastAsia="zh-CN" w:bidi="ar-SA"/>
        </w:rPr>
      </w:pPr>
    </w:p>
    <w:p>
      <w:pPr>
        <w:jc w:val="left"/>
        <w:rPr>
          <w:rFonts w:hint="eastAsia"/>
          <w:kern w:val="2"/>
          <w:sz w:val="21"/>
          <w:szCs w:val="24"/>
          <w:lang w:val="en-US" w:eastAsia="zh-CN" w:bidi="ar-SA"/>
        </w:rPr>
      </w:pPr>
    </w:p>
    <w:p>
      <w:pPr>
        <w:jc w:val="left"/>
        <w:rPr>
          <w:rFonts w:hint="eastAsia"/>
          <w:kern w:val="2"/>
          <w:sz w:val="21"/>
          <w:szCs w:val="24"/>
          <w:lang w:val="en-US" w:eastAsia="zh-CN" w:bidi="ar-SA"/>
        </w:rPr>
      </w:pPr>
    </w:p>
    <w:p>
      <w:pPr>
        <w:jc w:val="left"/>
        <w:rPr>
          <w:rFonts w:hint="eastAsia"/>
          <w:kern w:val="2"/>
          <w:sz w:val="21"/>
          <w:szCs w:val="24"/>
          <w:lang w:val="en-US" w:eastAsia="zh-CN" w:bidi="ar-SA"/>
        </w:rPr>
      </w:pPr>
    </w:p>
    <w:p>
      <w:pPr>
        <w:jc w:val="left"/>
        <w:rPr>
          <w:rFonts w:hint="eastAsia"/>
          <w:kern w:val="2"/>
          <w:sz w:val="21"/>
          <w:szCs w:val="24"/>
          <w:lang w:val="en-US" w:eastAsia="zh-CN" w:bidi="ar-SA"/>
        </w:rPr>
      </w:pPr>
    </w:p>
    <w:p>
      <w:pPr>
        <w:jc w:val="left"/>
        <w:rPr>
          <w:rFonts w:hint="eastAsia"/>
          <w:kern w:val="2"/>
          <w:sz w:val="21"/>
          <w:szCs w:val="24"/>
          <w:lang w:val="en-US" w:eastAsia="zh-CN" w:bidi="ar-SA"/>
        </w:rPr>
      </w:pPr>
    </w:p>
    <w:p>
      <w:pPr>
        <w:jc w:val="left"/>
        <w:rPr>
          <w:rFonts w:hint="eastAsia"/>
          <w:kern w:val="2"/>
          <w:sz w:val="21"/>
          <w:szCs w:val="24"/>
          <w:lang w:val="en-US" w:eastAsia="zh-CN" w:bidi="ar-SA"/>
        </w:rPr>
      </w:pPr>
    </w:p>
    <w:p>
      <w:pPr>
        <w:jc w:val="left"/>
        <w:rPr>
          <w:rFonts w:hint="eastAsia"/>
          <w:kern w:val="2"/>
          <w:sz w:val="21"/>
          <w:szCs w:val="24"/>
          <w:lang w:val="en-US" w:eastAsia="zh-CN" w:bidi="ar-SA"/>
        </w:rPr>
      </w:pPr>
    </w:p>
    <w:p>
      <w:pPr>
        <w:jc w:val="left"/>
        <w:rPr>
          <w:rFonts w:hint="eastAsia"/>
          <w:kern w:val="2"/>
          <w:sz w:val="21"/>
          <w:szCs w:val="24"/>
          <w:lang w:val="en-US" w:eastAsia="zh-CN" w:bidi="ar-SA"/>
        </w:rPr>
      </w:pPr>
    </w:p>
    <w:p>
      <w:pPr>
        <w:jc w:val="left"/>
        <w:rPr>
          <w:rFonts w:hint="eastAsia"/>
          <w:kern w:val="2"/>
          <w:sz w:val="21"/>
          <w:szCs w:val="24"/>
          <w:lang w:val="en-US" w:eastAsia="zh-CN" w:bidi="ar-SA"/>
        </w:rPr>
      </w:pPr>
    </w:p>
    <w:p>
      <w:pPr>
        <w:jc w:val="left"/>
        <w:rPr>
          <w:rFonts w:hint="eastAsia"/>
          <w:kern w:val="2"/>
          <w:sz w:val="21"/>
          <w:szCs w:val="24"/>
          <w:lang w:val="en-US" w:eastAsia="zh-CN" w:bidi="ar-SA"/>
        </w:rPr>
      </w:pPr>
    </w:p>
    <w:p>
      <w:pPr>
        <w:jc w:val="left"/>
        <w:rPr>
          <w:rFonts w:hint="eastAsia"/>
          <w:kern w:val="2"/>
          <w:sz w:val="21"/>
          <w:szCs w:val="24"/>
          <w:lang w:val="en-US" w:eastAsia="zh-CN" w:bidi="ar-SA"/>
        </w:rPr>
      </w:pPr>
    </w:p>
    <w:p>
      <w:pPr>
        <w:jc w:val="left"/>
        <w:rPr>
          <w:rFonts w:hint="eastAsia"/>
          <w:kern w:val="2"/>
          <w:sz w:val="21"/>
          <w:szCs w:val="24"/>
          <w:lang w:val="en-US" w:eastAsia="zh-CN" w:bidi="ar-SA"/>
        </w:rPr>
      </w:pPr>
    </w:p>
    <w:p>
      <w:pPr>
        <w:jc w:val="left"/>
        <w:rPr>
          <w:rFonts w:hint="eastAsia"/>
          <w:kern w:val="2"/>
          <w:sz w:val="21"/>
          <w:szCs w:val="24"/>
          <w:lang w:val="en-US" w:eastAsia="zh-CN" w:bidi="ar-SA"/>
        </w:rPr>
      </w:pPr>
    </w:p>
    <w:p>
      <w:pPr>
        <w:jc w:val="left"/>
        <w:rPr>
          <w:rFonts w:hint="eastAsia"/>
          <w:kern w:val="2"/>
          <w:sz w:val="21"/>
          <w:szCs w:val="24"/>
          <w:lang w:val="en-US" w:eastAsia="zh-CN" w:bidi="ar-SA"/>
        </w:rPr>
      </w:pPr>
    </w:p>
    <w:p>
      <w:pPr>
        <w:jc w:val="left"/>
        <w:rPr>
          <w:rFonts w:hint="eastAsia"/>
          <w:kern w:val="2"/>
          <w:sz w:val="21"/>
          <w:szCs w:val="24"/>
          <w:lang w:val="en-US" w:eastAsia="zh-CN" w:bidi="ar-SA"/>
        </w:rPr>
      </w:pPr>
    </w:p>
    <w:p>
      <w:pPr>
        <w:jc w:val="left"/>
        <w:rPr>
          <w:rFonts w:hint="eastAsia"/>
          <w:kern w:val="2"/>
          <w:sz w:val="21"/>
          <w:szCs w:val="24"/>
          <w:lang w:val="en-US" w:eastAsia="zh-CN" w:bidi="ar-SA"/>
        </w:rPr>
      </w:pPr>
    </w:p>
    <w:p>
      <w:pPr>
        <w:jc w:val="left"/>
        <w:rPr>
          <w:rFonts w:hint="eastAsia"/>
          <w:kern w:val="2"/>
          <w:sz w:val="21"/>
          <w:szCs w:val="24"/>
          <w:lang w:val="en-US" w:eastAsia="zh-CN" w:bidi="ar-SA"/>
        </w:rPr>
      </w:pPr>
    </w:p>
    <w:p>
      <w:pPr>
        <w:jc w:val="left"/>
        <w:rPr>
          <w:rFonts w:hint="eastAsia"/>
          <w:kern w:val="2"/>
          <w:sz w:val="21"/>
          <w:szCs w:val="24"/>
          <w:lang w:val="en-US" w:eastAsia="zh-CN" w:bidi="ar-SA"/>
        </w:rPr>
      </w:pPr>
    </w:p>
    <w:tbl>
      <w:tblPr>
        <w:tblStyle w:val="6"/>
        <w:tblW w:w="8931" w:type="dxa"/>
        <w:jc w:val="center"/>
        <w:tblInd w:w="130" w:type="dxa"/>
        <w:tblBorders>
          <w:top w:val="single" w:color="auto" w:sz="8" w:space="0"/>
          <w:left w:val="none" w:color="auto" w:sz="0" w:space="0"/>
          <w:bottom w:val="single" w:color="auto" w:sz="8" w:space="0"/>
          <w:right w:val="none" w:color="auto" w:sz="0" w:space="0"/>
          <w:insideH w:val="single" w:color="auto" w:sz="6" w:space="0"/>
          <w:insideV w:val="none" w:color="auto" w:sz="0" w:space="0"/>
        </w:tblBorders>
        <w:tblLayout w:type="fixed"/>
        <w:tblCellMar>
          <w:top w:w="0" w:type="dxa"/>
          <w:left w:w="108" w:type="dxa"/>
          <w:bottom w:w="0" w:type="dxa"/>
          <w:right w:w="108" w:type="dxa"/>
        </w:tblCellMar>
      </w:tblPr>
      <w:tblGrid>
        <w:gridCol w:w="8931"/>
      </w:tblGrid>
      <w:tr>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Layout w:type="fixed"/>
          <w:tblCellMar>
            <w:top w:w="0" w:type="dxa"/>
            <w:left w:w="108" w:type="dxa"/>
            <w:bottom w:w="0" w:type="dxa"/>
            <w:right w:w="108" w:type="dxa"/>
          </w:tblCellMar>
        </w:tblPrEx>
        <w:trPr>
          <w:trHeight w:val="0" w:hRule="atLeast"/>
          <w:jc w:val="center"/>
        </w:trPr>
        <w:tc>
          <w:tcPr>
            <w:tcW w:w="8931" w:type="dxa"/>
            <w:tcBorders>
              <w:tl2br w:val="nil"/>
              <w:tr2bl w:val="nil"/>
            </w:tcBorders>
            <w:vAlign w:val="top"/>
          </w:tcPr>
          <w:p>
            <w:pPr>
              <w:spacing w:beforeLines="0" w:afterLines="0" w:line="240" w:lineRule="auto"/>
              <w:rPr>
                <w:rFonts w:hint="eastAsia" w:ascii="仿宋_GB2312" w:eastAsia="仿宋_GB2312"/>
                <w:sz w:val="30"/>
                <w:vertAlign w:val="baseline"/>
              </w:rPr>
            </w:pPr>
            <w:r>
              <w:rPr>
                <w:rFonts w:hint="eastAsia" w:ascii="仿宋_GB2312" w:eastAsia="仿宋_GB2312"/>
                <w:sz w:val="28"/>
                <w:szCs w:val="28"/>
                <w:lang w:val="en-US" w:eastAsia="zh-CN"/>
              </w:rPr>
              <w:t xml:space="preserve"> </w:t>
            </w:r>
            <w:r>
              <w:rPr>
                <w:rFonts w:hint="eastAsia" w:ascii="仿宋_GB2312" w:eastAsia="仿宋_GB2312"/>
                <w:sz w:val="28"/>
                <w:szCs w:val="28"/>
                <w:vertAlign w:val="baseline"/>
                <w:lang w:val="en-US" w:eastAsia="zh-CN"/>
              </w:rPr>
              <w:t xml:space="preserve"> </w:t>
            </w:r>
            <w:r>
              <w:rPr>
                <w:rFonts w:hint="eastAsia" w:ascii="仿宋_GB2312" w:eastAsia="仿宋_GB2312"/>
                <w:sz w:val="28"/>
                <w:szCs w:val="28"/>
              </w:rPr>
              <w:t xml:space="preserve">浙江省财政厅办公室                       </w:t>
            </w:r>
            <w:r>
              <w:rPr>
                <w:rFonts w:hint="eastAsia" w:ascii="仿宋_GB2312" w:eastAsia="仿宋_GB2312"/>
                <w:sz w:val="28"/>
                <w:szCs w:val="28"/>
                <w:lang w:val="en-US" w:eastAsia="zh-CN"/>
              </w:rPr>
              <w:t>2017</w:t>
            </w:r>
            <w:r>
              <w:rPr>
                <w:rFonts w:hint="eastAsia" w:ascii="仿宋_GB2312" w:eastAsia="仿宋_GB2312"/>
                <w:sz w:val="28"/>
                <w:szCs w:val="28"/>
              </w:rPr>
              <w:t>年</w:t>
            </w:r>
            <w:r>
              <w:rPr>
                <w:rFonts w:hint="eastAsia" w:ascii="仿宋_GB2312" w:eastAsia="仿宋_GB2312"/>
                <w:sz w:val="28"/>
                <w:szCs w:val="28"/>
                <w:lang w:val="en-US" w:eastAsia="zh-CN"/>
              </w:rPr>
              <w:t>4</w:t>
            </w:r>
            <w:r>
              <w:rPr>
                <w:rFonts w:hint="eastAsia" w:ascii="仿宋_GB2312" w:eastAsia="仿宋_GB2312"/>
                <w:sz w:val="28"/>
                <w:szCs w:val="28"/>
              </w:rPr>
              <w:t>月</w:t>
            </w:r>
            <w:r>
              <w:rPr>
                <w:rFonts w:hint="eastAsia" w:ascii="仿宋_GB2312" w:eastAsia="仿宋_GB2312"/>
                <w:sz w:val="28"/>
                <w:szCs w:val="28"/>
                <w:lang w:val="en-US" w:eastAsia="zh-CN"/>
              </w:rPr>
              <w:t>10</w:t>
            </w:r>
            <w:r>
              <w:rPr>
                <w:rFonts w:hint="eastAsia" w:ascii="仿宋_GB2312" w:eastAsia="仿宋_GB2312"/>
                <w:sz w:val="28"/>
                <w:szCs w:val="28"/>
              </w:rPr>
              <w:t>日印</w:t>
            </w:r>
            <w:r>
              <w:rPr>
                <w:rFonts w:hint="eastAsia" w:ascii="仿宋_GB2312" w:eastAsia="仿宋_GB2312"/>
                <w:sz w:val="28"/>
                <w:szCs w:val="28"/>
                <w:lang w:val="en-US" w:eastAsia="zh-CN"/>
              </w:rPr>
              <w:t>发</w:t>
            </w:r>
          </w:p>
        </w:tc>
      </w:tr>
    </w:tbl>
    <w:p>
      <w:pPr>
        <w:jc w:val="left"/>
        <w:rPr>
          <w:rFonts w:hint="eastAsia"/>
          <w:kern w:val="2"/>
          <w:sz w:val="21"/>
          <w:szCs w:val="24"/>
          <w:lang w:val="en-US" w:eastAsia="zh-CN" w:bidi="ar-SA"/>
        </w:rPr>
      </w:pPr>
    </w:p>
    <w:p>
      <w:pPr/>
    </w:p>
    <w:sectPr>
      <w:headerReference r:id="rId3" w:type="default"/>
      <w:footerReference r:id="rId4" w:type="default"/>
      <w:footerReference r:id="rId5" w:type="even"/>
      <w:pgSz w:w="11906" w:h="16838"/>
      <w:pgMar w:top="2098" w:right="1474" w:bottom="1985" w:left="1588" w:header="851" w:footer="1588" w:gutter="0"/>
      <w:pgBorders w:offsetFrom="page">
        <w:top w:val="none" w:color="auto" w:sz="0" w:space="0"/>
        <w:left w:val="none" w:color="auto" w:sz="0" w:space="0"/>
        <w:bottom w:val="none" w:color="auto" w:sz="0" w:space="0"/>
        <w:right w:val="none" w:color="auto" w:sz="0" w:space="0"/>
      </w:pgBorders>
      <w:cols w:space="720" w:num="1"/>
      <w:docGrid w:type="linesAndChars" w:linePitch="602"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Helvetica">
    <w:altName w:val="Arial"/>
    <w:panose1 w:val="020B0604020202020204"/>
    <w:charset w:val="00"/>
    <w:family w:val="decorative"/>
    <w:pitch w:val="default"/>
    <w:sig w:usb0="00000000" w:usb1="00000000" w:usb2="00000008" w:usb3="00000000" w:csb0="000001FF"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_5b8b_4f53">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622" w:wrap="around" w:vAnchor="text" w:hAnchor="margin" w:xAlign="outside" w:y="1"/>
      <w:ind w:firstLine="280" w:firstLineChars="100"/>
      <w:rPr>
        <w:rStyle w:val="5"/>
        <w:rFonts w:hint="eastAsia"/>
        <w:sz w:val="28"/>
      </w:rPr>
    </w:pPr>
    <w:r>
      <w:rPr>
        <w:rStyle w:val="5"/>
        <w:rFonts w:hint="eastAsia"/>
        <w:sz w:val="28"/>
      </w:rPr>
      <w:t xml:space="preserve">— </w:t>
    </w:r>
    <w:r>
      <w:rPr>
        <w:sz w:val="28"/>
      </w:rPr>
      <w:fldChar w:fldCharType="begin"/>
    </w:r>
    <w:r>
      <w:rPr>
        <w:rStyle w:val="5"/>
        <w:sz w:val="28"/>
      </w:rPr>
      <w:instrText xml:space="preserve"> PAGE </w:instrText>
    </w:r>
    <w:r>
      <w:rPr>
        <w:sz w:val="28"/>
      </w:rPr>
      <w:fldChar w:fldCharType="separate"/>
    </w:r>
    <w:r>
      <w:rPr>
        <w:rStyle w:val="5"/>
        <w:sz w:val="28"/>
      </w:rPr>
      <w:t>1</w:t>
    </w:r>
    <w:r>
      <w:rPr>
        <w:sz w:val="28"/>
      </w:rPr>
      <w:fldChar w:fldCharType="end"/>
    </w:r>
    <w:r>
      <w:rPr>
        <w:rStyle w:val="5"/>
        <w:rFonts w:hint="eastAsia"/>
        <w:sz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separate"/>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6F1076"/>
    <w:rsid w:val="4F6F107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eastAsia="黑体"/>
      <w:snapToGrid w:val="0"/>
      <w:kern w:val="0"/>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1</Pages>
  <Words>0</Words>
  <Characters>0</Characters>
  <Lines>0</Lines>
  <Paragraphs>0</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2017-04-14T01:40:00Z</dcterms:created>
  <dc:creator>冯华</dc:creator>
  <cp:lastModifiedBy>冯华</cp:lastModifiedBy>
  <dcterms:modified xsi:type="dcterms:W3CDTF">2017-04-14T01:41:21Z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